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cta-de-constitución-del-empalme"/>
    <w:p>
      <w:pPr>
        <w:pStyle w:val="Heading1"/>
      </w:pPr>
      <w:r>
        <w:t xml:space="preserve">ACTA DE CONSTITUCIÓN DEL EMPALME</w:t>
      </w:r>
    </w:p>
    <w:bookmarkStart w:id="20" w:name="Xe9cb504a92dd92f51fdd45f466553242e147d05"/>
    <w:p>
      <w:pPr>
        <w:pStyle w:val="Heading2"/>
      </w:pPr>
      <w:r>
        <w:t xml:space="preserve">SICOM — Sistema de Información de Combustibles Minerales</w:t>
      </w:r>
    </w:p>
    <w:p>
      <w:r>
        <w:pict>
          <v:rect style="width:0;height:1.5pt" o:hralign="center" o:hrstd="t" o:hr="t"/>
        </w:pict>
      </w:r>
    </w:p>
    <w:p>
      <w:pPr>
        <w:pStyle w:val="FirstParagraph"/>
      </w:pPr>
      <w:r>
        <w:rPr>
          <w:bCs/>
          <w:b/>
        </w:rPr>
        <w:t xml:space="preserve">Código del Empalme:</w:t>
      </w:r>
      <w:r>
        <w:t xml:space="preserve"> </w:t>
      </w:r>
      <w:r>
        <w:t xml:space="preserve">EMP-SICOM-2026-01</w:t>
      </w:r>
      <w:r>
        <w:br/>
      </w:r>
      <w:r>
        <w:rPr>
          <w:bCs/>
          <w:b/>
        </w:rPr>
        <w:t xml:space="preserve">Nombre del Proyecto:</w:t>
      </w:r>
      <w:r>
        <w:t xml:space="preserve"> </w:t>
      </w:r>
      <w:r>
        <w:t xml:space="preserve">Empalme Operativo SICOM</w:t>
      </w:r>
      <w:r>
        <w:br/>
      </w:r>
      <w:r>
        <w:rPr>
          <w:bCs/>
          <w:b/>
        </w:rPr>
        <w:t xml:space="preserve">Fecha de Constitución:</w:t>
      </w:r>
      <w:r>
        <w:t xml:space="preserve"> </w:t>
      </w:r>
      <w:r>
        <w:t xml:space="preserve">20 de Mayo de 2026</w:t>
      </w:r>
      <w:r>
        <w:br/>
      </w:r>
      <w:r>
        <w:rPr>
          <w:bCs/>
          <w:b/>
        </w:rPr>
        <w:t xml:space="preserve">Versión:</w:t>
      </w:r>
      <w:r>
        <w:t xml:space="preserve"> </w:t>
      </w:r>
      <w:r>
        <w:t xml:space="preserve">1.0</w:t>
      </w:r>
      <w:r>
        <w:br/>
      </w:r>
      <w:r>
        <w:rPr>
          <w:bCs/>
          <w:b/>
        </w:rPr>
        <w:t xml:space="preserve">Estado:</w:t>
      </w:r>
      <w:r>
        <w:t xml:space="preserve"> </w:t>
      </w:r>
      <w:r>
        <w:t xml:space="preserve">Activo</w:t>
      </w:r>
    </w:p>
    <w:p>
      <w:r>
        <w:pict>
          <v:rect style="width:0;height:1.5pt" o:hralign="center" o:hrstd="t" o:hr="t"/>
        </w:pict>
      </w:r>
    </w:p>
    <w:bookmarkEnd w:id="20"/>
    <w:bookmarkStart w:id="23" w:name="información-general"/>
    <w:p>
      <w:pPr>
        <w:pStyle w:val="Heading2"/>
      </w:pPr>
      <w:r>
        <w:t xml:space="preserve">1. INFORMACIÓN GENERAL</w:t>
      </w:r>
    </w:p>
    <w:bookmarkStart w:id="21" w:name="justificación-del-empalme"/>
    <w:p>
      <w:pPr>
        <w:pStyle w:val="Heading3"/>
      </w:pPr>
      <w:r>
        <w:t xml:space="preserve">1.1 Justificación del Empalme</w:t>
      </w:r>
    </w:p>
    <w:p>
      <w:pPr>
        <w:pStyle w:val="FirstParagraph"/>
      </w:pPr>
      <w:r>
        <w:t xml:space="preserve">El empalme se requiere para garantizar la continuidad operativa del Sistema de Información de Combustibles Minerales (SICOM) ante la transición del operador actual (INTERNEXA S.A.) al nuevo operador (CI2), en cumplimiento del Contrato Interadministrativo GGC-2034-2025 suscrito entre el Ministerio de Minas y Energía (MME) e INTERNEXA S.A.</w:t>
      </w:r>
    </w:p>
    <w:bookmarkEnd w:id="21"/>
    <w:bookmarkStart w:id="22" w:name="objetivo-del-empalme"/>
    <w:p>
      <w:pPr>
        <w:pStyle w:val="Heading3"/>
      </w:pPr>
      <w:r>
        <w:t xml:space="preserve">1.2 Objetivo del Empalme</w:t>
      </w:r>
    </w:p>
    <w:p>
      <w:pPr>
        <w:pStyle w:val="FirstParagraph"/>
      </w:pPr>
      <w:r>
        <w:rPr>
          <w:bCs/>
          <w:b/>
        </w:rPr>
        <w:t xml:space="preserve">Objetivo General:</w:t>
      </w:r>
      <w:r>
        <w:br/>
      </w:r>
      <w:r>
        <w:t xml:space="preserve">Recibir el sistema SICOM sin interrupción del servicio, con dominio técnico mínimo viable y con evidencia formal de todo lo entregado por el operador saliente.</w:t>
      </w:r>
    </w:p>
    <w:p>
      <w:pPr>
        <w:pStyle w:val="BodyText"/>
      </w:pPr>
      <w:r>
        <w:rPr>
          <w:bCs/>
          <w:b/>
        </w:rPr>
        <w:t xml:space="preserve">Objetivos Específicos:</w:t>
      </w:r>
      <w:r>
        <w:t xml:space="preserve"> </w:t>
      </w:r>
      <w:r>
        <w:t xml:space="preserve">1. Transferir conocimiento técnico y operativo de INTERNEXA a CI2</w:t>
      </w:r>
      <w:r>
        <w:t xml:space="preserve"> </w:t>
      </w:r>
      <w:r>
        <w:t xml:space="preserve">2. Validar infraestructura, código, bases de datos y documentación</w:t>
      </w:r>
      <w:r>
        <w:t xml:space="preserve"> </w:t>
      </w:r>
      <w:r>
        <w:t xml:space="preserve">3. Establecer operación en sombra con shadowing obligatorio</w:t>
      </w:r>
      <w:r>
        <w:t xml:space="preserve"> </w:t>
      </w:r>
      <w:r>
        <w:t xml:space="preserve">4. Ejecutar pruebas de estrés, rendimiento, seguridad e integración</w:t>
      </w:r>
      <w:r>
        <w:t xml:space="preserve"> </w:t>
      </w:r>
      <w:r>
        <w:t xml:space="preserve">5. Validar continuidad del negocio (RPO/RTO, sitio alterno, simulacros)</w:t>
      </w:r>
      <w:r>
        <w:t xml:space="preserve"> </w:t>
      </w:r>
      <w:r>
        <w:t xml:space="preserve">6. Realizar corte controlado con checklist Go/No-Go</w:t>
      </w:r>
      <w:r>
        <w:t xml:space="preserve"> </w:t>
      </w:r>
      <w:r>
        <w:t xml:space="preserve">7. Firmar actas de recibo final por dominios técnicos</w:t>
      </w:r>
    </w:p>
    <w:p>
      <w:r>
        <w:pict>
          <v:rect style="width:0;height:1.5pt" o:hralign="center" o:hrstd="t" o:hr="t"/>
        </w:pict>
      </w:r>
    </w:p>
    <w:bookmarkEnd w:id="22"/>
    <w:bookmarkEnd w:id="23"/>
    <w:bookmarkStart w:id="27" w:name="estructura-de-gobernanza"/>
    <w:p>
      <w:pPr>
        <w:pStyle w:val="Heading2"/>
      </w:pPr>
      <w:r>
        <w:t xml:space="preserve">2. ESTRUCTURA DE GOBERNANZA</w:t>
      </w:r>
    </w:p>
    <w:bookmarkStart w:id="24" w:name="comité-directivo-del-empalme"/>
    <w:p>
      <w:pPr>
        <w:pStyle w:val="Heading3"/>
      </w:pPr>
      <w:r>
        <w:t xml:space="preserve">2.1 Comité Directivo del Empalme</w:t>
      </w:r>
    </w:p>
    <w:tbl>
      <w:tblPr>
        <w:tblStyle w:val="Table"/>
        <w:tblW w:type="pct" w:w="5000"/>
        <w:tblLook w:firstRow="1" w:lastRow="0" w:firstColumn="0" w:lastColumn="0" w:noHBand="0" w:noVBand="0" w:val="0020"/>
        <w:jc w:val="start"/>
      </w:tblPr>
      <w:tblGrid>
        <w:gridCol w:w="1015"/>
        <w:gridCol w:w="1624"/>
        <w:gridCol w:w="1827"/>
        <w:gridCol w:w="3452"/>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Entidad</w:t>
            </w:r>
          </w:p>
        </w:tc>
        <w:tc>
          <w:tcPr/>
          <w:p>
            <w:pPr>
              <w:pStyle w:val="Compact"/>
              <w:jc w:val="left"/>
            </w:pPr>
            <w:r>
              <w:t xml:space="preserve">Responsabilidad</w:t>
            </w:r>
          </w:p>
        </w:tc>
      </w:tr>
      <w:tr>
        <w:tc>
          <w:tcPr/>
          <w:p>
            <w:pPr>
              <w:pStyle w:val="Compact"/>
              <w:jc w:val="left"/>
            </w:pPr>
            <w:r>
              <w:rPr>
                <w:bCs/>
                <w:b/>
              </w:rPr>
              <w:t xml:space="preserve">Gerente de Proyecto CI2</w:t>
            </w:r>
          </w:p>
        </w:tc>
        <w:tc>
          <w:tcPr/>
          <w:p>
            <w:pPr>
              <w:pStyle w:val="Compact"/>
              <w:jc w:val="left"/>
            </w:pPr>
            <w:r>
              <w:t xml:space="preserve">Luis Felipe Herrera</w:t>
            </w:r>
          </w:p>
        </w:tc>
        <w:tc>
          <w:tcPr/>
          <w:p>
            <w:pPr>
              <w:pStyle w:val="Compact"/>
              <w:jc w:val="left"/>
            </w:pPr>
            <w:r>
              <w:t xml:space="preserve">CI2 / IND TECH</w:t>
            </w:r>
          </w:p>
        </w:tc>
        <w:tc>
          <w:tcPr/>
          <w:p>
            <w:pPr>
              <w:pStyle w:val="Compact"/>
              <w:jc w:val="left"/>
            </w:pPr>
            <w:r>
              <w:t xml:space="preserve">Dirección estratégica, aprobación de hitos, reporte al MME, decisiones ejecutivas</w:t>
            </w:r>
          </w:p>
        </w:tc>
      </w:tr>
      <w:tr>
        <w:tc>
          <w:tcPr/>
          <w:p>
            <w:pPr>
              <w:pStyle w:val="Compact"/>
              <w:jc w:val="left"/>
            </w:pPr>
            <w:r>
              <w:rPr>
                <w:bCs/>
                <w:b/>
              </w:rPr>
              <w:t xml:space="preserve">Director de Empalme / PM Ejecutivo</w:t>
            </w:r>
          </w:p>
        </w:tc>
        <w:tc>
          <w:tcPr/>
          <w:p>
            <w:pPr>
              <w:pStyle w:val="Compact"/>
              <w:jc w:val="left"/>
            </w:pPr>
            <w:r>
              <w:t xml:space="preserve">Jelkin Zair Carrillo Franco</w:t>
            </w:r>
          </w:p>
        </w:tc>
        <w:tc>
          <w:tcPr/>
          <w:p>
            <w:pPr>
              <w:pStyle w:val="Compact"/>
              <w:jc w:val="left"/>
            </w:pPr>
            <w:r>
              <w:t xml:space="preserve">Innovadataco (contratado por IND TECH)</w:t>
            </w:r>
          </w:p>
        </w:tc>
        <w:tc>
          <w:tcPr/>
          <w:p>
            <w:pPr>
              <w:pStyle w:val="Compact"/>
              <w:jc w:val="left"/>
            </w:pPr>
            <w:r>
              <w:t xml:space="preserve">Ejecución técnica del empalme, coordinación operativa, reporte a Luis Herrera, validación de entregas, control de calidad</w:t>
            </w:r>
          </w:p>
        </w:tc>
      </w:tr>
      <w:tr>
        <w:tc>
          <w:tcPr/>
          <w:p>
            <w:pPr>
              <w:pStyle w:val="Compact"/>
              <w:jc w:val="left"/>
            </w:pPr>
            <w:r>
              <w:rPr>
                <w:bCs/>
                <w:b/>
              </w:rPr>
              <w:t xml:space="preserve">Supervisora MME</w:t>
            </w:r>
          </w:p>
        </w:tc>
        <w:tc>
          <w:tcPr/>
          <w:p>
            <w:pPr>
              <w:pStyle w:val="Compact"/>
              <w:jc w:val="left"/>
            </w:pPr>
            <w:r>
              <w:t xml:space="preserve">Elizabeth</w:t>
            </w:r>
          </w:p>
        </w:tc>
        <w:tc>
          <w:tcPr/>
          <w:p>
            <w:pPr>
              <w:pStyle w:val="Compact"/>
              <w:jc w:val="left"/>
            </w:pPr>
            <w:r>
              <w:t xml:space="preserve">Ministerio de Minas y Energía</w:t>
            </w:r>
          </w:p>
        </w:tc>
        <w:tc>
          <w:tcPr/>
          <w:p>
            <w:pPr>
              <w:pStyle w:val="Compact"/>
              <w:jc w:val="left"/>
            </w:pPr>
            <w:r>
              <w:t xml:space="preserve">Supervisión contractual, aceptación formal, pagos, resolución conflictos</w:t>
            </w:r>
          </w:p>
        </w:tc>
      </w:tr>
      <w:tr>
        <w:tc>
          <w:tcPr/>
          <w:p>
            <w:pPr>
              <w:pStyle w:val="Compact"/>
              <w:jc w:val="left"/>
            </w:pPr>
            <w:r>
              <w:rPr>
                <w:bCs/>
                <w:b/>
              </w:rPr>
              <w:t xml:space="preserve">Representante Saliente</w:t>
            </w:r>
          </w:p>
        </w:tc>
        <w:tc>
          <w:tcPr/>
          <w:p>
            <w:pPr>
              <w:pStyle w:val="Compact"/>
              <w:jc w:val="left"/>
            </w:pPr>
            <w:r>
              <w:t xml:space="preserve">[Por designar]</w:t>
            </w:r>
          </w:p>
        </w:tc>
        <w:tc>
          <w:tcPr/>
          <w:p>
            <w:pPr>
              <w:pStyle w:val="Compact"/>
              <w:jc w:val="left"/>
            </w:pPr>
            <w:r>
              <w:t xml:space="preserve">INTERNEXA S.A.</w:t>
            </w:r>
          </w:p>
        </w:tc>
        <w:tc>
          <w:tcPr/>
          <w:p>
            <w:pPr>
              <w:pStyle w:val="Compact"/>
              <w:jc w:val="left"/>
            </w:pPr>
            <w:r>
              <w:t xml:space="preserve">Entrega de activos, transferencia conocimiento, soporte durante empalme</w:t>
            </w:r>
          </w:p>
        </w:tc>
      </w:tr>
      <w:tr>
        <w:tc>
          <w:tcPr/>
          <w:p>
            <w:pPr>
              <w:pStyle w:val="Compact"/>
              <w:jc w:val="left"/>
            </w:pPr>
            <w:r>
              <w:rPr>
                <w:bCs/>
                <w:b/>
              </w:rPr>
              <w:t xml:space="preserve">Especialista Seguridad</w:t>
            </w:r>
          </w:p>
        </w:tc>
        <w:tc>
          <w:tcPr/>
          <w:p>
            <w:pPr>
              <w:pStyle w:val="Compact"/>
              <w:jc w:val="left"/>
            </w:pPr>
            <w:r>
              <w:t xml:space="preserve">[Por designar]</w:t>
            </w:r>
          </w:p>
        </w:tc>
        <w:tc>
          <w:tcPr/>
          <w:p>
            <w:pPr>
              <w:pStyle w:val="Compact"/>
              <w:jc w:val="left"/>
            </w:pPr>
            <w:r>
              <w:t xml:space="preserve">CI2</w:t>
            </w:r>
          </w:p>
        </w:tc>
        <w:tc>
          <w:tcPr/>
          <w:p>
            <w:pPr>
              <w:pStyle w:val="Compact"/>
              <w:jc w:val="left"/>
            </w:pPr>
            <w:r>
              <w:t xml:space="preserve">Hardening, RBAC, MFA, SIEM, vulnerabilidades</w:t>
            </w:r>
          </w:p>
        </w:tc>
      </w:tr>
      <w:tr>
        <w:tc>
          <w:tcPr/>
          <w:p>
            <w:pPr>
              <w:pStyle w:val="Compact"/>
              <w:jc w:val="left"/>
            </w:pPr>
            <w:r>
              <w:rPr>
                <w:bCs/>
                <w:b/>
              </w:rPr>
              <w:t xml:space="preserve">Especialista BD/Infra</w:t>
            </w:r>
          </w:p>
        </w:tc>
        <w:tc>
          <w:tcPr/>
          <w:p>
            <w:pPr>
              <w:pStyle w:val="Compact"/>
              <w:jc w:val="left"/>
            </w:pPr>
            <w:r>
              <w:t xml:space="preserve">[Por designar]</w:t>
            </w:r>
          </w:p>
        </w:tc>
        <w:tc>
          <w:tcPr/>
          <w:p>
            <w:pPr>
              <w:pStyle w:val="Compact"/>
              <w:jc w:val="left"/>
            </w:pPr>
            <w:r>
              <w:t xml:space="preserve">CI2</w:t>
            </w:r>
          </w:p>
        </w:tc>
        <w:tc>
          <w:tcPr/>
          <w:p>
            <w:pPr>
              <w:pStyle w:val="Compact"/>
              <w:jc w:val="left"/>
            </w:pPr>
            <w:r>
              <w:t xml:space="preserve">Restore, replicación, validación técnica</w:t>
            </w:r>
          </w:p>
        </w:tc>
      </w:tr>
    </w:tbl>
    <w:bookmarkEnd w:id="24"/>
    <w:bookmarkStart w:id="25" w:name="equipo-de-empalme-ci2-entrante"/>
    <w:p>
      <w:pPr>
        <w:pStyle w:val="Heading3"/>
      </w:pPr>
      <w:r>
        <w:t xml:space="preserve">2.2 Equipo de Empalme CI2 (Entrante)</w:t>
      </w:r>
    </w:p>
    <w:tbl>
      <w:tblPr>
        <w:tblStyle w:val="Table"/>
        <w:tblW w:type="pct" w:w="5000"/>
        <w:tblLook w:firstRow="1" w:lastRow="0" w:firstColumn="0" w:lastColumn="0" w:noHBand="0" w:noVBand="0" w:val="0020"/>
        <w:jc w:val="start"/>
      </w:tblPr>
      <w:tblGrid>
        <w:gridCol w:w="1164"/>
        <w:gridCol w:w="1863"/>
        <w:gridCol w:w="2795"/>
        <w:gridCol w:w="2096"/>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Asignación</w:t>
            </w:r>
          </w:p>
        </w:tc>
        <w:tc>
          <w:tcPr/>
          <w:p>
            <w:pPr>
              <w:pStyle w:val="Compact"/>
              <w:jc w:val="left"/>
            </w:pPr>
            <w:r>
              <w:t xml:space="preserve">Función</w:t>
            </w:r>
          </w:p>
        </w:tc>
      </w:tr>
      <w:tr>
        <w:tc>
          <w:tcPr/>
          <w:p>
            <w:pPr>
              <w:pStyle w:val="Compact"/>
              <w:jc w:val="left"/>
            </w:pPr>
            <w:r>
              <w:rPr>
                <w:bCs/>
                <w:b/>
              </w:rPr>
              <w:t xml:space="preserve">Gerente de Proyecto CI2</w:t>
            </w:r>
          </w:p>
        </w:tc>
        <w:tc>
          <w:tcPr/>
          <w:p>
            <w:pPr>
              <w:pStyle w:val="Compact"/>
              <w:jc w:val="left"/>
            </w:pPr>
            <w:r>
              <w:t xml:space="preserve">Luis Felipe Herrera</w:t>
            </w:r>
          </w:p>
        </w:tc>
        <w:tc>
          <w:tcPr/>
          <w:p>
            <w:pPr>
              <w:pStyle w:val="Compact"/>
              <w:jc w:val="left"/>
            </w:pPr>
            <w:r>
              <w:t xml:space="preserve">CI2 / IND TECH</w:t>
            </w:r>
          </w:p>
        </w:tc>
        <w:tc>
          <w:tcPr/>
          <w:p>
            <w:pPr>
              <w:pStyle w:val="Compact"/>
              <w:jc w:val="left"/>
            </w:pPr>
            <w:r>
              <w:t xml:space="preserve">100%</w:t>
            </w:r>
          </w:p>
        </w:tc>
      </w:tr>
      <w:tr>
        <w:tc>
          <w:tcPr/>
          <w:p>
            <w:pPr>
              <w:pStyle w:val="Compact"/>
              <w:jc w:val="left"/>
            </w:pPr>
            <w:r>
              <w:rPr>
                <w:bCs/>
                <w:b/>
              </w:rPr>
              <w:t xml:space="preserve">Director de Empalme / PM Ejecutivo</w:t>
            </w:r>
          </w:p>
        </w:tc>
        <w:tc>
          <w:tcPr/>
          <w:p>
            <w:pPr>
              <w:pStyle w:val="Compact"/>
              <w:jc w:val="left"/>
            </w:pPr>
            <w:r>
              <w:t xml:space="preserve">Jelkin Zair Carrillo Franco</w:t>
            </w:r>
          </w:p>
        </w:tc>
        <w:tc>
          <w:tcPr/>
          <w:p>
            <w:pPr>
              <w:pStyle w:val="Compact"/>
              <w:jc w:val="left"/>
            </w:pPr>
            <w:r>
              <w:t xml:space="preserve">Innovadataco (contratado por IND TECH)</w:t>
            </w:r>
          </w:p>
        </w:tc>
        <w:tc>
          <w:tcPr/>
          <w:p>
            <w:pPr>
              <w:pStyle w:val="Compact"/>
              <w:jc w:val="left"/>
            </w:pPr>
            <w:r>
              <w:t xml:space="preserve">100%</w:t>
            </w:r>
          </w:p>
        </w:tc>
      </w:tr>
      <w:tr>
        <w:tc>
          <w:tcPr/>
          <w:p>
            <w:pPr>
              <w:pStyle w:val="Compact"/>
              <w:jc w:val="left"/>
            </w:pPr>
            <w:r>
              <w:t xml:space="preserve">Especialista Seguridad</w:t>
            </w:r>
          </w:p>
        </w:tc>
        <w:tc>
          <w:tcPr/>
          <w:p>
            <w:pPr>
              <w:pStyle w:val="Compact"/>
              <w:jc w:val="left"/>
            </w:pPr>
            <w:r>
              <w:t xml:space="preserve">[Por asignar]</w:t>
            </w:r>
          </w:p>
        </w:tc>
        <w:tc>
          <w:tcPr/>
          <w:p>
            <w:pPr>
              <w:pStyle w:val="Compact"/>
              <w:jc w:val="left"/>
            </w:pPr>
            <w:r>
              <w:t xml:space="preserve">100%</w:t>
            </w:r>
          </w:p>
        </w:tc>
        <w:tc>
          <w:tcPr/>
          <w:p>
            <w:pPr>
              <w:pStyle w:val="Compact"/>
              <w:jc w:val="left"/>
            </w:pPr>
            <w:r>
              <w:t xml:space="preserve">Seguridad, credenciales, hardening</w:t>
            </w:r>
          </w:p>
        </w:tc>
      </w:tr>
      <w:tr>
        <w:tc>
          <w:tcPr/>
          <w:p>
            <w:pPr>
              <w:pStyle w:val="Compact"/>
              <w:jc w:val="left"/>
            </w:pPr>
            <w:r>
              <w:t xml:space="preserve">Especialista Infraestructura</w:t>
            </w:r>
          </w:p>
        </w:tc>
        <w:tc>
          <w:tcPr/>
          <w:p>
            <w:pPr>
              <w:pStyle w:val="Compact"/>
              <w:jc w:val="left"/>
            </w:pPr>
            <w:r>
              <w:t xml:space="preserve">[Por asignar]</w:t>
            </w:r>
          </w:p>
        </w:tc>
        <w:tc>
          <w:tcPr/>
          <w:p>
            <w:pPr>
              <w:pStyle w:val="Compact"/>
              <w:jc w:val="left"/>
            </w:pPr>
            <w:r>
              <w:t xml:space="preserve">100%</w:t>
            </w:r>
          </w:p>
        </w:tc>
        <w:tc>
          <w:tcPr/>
          <w:p>
            <w:pPr>
              <w:pStyle w:val="Compact"/>
              <w:jc w:val="left"/>
            </w:pPr>
            <w:r>
              <w:t xml:space="preserve">VMs, redes, almacenamiento, backups</w:t>
            </w:r>
          </w:p>
        </w:tc>
      </w:tr>
      <w:tr>
        <w:tc>
          <w:tcPr/>
          <w:p>
            <w:pPr>
              <w:pStyle w:val="Compact"/>
              <w:jc w:val="left"/>
            </w:pPr>
            <w:r>
              <w:t xml:space="preserve">Especialista Base de Datos</w:t>
            </w:r>
          </w:p>
        </w:tc>
        <w:tc>
          <w:tcPr/>
          <w:p>
            <w:pPr>
              <w:pStyle w:val="Compact"/>
              <w:jc w:val="left"/>
            </w:pPr>
            <w:r>
              <w:t xml:space="preserve">[Por asignar]</w:t>
            </w:r>
          </w:p>
        </w:tc>
        <w:tc>
          <w:tcPr/>
          <w:p>
            <w:pPr>
              <w:pStyle w:val="Compact"/>
              <w:jc w:val="left"/>
            </w:pPr>
            <w:r>
              <w:t xml:space="preserve">100%</w:t>
            </w:r>
          </w:p>
        </w:tc>
        <w:tc>
          <w:tcPr/>
          <w:p>
            <w:pPr>
              <w:pStyle w:val="Compact"/>
              <w:jc w:val="left"/>
            </w:pPr>
            <w:r>
              <w:t xml:space="preserve">Restore, integridad, replicación</w:t>
            </w:r>
          </w:p>
        </w:tc>
      </w:tr>
      <w:tr>
        <w:tc>
          <w:tcPr/>
          <w:p>
            <w:pPr>
              <w:pStyle w:val="Compact"/>
              <w:jc w:val="left"/>
            </w:pPr>
            <w:r>
              <w:t xml:space="preserve">Especialista Aplicaciones</w:t>
            </w:r>
          </w:p>
        </w:tc>
        <w:tc>
          <w:tcPr/>
          <w:p>
            <w:pPr>
              <w:pStyle w:val="Compact"/>
              <w:jc w:val="left"/>
            </w:pPr>
            <w:r>
              <w:t xml:space="preserve">[Por asignar]</w:t>
            </w:r>
          </w:p>
        </w:tc>
        <w:tc>
          <w:tcPr/>
          <w:p>
            <w:pPr>
              <w:pStyle w:val="Compact"/>
              <w:jc w:val="left"/>
            </w:pPr>
            <w:r>
              <w:t xml:space="preserve">100%</w:t>
            </w:r>
          </w:p>
        </w:tc>
        <w:tc>
          <w:tcPr/>
          <w:p>
            <w:pPr>
              <w:pStyle w:val="Compact"/>
              <w:jc w:val="left"/>
            </w:pPr>
            <w:r>
              <w:t xml:space="preserve">Código, despliegues, APIs, front-end</w:t>
            </w:r>
          </w:p>
        </w:tc>
      </w:tr>
      <w:tr>
        <w:tc>
          <w:tcPr/>
          <w:p>
            <w:pPr>
              <w:pStyle w:val="Compact"/>
              <w:jc w:val="left"/>
            </w:pPr>
            <w:r>
              <w:t xml:space="preserve">Especialista Operación</w:t>
            </w:r>
          </w:p>
        </w:tc>
        <w:tc>
          <w:tcPr/>
          <w:p>
            <w:pPr>
              <w:pStyle w:val="Compact"/>
              <w:jc w:val="left"/>
            </w:pPr>
            <w:r>
              <w:t xml:space="preserve">[Por asignar]</w:t>
            </w:r>
          </w:p>
        </w:tc>
        <w:tc>
          <w:tcPr/>
          <w:p>
            <w:pPr>
              <w:pStyle w:val="Compact"/>
              <w:jc w:val="left"/>
            </w:pPr>
            <w:r>
              <w:t xml:space="preserve">100%</w:t>
            </w:r>
          </w:p>
        </w:tc>
        <w:tc>
          <w:tcPr/>
          <w:p>
            <w:pPr>
              <w:pStyle w:val="Compact"/>
              <w:jc w:val="left"/>
            </w:pPr>
            <w:r>
              <w:t xml:space="preserve">Runbooks, turnos 24/7, mesa de ayuda</w:t>
            </w:r>
          </w:p>
        </w:tc>
      </w:tr>
    </w:tbl>
    <w:bookmarkEnd w:id="25"/>
    <w:bookmarkStart w:id="26" w:name="equipo-de-soporte-internexa-saliente"/>
    <w:p>
      <w:pPr>
        <w:pStyle w:val="Heading3"/>
      </w:pPr>
      <w:r>
        <w:t xml:space="preserve">2.3 Equipo de Soporte INTERNEXA (Saliente)</w:t>
      </w:r>
    </w:p>
    <w:tbl>
      <w:tblPr>
        <w:tblStyle w:val="Table"/>
        <w:tblW w:type="pct" w:w="5000"/>
        <w:tblLook w:firstRow="1" w:lastRow="0" w:firstColumn="0" w:lastColumn="0" w:noHBand="0" w:noVBand="0" w:val="0020"/>
        <w:jc w:val="start"/>
      </w:tblPr>
      <w:tblGrid>
        <w:gridCol w:w="1164"/>
        <w:gridCol w:w="1863"/>
        <w:gridCol w:w="2795"/>
        <w:gridCol w:w="2096"/>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Asignación</w:t>
            </w:r>
          </w:p>
        </w:tc>
        <w:tc>
          <w:tcPr/>
          <w:p>
            <w:pPr>
              <w:pStyle w:val="Compact"/>
              <w:jc w:val="left"/>
            </w:pPr>
            <w:r>
              <w:t xml:space="preserve">Función</w:t>
            </w:r>
          </w:p>
        </w:tc>
      </w:tr>
      <w:tr>
        <w:tc>
          <w:tcPr/>
          <w:p>
            <w:pPr>
              <w:pStyle w:val="Compact"/>
              <w:jc w:val="left"/>
            </w:pPr>
            <w:r>
              <w:t xml:space="preserve">Responsable Técnico</w:t>
            </w:r>
          </w:p>
        </w:tc>
        <w:tc>
          <w:tcPr/>
          <w:p>
            <w:pPr>
              <w:pStyle w:val="Compact"/>
              <w:jc w:val="left"/>
            </w:pPr>
            <w:r>
              <w:t xml:space="preserve">[Por designar]</w:t>
            </w:r>
          </w:p>
        </w:tc>
        <w:tc>
          <w:tcPr/>
          <w:p>
            <w:pPr>
              <w:pStyle w:val="Compact"/>
              <w:jc w:val="left"/>
            </w:pPr>
            <w:r>
              <w:t xml:space="preserve">50%</w:t>
            </w:r>
          </w:p>
        </w:tc>
        <w:tc>
          <w:tcPr/>
          <w:p>
            <w:pPr>
              <w:pStyle w:val="Compact"/>
              <w:jc w:val="left"/>
            </w:pPr>
            <w:r>
              <w:t xml:space="preserve">Entrega documentación, accesos, soporte técnico</w:t>
            </w:r>
          </w:p>
        </w:tc>
      </w:tr>
      <w:tr>
        <w:tc>
          <w:tcPr/>
          <w:p>
            <w:pPr>
              <w:pStyle w:val="Compact"/>
              <w:jc w:val="left"/>
            </w:pPr>
            <w:r>
              <w:t xml:space="preserve">Responsable Operativo</w:t>
            </w:r>
          </w:p>
        </w:tc>
        <w:tc>
          <w:tcPr/>
          <w:p>
            <w:pPr>
              <w:pStyle w:val="Compact"/>
              <w:jc w:val="left"/>
            </w:pPr>
            <w:r>
              <w:t xml:space="preserve">[Por designar]</w:t>
            </w:r>
          </w:p>
        </w:tc>
        <w:tc>
          <w:tcPr/>
          <w:p>
            <w:pPr>
              <w:pStyle w:val="Compact"/>
              <w:jc w:val="left"/>
            </w:pPr>
            <w:r>
              <w:t xml:space="preserve">50%</w:t>
            </w:r>
          </w:p>
        </w:tc>
        <w:tc>
          <w:tcPr/>
          <w:p>
            <w:pPr>
              <w:pStyle w:val="Compact"/>
              <w:jc w:val="left"/>
            </w:pPr>
            <w:r>
              <w:t xml:space="preserve">Transferencia funcional, shadowing, runbooks</w:t>
            </w:r>
          </w:p>
        </w:tc>
      </w:tr>
      <w:tr>
        <w:tc>
          <w:tcPr/>
          <w:p>
            <w:pPr>
              <w:pStyle w:val="Compact"/>
              <w:jc w:val="left"/>
            </w:pPr>
            <w:r>
              <w:t xml:space="preserve">Responsable Seguridad</w:t>
            </w:r>
          </w:p>
        </w:tc>
        <w:tc>
          <w:tcPr/>
          <w:p>
            <w:pPr>
              <w:pStyle w:val="Compact"/>
              <w:jc w:val="left"/>
            </w:pPr>
            <w:r>
              <w:t xml:space="preserve">[Por designar]</w:t>
            </w:r>
          </w:p>
        </w:tc>
        <w:tc>
          <w:tcPr/>
          <w:p>
            <w:pPr>
              <w:pStyle w:val="Compact"/>
              <w:jc w:val="left"/>
            </w:pPr>
            <w:r>
              <w:t xml:space="preserve">25%</w:t>
            </w:r>
          </w:p>
        </w:tc>
        <w:tc>
          <w:tcPr/>
          <w:p>
            <w:pPr>
              <w:pStyle w:val="Compact"/>
              <w:jc w:val="left"/>
            </w:pPr>
            <w:r>
              <w:t xml:space="preserve">Entrega credenciales, certificados, RBAC</w:t>
            </w:r>
          </w:p>
        </w:tc>
      </w:tr>
    </w:tbl>
    <w:p>
      <w:r>
        <w:pict>
          <v:rect style="width:0;height:1.5pt" o:hralign="center" o:hrstd="t" o:hr="t"/>
        </w:pict>
      </w:r>
    </w:p>
    <w:bookmarkEnd w:id="26"/>
    <w:bookmarkEnd w:id="27"/>
    <w:bookmarkStart w:id="30" w:name="alcance-del-empalme"/>
    <w:p>
      <w:pPr>
        <w:pStyle w:val="Heading2"/>
      </w:pPr>
      <w:r>
        <w:t xml:space="preserve">3. ALCANCE DEL EMPALME</w:t>
      </w:r>
    </w:p>
    <w:bookmarkStart w:id="28" w:name="dentro-del-alcance-10-dominios-técnicos"/>
    <w:p>
      <w:pPr>
        <w:pStyle w:val="Heading3"/>
      </w:pPr>
      <w:r>
        <w:t xml:space="preserve">3.1 Dentro del Alcance (10 Dominios Técnicos)</w:t>
      </w:r>
    </w:p>
    <w:tbl>
      <w:tblPr>
        <w:tblStyle w:val="Table"/>
        <w:tblW w:type="pct" w:w="5000"/>
        <w:tblLook w:firstRow="1" w:lastRow="0" w:firstColumn="0" w:lastColumn="0" w:noHBand="0" w:noVBand="0" w:val="0020"/>
        <w:jc w:val="start"/>
      </w:tblPr>
      <w:tblGrid>
        <w:gridCol w:w="1549"/>
        <w:gridCol w:w="2238"/>
        <w:gridCol w:w="4132"/>
      </w:tblGrid>
      <w:tr>
        <w:trPr>
          <w:tblHeader w:val="true"/>
        </w:trPr>
        <w:tc>
          <w:tcPr/>
          <w:p>
            <w:pPr>
              <w:pStyle w:val="Compact"/>
              <w:jc w:val="left"/>
            </w:pPr>
            <w:r>
              <w:t xml:space="preserve">Dominio</w:t>
            </w:r>
          </w:p>
        </w:tc>
        <w:tc>
          <w:tcPr/>
          <w:p>
            <w:pPr>
              <w:pStyle w:val="Compact"/>
              <w:jc w:val="left"/>
            </w:pPr>
            <w:r>
              <w:t xml:space="preserve">Descripción</w:t>
            </w:r>
          </w:p>
        </w:tc>
        <w:tc>
          <w:tcPr/>
          <w:p>
            <w:pPr>
              <w:pStyle w:val="Compact"/>
              <w:jc w:val="left"/>
            </w:pPr>
            <w:r>
              <w:t xml:space="preserve">Criterio de Aceptación</w:t>
            </w:r>
          </w:p>
        </w:tc>
      </w:tr>
      <w:tr>
        <w:tc>
          <w:tcPr/>
          <w:p>
            <w:pPr>
              <w:pStyle w:val="Compact"/>
              <w:jc w:val="left"/>
            </w:pPr>
            <w:r>
              <w:t xml:space="preserve">D1. Infraestructura</w:t>
            </w:r>
          </w:p>
        </w:tc>
        <w:tc>
          <w:tcPr/>
          <w:p>
            <w:pPr>
              <w:pStyle w:val="Compact"/>
              <w:jc w:val="left"/>
            </w:pPr>
            <w:r>
              <w:t xml:space="preserve">VMs, almacenamiento, red, certificados</w:t>
            </w:r>
          </w:p>
        </w:tc>
        <w:tc>
          <w:tcPr/>
          <w:p>
            <w:pPr>
              <w:pStyle w:val="Compact"/>
              <w:jc w:val="left"/>
            </w:pPr>
            <w:r>
              <w:t xml:space="preserve">Inventario validado, arquitectura aterrizada</w:t>
            </w:r>
          </w:p>
        </w:tc>
      </w:tr>
      <w:tr>
        <w:tc>
          <w:tcPr/>
          <w:p>
            <w:pPr>
              <w:pStyle w:val="Compact"/>
              <w:jc w:val="left"/>
            </w:pPr>
            <w:r>
              <w:t xml:space="preserve">D2. Código y Despliegue</w:t>
            </w:r>
          </w:p>
        </w:tc>
        <w:tc>
          <w:tcPr/>
          <w:p>
            <w:pPr>
              <w:pStyle w:val="Compact"/>
              <w:jc w:val="left"/>
            </w:pPr>
            <w:r>
              <w:t xml:space="preserve">Repositorios, pipelines, artefactos, rollback</w:t>
            </w:r>
          </w:p>
        </w:tc>
        <w:tc>
          <w:tcPr/>
          <w:p>
            <w:pPr>
              <w:pStyle w:val="Compact"/>
              <w:jc w:val="left"/>
            </w:pPr>
            <w:r>
              <w:t xml:space="preserve">Repositorios clonados, pipelines validados</w:t>
            </w:r>
          </w:p>
        </w:tc>
      </w:tr>
      <w:tr>
        <w:tc>
          <w:tcPr/>
          <w:p>
            <w:pPr>
              <w:pStyle w:val="Compact"/>
              <w:jc w:val="left"/>
            </w:pPr>
            <w:r>
              <w:t xml:space="preserve">D3. Base de Datos</w:t>
            </w:r>
          </w:p>
        </w:tc>
        <w:tc>
          <w:tcPr/>
          <w:p>
            <w:pPr>
              <w:pStyle w:val="Compact"/>
              <w:jc w:val="left"/>
            </w:pPr>
            <w:r>
              <w:t xml:space="preserve">Modelos, diccionarios, jobs, backups, restore</w:t>
            </w:r>
          </w:p>
        </w:tc>
        <w:tc>
          <w:tcPr/>
          <w:p>
            <w:pPr>
              <w:pStyle w:val="Compact"/>
              <w:jc w:val="left"/>
            </w:pPr>
            <w:r>
              <w:t xml:space="preserve">Restore exitoso, integridad validada</w:t>
            </w:r>
          </w:p>
        </w:tc>
      </w:tr>
      <w:tr>
        <w:tc>
          <w:tcPr/>
          <w:p>
            <w:pPr>
              <w:pStyle w:val="Compact"/>
              <w:jc w:val="left"/>
            </w:pPr>
            <w:r>
              <w:t xml:space="preserve">D4. Seguridad</w:t>
            </w:r>
          </w:p>
        </w:tc>
        <w:tc>
          <w:tcPr/>
          <w:p>
            <w:pPr>
              <w:pStyle w:val="Compact"/>
              <w:jc w:val="left"/>
            </w:pPr>
            <w:r>
              <w:t xml:space="preserve">RBAC, MFA, SIEM, hardening, vulnerabilidades</w:t>
            </w:r>
          </w:p>
        </w:tc>
        <w:tc>
          <w:tcPr/>
          <w:p>
            <w:pPr>
              <w:pStyle w:val="Compact"/>
              <w:jc w:val="left"/>
            </w:pPr>
            <w:r>
              <w:t xml:space="preserve">Escaneo limpio, credenciales transferidas</w:t>
            </w:r>
          </w:p>
        </w:tc>
      </w:tr>
      <w:tr>
        <w:tc>
          <w:tcPr/>
          <w:p>
            <w:pPr>
              <w:pStyle w:val="Compact"/>
              <w:jc w:val="left"/>
            </w:pPr>
            <w:r>
              <w:t xml:space="preserve">D5. Integraciones</w:t>
            </w:r>
          </w:p>
        </w:tc>
        <w:tc>
          <w:tcPr/>
          <w:p>
            <w:pPr>
              <w:pStyle w:val="Compact"/>
              <w:jc w:val="left"/>
            </w:pPr>
            <w:r>
              <w:t xml:space="preserve">APIs, servicios web, colas, notificaciones</w:t>
            </w:r>
          </w:p>
        </w:tc>
        <w:tc>
          <w:tcPr/>
          <w:p>
            <w:pPr>
              <w:pStyle w:val="Compact"/>
              <w:jc w:val="left"/>
            </w:pPr>
            <w:r>
              <w:t xml:space="preserve">Pruebas de conectividad exitosas</w:t>
            </w:r>
          </w:p>
        </w:tc>
      </w:tr>
      <w:tr>
        <w:tc>
          <w:tcPr/>
          <w:p>
            <w:pPr>
              <w:pStyle w:val="Compact"/>
              <w:jc w:val="left"/>
            </w:pPr>
            <w:r>
              <w:t xml:space="preserve">D6. Operación</w:t>
            </w:r>
          </w:p>
        </w:tc>
        <w:tc>
          <w:tcPr/>
          <w:p>
            <w:pPr>
              <w:pStyle w:val="Compact"/>
              <w:jc w:val="left"/>
            </w:pPr>
            <w:r>
              <w:t xml:space="preserve">Runbooks, turnos 24/7, mesa de ayuda, escalamiento</w:t>
            </w:r>
          </w:p>
        </w:tc>
        <w:tc>
          <w:tcPr/>
          <w:p>
            <w:pPr>
              <w:pStyle w:val="Compact"/>
              <w:jc w:val="left"/>
            </w:pPr>
            <w:r>
              <w:t xml:space="preserve">Operación en sombra validada</w:t>
            </w:r>
          </w:p>
        </w:tc>
      </w:tr>
      <w:tr>
        <w:tc>
          <w:tcPr/>
          <w:p>
            <w:pPr>
              <w:pStyle w:val="Compact"/>
              <w:jc w:val="left"/>
            </w:pPr>
            <w:r>
              <w:t xml:space="preserve">D7. Continuidad</w:t>
            </w:r>
          </w:p>
        </w:tc>
        <w:tc>
          <w:tcPr/>
          <w:p>
            <w:pPr>
              <w:pStyle w:val="Compact"/>
              <w:jc w:val="left"/>
            </w:pPr>
            <w:r>
              <w:t xml:space="preserve">RPO/RTO, sitio alterno, simulacros, DRP</w:t>
            </w:r>
          </w:p>
        </w:tc>
        <w:tc>
          <w:tcPr/>
          <w:p>
            <w:pPr>
              <w:pStyle w:val="Compact"/>
              <w:jc w:val="left"/>
            </w:pPr>
            <w:r>
              <w:t xml:space="preserve">Simulacro ejecutado con éxito</w:t>
            </w:r>
          </w:p>
        </w:tc>
      </w:tr>
      <w:tr>
        <w:tc>
          <w:tcPr/>
          <w:p>
            <w:pPr>
              <w:pStyle w:val="Compact"/>
              <w:jc w:val="left"/>
            </w:pPr>
            <w:r>
              <w:t xml:space="preserve">D8. Documentación</w:t>
            </w:r>
          </w:p>
        </w:tc>
        <w:tc>
          <w:tcPr/>
          <w:p>
            <w:pPr>
              <w:pStyle w:val="Compact"/>
              <w:jc w:val="left"/>
            </w:pPr>
            <w:r>
              <w:t xml:space="preserve">Técnica, operativa, de usuario, de arquitectura</w:t>
            </w:r>
          </w:p>
        </w:tc>
        <w:tc>
          <w:tcPr/>
          <w:p>
            <w:pPr>
              <w:pStyle w:val="Compact"/>
              <w:jc w:val="left"/>
            </w:pPr>
            <w:r>
              <w:t xml:space="preserve">Carpeta maestra consolidada</w:t>
            </w:r>
          </w:p>
        </w:tc>
      </w:tr>
      <w:tr>
        <w:tc>
          <w:tcPr/>
          <w:p>
            <w:pPr>
              <w:pStyle w:val="Compact"/>
              <w:jc w:val="left"/>
            </w:pPr>
            <w:r>
              <w:t xml:space="preserve">D9. Gobierno y Calidad</w:t>
            </w:r>
          </w:p>
        </w:tc>
        <w:tc>
          <w:tcPr/>
          <w:p>
            <w:pPr>
              <w:pStyle w:val="Compact"/>
              <w:jc w:val="left"/>
            </w:pPr>
            <w:r>
              <w:t xml:space="preserve">Actas, RAID, comité, criterios de aceptación</w:t>
            </w:r>
          </w:p>
        </w:tc>
        <w:tc>
          <w:tcPr/>
          <w:p>
            <w:pPr>
              <w:pStyle w:val="Compact"/>
              <w:jc w:val="left"/>
            </w:pPr>
            <w:r>
              <w:t xml:space="preserve">Documentación completa firmada</w:t>
            </w:r>
          </w:p>
        </w:tc>
      </w:tr>
      <w:tr>
        <w:tc>
          <w:tcPr/>
          <w:p>
            <w:pPr>
              <w:pStyle w:val="Compact"/>
              <w:jc w:val="left"/>
            </w:pPr>
            <w:r>
              <w:t xml:space="preserve">D10. Conocimiento</w:t>
            </w:r>
          </w:p>
        </w:tc>
        <w:tc>
          <w:tcPr/>
          <w:p>
            <w:pPr>
              <w:pStyle w:val="Compact"/>
              <w:jc w:val="left"/>
            </w:pPr>
            <w:r>
              <w:t xml:space="preserve">Transferencia funcional, sesiones grabadas, validación</w:t>
            </w:r>
          </w:p>
        </w:tc>
        <w:tc>
          <w:tcPr/>
          <w:p>
            <w:pPr>
              <w:pStyle w:val="Compact"/>
              <w:jc w:val="left"/>
            </w:pPr>
            <w:r>
              <w:t xml:space="preserve">Sesiones grabadas, runbooks construidos</w:t>
            </w:r>
          </w:p>
        </w:tc>
      </w:tr>
    </w:tbl>
    <w:bookmarkEnd w:id="28"/>
    <w:bookmarkStart w:id="29" w:name="fuera-del-alcance"/>
    <w:p>
      <w:pPr>
        <w:pStyle w:val="Heading3"/>
      </w:pPr>
      <w:r>
        <w:t xml:space="preserve">3.2 Fuera del Alcance</w:t>
      </w:r>
    </w:p>
    <w:p>
      <w:pPr>
        <w:numPr>
          <w:ilvl w:val="0"/>
          <w:numId w:val="1001"/>
        </w:numPr>
        <w:pStyle w:val="Compact"/>
      </w:pPr>
      <w:r>
        <w:t xml:space="preserve">Desarrollo de nuevas funcionalidades para SICOM</w:t>
      </w:r>
    </w:p>
    <w:p>
      <w:pPr>
        <w:numPr>
          <w:ilvl w:val="0"/>
          <w:numId w:val="1001"/>
        </w:numPr>
        <w:pStyle w:val="Compact"/>
      </w:pPr>
      <w:r>
        <w:t xml:space="preserve">Modificación de la arquitectura base sin aprobación del MME</w:t>
      </w:r>
    </w:p>
    <w:p>
      <w:pPr>
        <w:numPr>
          <w:ilvl w:val="0"/>
          <w:numId w:val="1001"/>
        </w:numPr>
        <w:pStyle w:val="Compact"/>
      </w:pPr>
      <w:r>
        <w:t xml:space="preserve">Migración de datos históricos anteriores al período de operación de INTERNEXA</w:t>
      </w:r>
    </w:p>
    <w:p>
      <w:pPr>
        <w:numPr>
          <w:ilvl w:val="0"/>
          <w:numId w:val="1001"/>
        </w:numPr>
        <w:pStyle w:val="Compact"/>
      </w:pPr>
      <w:r>
        <w:t xml:space="preserve">Capacitación de usuarios finales del MME (se entrega material, no sesiones)</w:t>
      </w:r>
    </w:p>
    <w:p>
      <w:pPr>
        <w:numPr>
          <w:ilvl w:val="0"/>
          <w:numId w:val="1001"/>
        </w:numPr>
        <w:pStyle w:val="Compact"/>
      </w:pPr>
      <w:r>
        <w:t xml:space="preserve">Mantenimiento post-empalme (cubre solo transferencia, no operación continua)</w:t>
      </w:r>
    </w:p>
    <w:p>
      <w:r>
        <w:pict>
          <v:rect style="width:0;height:1.5pt" o:hralign="center" o:hrstd="t" o:hr="t"/>
        </w:pict>
      </w:r>
    </w:p>
    <w:bookmarkEnd w:id="29"/>
    <w:bookmarkEnd w:id="30"/>
    <w:bookmarkStart w:id="33" w:name="cronograma-del-empalme"/>
    <w:p>
      <w:pPr>
        <w:pStyle w:val="Heading2"/>
      </w:pPr>
      <w:r>
        <w:t xml:space="preserve">4. CRONOGRAMA DEL EMPALME</w:t>
      </w:r>
    </w:p>
    <w:bookmarkStart w:id="31" w:name="periodo-general"/>
    <w:p>
      <w:pPr>
        <w:pStyle w:val="Heading3"/>
      </w:pPr>
      <w:r>
        <w:t xml:space="preserve">4.1 Periodo General</w:t>
      </w:r>
    </w:p>
    <w:tbl>
      <w:tblPr>
        <w:tblStyle w:val="Table"/>
        <w:tblW w:type="pct" w:w="5000"/>
        <w:tblLook w:firstRow="1" w:lastRow="0" w:firstColumn="0" w:lastColumn="0" w:noHBand="0" w:noVBand="0" w:val="0020"/>
        <w:jc w:val="start"/>
      </w:tblPr>
      <w:tblGrid>
        <w:gridCol w:w="1980"/>
        <w:gridCol w:w="2640"/>
        <w:gridCol w:w="3300"/>
      </w:tblGrid>
      <w:tr>
        <w:trPr>
          <w:tblHeader w:val="true"/>
        </w:trPr>
        <w:tc>
          <w:tcPr/>
          <w:p>
            <w:pPr>
              <w:pStyle w:val="Compact"/>
              <w:jc w:val="left"/>
            </w:pPr>
            <w:r>
              <w:t xml:space="preserve">Fase</w:t>
            </w:r>
          </w:p>
        </w:tc>
        <w:tc>
          <w:tcPr/>
          <w:p>
            <w:pPr>
              <w:pStyle w:val="Compact"/>
              <w:jc w:val="left"/>
            </w:pPr>
            <w:r>
              <w:t xml:space="preserve">Fechas</w:t>
            </w:r>
          </w:p>
        </w:tc>
        <w:tc>
          <w:tcPr/>
          <w:p>
            <w:pPr>
              <w:pStyle w:val="Compact"/>
              <w:jc w:val="left"/>
            </w:pPr>
            <w:r>
              <w:t xml:space="preserve">Duración</w:t>
            </w:r>
          </w:p>
        </w:tc>
      </w:tr>
      <w:tr>
        <w:tc>
          <w:tcPr/>
          <w:p>
            <w:pPr>
              <w:pStyle w:val="Compact"/>
              <w:jc w:val="left"/>
            </w:pPr>
            <w:r>
              <w:t xml:space="preserve">Preparación e Inicio</w:t>
            </w:r>
          </w:p>
        </w:tc>
        <w:tc>
          <w:tcPr/>
          <w:p>
            <w:pPr>
              <w:pStyle w:val="Compact"/>
              <w:jc w:val="left"/>
            </w:pPr>
            <w:r>
              <w:t xml:space="preserve">19 mayo - 25 mayo 2026</w:t>
            </w:r>
          </w:p>
        </w:tc>
        <w:tc>
          <w:tcPr/>
          <w:p>
            <w:pPr>
              <w:pStyle w:val="Compact"/>
              <w:jc w:val="left"/>
            </w:pPr>
            <w:r>
              <w:t xml:space="preserve">1 semana</w:t>
            </w:r>
          </w:p>
        </w:tc>
      </w:tr>
      <w:tr>
        <w:tc>
          <w:tcPr/>
          <w:p>
            <w:pPr>
              <w:pStyle w:val="Compact"/>
              <w:jc w:val="left"/>
            </w:pPr>
            <w:r>
              <w:t xml:space="preserve">Inventario y Validación Técnica</w:t>
            </w:r>
          </w:p>
        </w:tc>
        <w:tc>
          <w:tcPr/>
          <w:p>
            <w:pPr>
              <w:pStyle w:val="Compact"/>
              <w:jc w:val="left"/>
            </w:pPr>
            <w:r>
              <w:t xml:space="preserve">26 mayo - 14 junio 2026</w:t>
            </w:r>
          </w:p>
        </w:tc>
        <w:tc>
          <w:tcPr/>
          <w:p>
            <w:pPr>
              <w:pStyle w:val="Compact"/>
              <w:jc w:val="left"/>
            </w:pPr>
            <w:r>
              <w:t xml:space="preserve">3 semanas</w:t>
            </w:r>
          </w:p>
        </w:tc>
      </w:tr>
      <w:tr>
        <w:tc>
          <w:tcPr/>
          <w:p>
            <w:pPr>
              <w:pStyle w:val="Compact"/>
              <w:jc w:val="left"/>
            </w:pPr>
            <w:r>
              <w:t xml:space="preserve">Operación en Sombra y Transferencia</w:t>
            </w:r>
          </w:p>
        </w:tc>
        <w:tc>
          <w:tcPr/>
          <w:p>
            <w:pPr>
              <w:pStyle w:val="Compact"/>
              <w:jc w:val="left"/>
            </w:pPr>
            <w:r>
              <w:t xml:space="preserve">15 junio - 21 junio 2026</w:t>
            </w:r>
          </w:p>
        </w:tc>
        <w:tc>
          <w:tcPr/>
          <w:p>
            <w:pPr>
              <w:pStyle w:val="Compact"/>
              <w:jc w:val="left"/>
            </w:pPr>
            <w:r>
              <w:t xml:space="preserve">1 semana</w:t>
            </w:r>
          </w:p>
        </w:tc>
      </w:tr>
      <w:tr>
        <w:tc>
          <w:tcPr/>
          <w:p>
            <w:pPr>
              <w:pStyle w:val="Compact"/>
              <w:jc w:val="left"/>
            </w:pPr>
            <w:r>
              <w:t xml:space="preserve">Corte y Recibo Final</w:t>
            </w:r>
          </w:p>
        </w:tc>
        <w:tc>
          <w:tcPr/>
          <w:p>
            <w:pPr>
              <w:pStyle w:val="Compact"/>
              <w:jc w:val="left"/>
            </w:pPr>
            <w:r>
              <w:t xml:space="preserve">22 junio - 30 junio 2026</w:t>
            </w:r>
          </w:p>
        </w:tc>
        <w:tc>
          <w:tcPr/>
          <w:p>
            <w:pPr>
              <w:pStyle w:val="Compact"/>
              <w:jc w:val="left"/>
            </w:pPr>
            <w:r>
              <w:t xml:space="preserve">1 semana</w:t>
            </w:r>
          </w:p>
        </w:tc>
      </w:tr>
      <w:tr>
        <w:tc>
          <w:tcPr/>
          <w:p>
            <w:pPr>
              <w:pStyle w:val="Compact"/>
              <w:jc w:val="left"/>
            </w:pPr>
            <w:r>
              <w:t xml:space="preserve">Estabilización Post-Corte</w:t>
            </w:r>
          </w:p>
        </w:tc>
        <w:tc>
          <w:tcPr/>
          <w:p>
            <w:pPr>
              <w:pStyle w:val="Compact"/>
              <w:jc w:val="left"/>
            </w:pPr>
            <w:r>
              <w:t xml:space="preserve">1 julio - 15 julio 2026</w:t>
            </w:r>
          </w:p>
        </w:tc>
        <w:tc>
          <w:tcPr/>
          <w:p>
            <w:pPr>
              <w:pStyle w:val="Compact"/>
              <w:jc w:val="left"/>
            </w:pPr>
            <w:r>
              <w:t xml:space="preserve">15 días</w:t>
            </w:r>
          </w:p>
        </w:tc>
      </w:tr>
    </w:tbl>
    <w:p>
      <w:pPr>
        <w:pStyle w:val="BodyText"/>
      </w:pPr>
      <w:r>
        <w:rPr>
          <w:bCs/>
          <w:b/>
        </w:rPr>
        <w:t xml:space="preserve">Total del Empalme:</w:t>
      </w:r>
      <w:r>
        <w:t xml:space="preserve"> </w:t>
      </w:r>
      <w:r>
        <w:t xml:space="preserve">6 semanas efectivas (19 mayo - 30 junio 2026)</w:t>
      </w:r>
      <w:r>
        <w:br/>
      </w:r>
      <w:r>
        <w:rPr>
          <w:bCs/>
          <w:b/>
        </w:rPr>
        <w:t xml:space="preserve">Inicio Operación CI2:</w:t>
      </w:r>
      <w:r>
        <w:t xml:space="preserve"> </w:t>
      </w:r>
      <w:r>
        <w:t xml:space="preserve">1 julio 2026</w:t>
      </w:r>
    </w:p>
    <w:bookmarkEnd w:id="31"/>
    <w:bookmarkStart w:id="32" w:name="hitos-milestones"/>
    <w:p>
      <w:pPr>
        <w:pStyle w:val="Heading3"/>
      </w:pPr>
      <w:r>
        <w:t xml:space="preserve">4.2 Hitos (Milestones)</w:t>
      </w:r>
    </w:p>
    <w:tbl>
      <w:tblPr>
        <w:tblStyle w:val="Table"/>
        <w:tblW w:type="pct" w:w="5000"/>
        <w:tblLook w:firstRow="1" w:lastRow="0" w:firstColumn="0" w:lastColumn="0" w:noHBand="0" w:noVBand="0" w:val="0020"/>
        <w:jc w:val="start"/>
      </w:tblPr>
      <w:tblGrid>
        <w:gridCol w:w="1218"/>
        <w:gridCol w:w="2436"/>
        <w:gridCol w:w="2640"/>
        <w:gridCol w:w="1624"/>
      </w:tblGrid>
      <w:tr>
        <w:trPr>
          <w:tblHeader w:val="true"/>
        </w:trPr>
        <w:tc>
          <w:tcPr/>
          <w:p>
            <w:pPr>
              <w:pStyle w:val="Compact"/>
              <w:jc w:val="left"/>
            </w:pPr>
            <w:r>
              <w:t xml:space="preserve">Hito</w:t>
            </w:r>
          </w:p>
        </w:tc>
        <w:tc>
          <w:tcPr/>
          <w:p>
            <w:pPr>
              <w:pStyle w:val="Compact"/>
              <w:jc w:val="left"/>
            </w:pPr>
            <w:r>
              <w:t xml:space="preserve">Fecha Plan</w:t>
            </w:r>
          </w:p>
        </w:tc>
        <w:tc>
          <w:tcPr/>
          <w:p>
            <w:pPr>
              <w:pStyle w:val="Compact"/>
              <w:jc w:val="left"/>
            </w:pPr>
            <w:r>
              <w:t xml:space="preserve">Responsable</w:t>
            </w:r>
          </w:p>
        </w:tc>
        <w:tc>
          <w:tcPr/>
          <w:p>
            <w:pPr>
              <w:pStyle w:val="Compact"/>
              <w:jc w:val="left"/>
            </w:pPr>
            <w:r>
              <w:t xml:space="preserve">Estado</w:t>
            </w:r>
          </w:p>
        </w:tc>
      </w:tr>
      <w:tr>
        <w:tc>
          <w:tcPr/>
          <w:p>
            <w:pPr>
              <w:pStyle w:val="Compact"/>
              <w:jc w:val="left"/>
            </w:pPr>
            <w:r>
              <w:t xml:space="preserve">M1: Instalación Gobierno</w:t>
            </w:r>
          </w:p>
        </w:tc>
        <w:tc>
          <w:tcPr/>
          <w:p>
            <w:pPr>
              <w:pStyle w:val="Compact"/>
              <w:jc w:val="left"/>
            </w:pPr>
            <w:r>
              <w:t xml:space="preserve">20 mayo 2026</w:t>
            </w:r>
          </w:p>
        </w:tc>
        <w:tc>
          <w:tcPr/>
          <w:p>
            <w:pPr>
              <w:pStyle w:val="Compact"/>
              <w:jc w:val="left"/>
            </w:pPr>
            <w:r>
              <w:t xml:space="preserve">Jelkin Carrillo</w:t>
            </w:r>
          </w:p>
        </w:tc>
        <w:tc>
          <w:tcPr/>
          <w:p>
            <w:pPr>
              <w:pStyle w:val="Compact"/>
              <w:jc w:val="left"/>
            </w:pPr>
            <w:r>
              <w:t xml:space="preserve">🟡 En curso</w:t>
            </w:r>
          </w:p>
        </w:tc>
      </w:tr>
      <w:tr>
        <w:tc>
          <w:tcPr/>
          <w:p>
            <w:pPr>
              <w:pStyle w:val="Compact"/>
              <w:jc w:val="left"/>
            </w:pPr>
            <w:r>
              <w:t xml:space="preserve">M2: Accesos Solo Lectura</w:t>
            </w:r>
          </w:p>
        </w:tc>
        <w:tc>
          <w:tcPr/>
          <w:p>
            <w:pPr>
              <w:pStyle w:val="Compact"/>
              <w:jc w:val="left"/>
            </w:pPr>
            <w:r>
              <w:t xml:space="preserve">25 mayo 2026</w:t>
            </w:r>
          </w:p>
        </w:tc>
        <w:tc>
          <w:tcPr/>
          <w:p>
            <w:pPr>
              <w:pStyle w:val="Compact"/>
              <w:jc w:val="left"/>
            </w:pPr>
            <w:r>
              <w:t xml:space="preserve">INTERNEXA</w:t>
            </w:r>
          </w:p>
        </w:tc>
        <w:tc>
          <w:tcPr/>
          <w:p>
            <w:pPr>
              <w:pStyle w:val="Compact"/>
              <w:jc w:val="left"/>
            </w:pPr>
            <w:r>
              <w:t xml:space="preserve">⏳ Futuro</w:t>
            </w:r>
          </w:p>
        </w:tc>
      </w:tr>
      <w:tr>
        <w:tc>
          <w:tcPr/>
          <w:p>
            <w:pPr>
              <w:pStyle w:val="Compact"/>
              <w:jc w:val="left"/>
            </w:pPr>
            <w:r>
              <w:t xml:space="preserve">M3: Inventario Técnico Completo</w:t>
            </w:r>
          </w:p>
        </w:tc>
        <w:tc>
          <w:tcPr/>
          <w:p>
            <w:pPr>
              <w:pStyle w:val="Compact"/>
              <w:jc w:val="left"/>
            </w:pPr>
            <w:r>
              <w:t xml:space="preserve">31 mayo 2026</w:t>
            </w:r>
          </w:p>
        </w:tc>
        <w:tc>
          <w:tcPr/>
          <w:p>
            <w:pPr>
              <w:pStyle w:val="Compact"/>
              <w:jc w:val="left"/>
            </w:pPr>
            <w:r>
              <w:t xml:space="preserve">INTERNEXA</w:t>
            </w:r>
          </w:p>
        </w:tc>
        <w:tc>
          <w:tcPr/>
          <w:p>
            <w:pPr>
              <w:pStyle w:val="Compact"/>
              <w:jc w:val="left"/>
            </w:pPr>
            <w:r>
              <w:t xml:space="preserve">⏳ Futuro</w:t>
            </w:r>
          </w:p>
        </w:tc>
      </w:tr>
      <w:tr>
        <w:tc>
          <w:tcPr/>
          <w:p>
            <w:pPr>
              <w:pStyle w:val="Compact"/>
              <w:jc w:val="left"/>
            </w:pPr>
            <w:r>
              <w:t xml:space="preserve">M4: Restore Validado</w:t>
            </w:r>
          </w:p>
        </w:tc>
        <w:tc>
          <w:tcPr/>
          <w:p>
            <w:pPr>
              <w:pStyle w:val="Compact"/>
              <w:jc w:val="left"/>
            </w:pPr>
            <w:r>
              <w:t xml:space="preserve">14 junio 2026</w:t>
            </w:r>
          </w:p>
        </w:tc>
        <w:tc>
          <w:tcPr/>
          <w:p>
            <w:pPr>
              <w:pStyle w:val="Compact"/>
              <w:jc w:val="left"/>
            </w:pPr>
            <w:r>
              <w:t xml:space="preserve">CI2 + INTERNEXA</w:t>
            </w:r>
          </w:p>
        </w:tc>
        <w:tc>
          <w:tcPr/>
          <w:p>
            <w:pPr>
              <w:pStyle w:val="Compact"/>
              <w:jc w:val="left"/>
            </w:pPr>
            <w:r>
              <w:t xml:space="preserve">⏳ Futuro</w:t>
            </w:r>
          </w:p>
        </w:tc>
      </w:tr>
      <w:tr>
        <w:tc>
          <w:tcPr/>
          <w:p>
            <w:pPr>
              <w:pStyle w:val="Compact"/>
              <w:jc w:val="left"/>
            </w:pPr>
            <w:r>
              <w:t xml:space="preserve">M5: Operación en Sombra Iniciada</w:t>
            </w:r>
          </w:p>
        </w:tc>
        <w:tc>
          <w:tcPr/>
          <w:p>
            <w:pPr>
              <w:pStyle w:val="Compact"/>
              <w:jc w:val="left"/>
            </w:pPr>
            <w:r>
              <w:t xml:space="preserve">15 junio 2026</w:t>
            </w:r>
          </w:p>
        </w:tc>
        <w:tc>
          <w:tcPr/>
          <w:p>
            <w:pPr>
              <w:pStyle w:val="Compact"/>
              <w:jc w:val="left"/>
            </w:pPr>
            <w:r>
              <w:t xml:space="preserve">CI2</w:t>
            </w:r>
          </w:p>
        </w:tc>
        <w:tc>
          <w:tcPr/>
          <w:p>
            <w:pPr>
              <w:pStyle w:val="Compact"/>
              <w:jc w:val="left"/>
            </w:pPr>
            <w:r>
              <w:t xml:space="preserve">⏳ Futuro</w:t>
            </w:r>
          </w:p>
        </w:tc>
      </w:tr>
      <w:tr>
        <w:tc>
          <w:tcPr/>
          <w:p>
            <w:pPr>
              <w:pStyle w:val="Compact"/>
              <w:jc w:val="left"/>
            </w:pPr>
            <w:r>
              <w:t xml:space="preserve">M6: Pruebas de Estrés y Seguridad</w:t>
            </w:r>
          </w:p>
        </w:tc>
        <w:tc>
          <w:tcPr/>
          <w:p>
            <w:pPr>
              <w:pStyle w:val="Compact"/>
              <w:jc w:val="left"/>
            </w:pPr>
            <w:r>
              <w:t xml:space="preserve">21 junio 2026</w:t>
            </w:r>
          </w:p>
        </w:tc>
        <w:tc>
          <w:tcPr/>
          <w:p>
            <w:pPr>
              <w:pStyle w:val="Compact"/>
              <w:jc w:val="left"/>
            </w:pPr>
            <w:r>
              <w:t xml:space="preserve">CI2</w:t>
            </w:r>
          </w:p>
        </w:tc>
        <w:tc>
          <w:tcPr/>
          <w:p>
            <w:pPr>
              <w:pStyle w:val="Compact"/>
              <w:jc w:val="left"/>
            </w:pPr>
            <w:r>
              <w:t xml:space="preserve">⏳ Futuro</w:t>
            </w:r>
          </w:p>
        </w:tc>
      </w:tr>
      <w:tr>
        <w:tc>
          <w:tcPr/>
          <w:p>
            <w:pPr>
              <w:pStyle w:val="Compact"/>
              <w:jc w:val="left"/>
            </w:pPr>
            <w:r>
              <w:t xml:space="preserve">M7: Corte Controlado</w:t>
            </w:r>
          </w:p>
        </w:tc>
        <w:tc>
          <w:tcPr/>
          <w:p>
            <w:pPr>
              <w:pStyle w:val="Compact"/>
              <w:jc w:val="left"/>
            </w:pPr>
            <w:r>
              <w:t xml:space="preserve">30 junio 2026</w:t>
            </w:r>
          </w:p>
        </w:tc>
        <w:tc>
          <w:tcPr/>
          <w:p>
            <w:pPr>
              <w:pStyle w:val="Compact"/>
              <w:jc w:val="left"/>
            </w:pPr>
            <w:r>
              <w:t xml:space="preserve">CI2 + MME</w:t>
            </w:r>
          </w:p>
        </w:tc>
        <w:tc>
          <w:tcPr/>
          <w:p>
            <w:pPr>
              <w:pStyle w:val="Compact"/>
              <w:jc w:val="left"/>
            </w:pPr>
            <w:r>
              <w:t xml:space="preserve">⏳ Futuro</w:t>
            </w:r>
          </w:p>
        </w:tc>
      </w:tr>
      <w:tr>
        <w:tc>
          <w:tcPr/>
          <w:p>
            <w:pPr>
              <w:pStyle w:val="Compact"/>
              <w:jc w:val="left"/>
            </w:pPr>
            <w:r>
              <w:t xml:space="preserve">M8: Acta de Recibo Final Firmada</w:t>
            </w:r>
          </w:p>
        </w:tc>
        <w:tc>
          <w:tcPr/>
          <w:p>
            <w:pPr>
              <w:pStyle w:val="Compact"/>
              <w:jc w:val="left"/>
            </w:pPr>
            <w:r>
              <w:t xml:space="preserve">30 junio 2026</w:t>
            </w:r>
          </w:p>
        </w:tc>
        <w:tc>
          <w:tcPr/>
          <w:p>
            <w:pPr>
              <w:pStyle w:val="Compact"/>
              <w:jc w:val="left"/>
            </w:pPr>
            <w:r>
              <w:t xml:space="preserve">MME + CI2 + INTERNEXA</w:t>
            </w:r>
          </w:p>
        </w:tc>
        <w:tc>
          <w:tcPr/>
          <w:p>
            <w:pPr>
              <w:pStyle w:val="Compact"/>
              <w:jc w:val="left"/>
            </w:pPr>
            <w:r>
              <w:t xml:space="preserve">⏳ Futuro</w:t>
            </w:r>
          </w:p>
        </w:tc>
      </w:tr>
      <w:tr>
        <w:tc>
          <w:tcPr/>
          <w:p>
            <w:pPr>
              <w:pStyle w:val="Compact"/>
              <w:jc w:val="left"/>
            </w:pPr>
            <w:r>
              <w:t xml:space="preserve">M9: Estabilización Completada</w:t>
            </w:r>
          </w:p>
        </w:tc>
        <w:tc>
          <w:tcPr/>
          <w:p>
            <w:pPr>
              <w:pStyle w:val="Compact"/>
              <w:jc w:val="left"/>
            </w:pPr>
            <w:r>
              <w:t xml:space="preserve">15 julio 2026</w:t>
            </w:r>
          </w:p>
        </w:tc>
        <w:tc>
          <w:tcPr/>
          <w:p>
            <w:pPr>
              <w:pStyle w:val="Compact"/>
              <w:jc w:val="left"/>
            </w:pPr>
            <w:r>
              <w:t xml:space="preserve">CI2</w:t>
            </w:r>
          </w:p>
        </w:tc>
        <w:tc>
          <w:tcPr/>
          <w:p>
            <w:pPr>
              <w:pStyle w:val="Compact"/>
              <w:jc w:val="left"/>
            </w:pPr>
            <w:r>
              <w:t xml:space="preserve">⏳ Futuro</w:t>
            </w:r>
          </w:p>
        </w:tc>
      </w:tr>
    </w:tbl>
    <w:p>
      <w:r>
        <w:pict>
          <v:rect style="width:0;height:1.5pt" o:hralign="center" o:hrstd="t" o:hr="t"/>
        </w:pict>
      </w:r>
    </w:p>
    <w:bookmarkEnd w:id="32"/>
    <w:bookmarkEnd w:id="33"/>
    <w:bookmarkStart w:id="36" w:name="restricciones-y-supuestos"/>
    <w:p>
      <w:pPr>
        <w:pStyle w:val="Heading2"/>
      </w:pPr>
      <w:r>
        <w:t xml:space="preserve">5. RESTRICCIONES Y SUPUESTOS</w:t>
      </w:r>
    </w:p>
    <w:bookmarkStart w:id="34" w:name="restricciones"/>
    <w:p>
      <w:pPr>
        <w:pStyle w:val="Heading3"/>
      </w:pPr>
      <w:r>
        <w:t xml:space="preserve">5.1 Restricciones</w:t>
      </w:r>
    </w:p>
    <w:p>
      <w:pPr>
        <w:numPr>
          <w:ilvl w:val="0"/>
          <w:numId w:val="1002"/>
        </w:numPr>
        <w:pStyle w:val="Compact"/>
      </w:pPr>
      <w:r>
        <w:rPr>
          <w:bCs/>
          <w:b/>
        </w:rPr>
        <w:t xml:space="preserve">Plazo:</w:t>
      </w:r>
      <w:r>
        <w:t xml:space="preserve"> </w:t>
      </w:r>
      <w:r>
        <w:t xml:space="preserve">6 semanas calendario (19 mayo - 30 junio 2026), inamovible</w:t>
      </w:r>
    </w:p>
    <w:p>
      <w:pPr>
        <w:numPr>
          <w:ilvl w:val="0"/>
          <w:numId w:val="1002"/>
        </w:numPr>
        <w:pStyle w:val="Compact"/>
      </w:pPr>
      <w:r>
        <w:rPr>
          <w:bCs/>
          <w:b/>
        </w:rPr>
        <w:t xml:space="preserve">Presupuesto:</w:t>
      </w:r>
      <w:r>
        <w:t xml:space="preserve"> </w:t>
      </w:r>
      <w:r>
        <w:t xml:space="preserve">Limitado al valor del contrato GGC-2034-2025</w:t>
      </w:r>
    </w:p>
    <w:p>
      <w:pPr>
        <w:numPr>
          <w:ilvl w:val="0"/>
          <w:numId w:val="1002"/>
        </w:numPr>
        <w:pStyle w:val="Compact"/>
      </w:pPr>
      <w:r>
        <w:rPr>
          <w:bCs/>
          <w:b/>
        </w:rPr>
        <w:t xml:space="preserve">Disponibilidad del sistema:</w:t>
      </w:r>
      <w:r>
        <w:t xml:space="preserve"> </w:t>
      </w:r>
      <w:r>
        <w:t xml:space="preserve">SICOM debe mantenerse operativo durante todo el empalme</w:t>
      </w:r>
    </w:p>
    <w:p>
      <w:pPr>
        <w:numPr>
          <w:ilvl w:val="0"/>
          <w:numId w:val="1002"/>
        </w:numPr>
        <w:pStyle w:val="Compact"/>
      </w:pPr>
      <w:r>
        <w:rPr>
          <w:bCs/>
          <w:b/>
        </w:rPr>
        <w:t xml:space="preserve">Operador saliente:</w:t>
      </w:r>
      <w:r>
        <w:t xml:space="preserve"> </w:t>
      </w:r>
      <w:r>
        <w:t xml:space="preserve">INTERNEXA debe cooperar con entregas según plan</w:t>
      </w:r>
    </w:p>
    <w:p>
      <w:pPr>
        <w:numPr>
          <w:ilvl w:val="0"/>
          <w:numId w:val="1002"/>
        </w:numPr>
        <w:pStyle w:val="Compact"/>
      </w:pPr>
      <w:r>
        <w:rPr>
          <w:bCs/>
          <w:b/>
        </w:rPr>
        <w:t xml:space="preserve">Acceso a sedes:</w:t>
      </w:r>
      <w:r>
        <w:t xml:space="preserve"> </w:t>
      </w:r>
      <w:r>
        <w:t xml:space="preserve">INTERNEXA debe permitir acceso del equipo CI2 a instalaciones si aplica</w:t>
      </w:r>
    </w:p>
    <w:bookmarkEnd w:id="34"/>
    <w:bookmarkStart w:id="35" w:name="supuestos"/>
    <w:p>
      <w:pPr>
        <w:pStyle w:val="Heading3"/>
      </w:pPr>
      <w:r>
        <w:t xml:space="preserve">5.2 Supuestos</w:t>
      </w:r>
    </w:p>
    <w:p>
      <w:pPr>
        <w:numPr>
          <w:ilvl w:val="0"/>
          <w:numId w:val="1003"/>
        </w:numPr>
        <w:pStyle w:val="Compact"/>
      </w:pPr>
      <w:r>
        <w:t xml:space="preserve">INTERNEXA entregará documentación completa y actualizada</w:t>
      </w:r>
    </w:p>
    <w:p>
      <w:pPr>
        <w:numPr>
          <w:ilvl w:val="0"/>
          <w:numId w:val="1003"/>
        </w:numPr>
        <w:pStyle w:val="Compact"/>
      </w:pPr>
      <w:r>
        <w:t xml:space="preserve">Los backups de INTERNEXA son restaurables y validados</w:t>
      </w:r>
    </w:p>
    <w:p>
      <w:pPr>
        <w:numPr>
          <w:ilvl w:val="0"/>
          <w:numId w:val="1003"/>
        </w:numPr>
        <w:pStyle w:val="Compact"/>
      </w:pPr>
      <w:r>
        <w:t xml:space="preserve">Las credenciales y certificados son transferibles</w:t>
      </w:r>
    </w:p>
    <w:p>
      <w:pPr>
        <w:numPr>
          <w:ilvl w:val="0"/>
          <w:numId w:val="1003"/>
        </w:numPr>
        <w:pStyle w:val="Compact"/>
      </w:pPr>
      <w:r>
        <w:t xml:space="preserve">El equipo de INTERNEXA asignará personal clave para shadowing</w:t>
      </w:r>
    </w:p>
    <w:p>
      <w:pPr>
        <w:numPr>
          <w:ilvl w:val="0"/>
          <w:numId w:val="1003"/>
        </w:numPr>
        <w:pStyle w:val="Compact"/>
      </w:pPr>
      <w:r>
        <w:t xml:space="preserve">El MME (Elizabeth) estará disponible para decisiones en máximo 24 horas</w:t>
      </w:r>
    </w:p>
    <w:p>
      <w:pPr>
        <w:numPr>
          <w:ilvl w:val="0"/>
          <w:numId w:val="1003"/>
        </w:numPr>
        <w:pStyle w:val="Compact"/>
      </w:pPr>
      <w:r>
        <w:t xml:space="preserve">CI2 tiene infraestructura destino lista o en proceso de aprovisionamiento</w:t>
      </w:r>
    </w:p>
    <w:p>
      <w:r>
        <w:pict>
          <v:rect style="width:0;height:1.5pt" o:hralign="center" o:hrstd="t" o:hr="t"/>
        </w:pict>
      </w:r>
    </w:p>
    <w:bookmarkEnd w:id="35"/>
    <w:bookmarkEnd w:id="36"/>
    <w:bookmarkStart w:id="37" w:name="criterios-de-éxito-del-empalme"/>
    <w:p>
      <w:pPr>
        <w:pStyle w:val="Heading2"/>
      </w:pPr>
      <w:r>
        <w:t xml:space="preserve">6. CRITERIOS DE ÉXITO DEL EMPALME</w:t>
      </w:r>
    </w:p>
    <w:p>
      <w:pPr>
        <w:numPr>
          <w:ilvl w:val="0"/>
          <w:numId w:val="1004"/>
        </w:numPr>
        <w:pStyle w:val="Compact"/>
      </w:pPr>
      <w:r>
        <w:rPr>
          <w:bCs/>
          <w:b/>
        </w:rPr>
        <w:t xml:space="preserve">Cero interrupción del servicio SICOM</w:t>
      </w:r>
      <w:r>
        <w:t xml:space="preserve"> </w:t>
      </w:r>
      <w:r>
        <w:t xml:space="preserve">durante el empalme</w:t>
      </w:r>
    </w:p>
    <w:p>
      <w:pPr>
        <w:numPr>
          <w:ilvl w:val="0"/>
          <w:numId w:val="1004"/>
        </w:numPr>
        <w:pStyle w:val="Compact"/>
      </w:pPr>
      <w:r>
        <w:rPr>
          <w:bCs/>
          <w:b/>
        </w:rPr>
        <w:t xml:space="preserve">100% de dominios técnicos aceptados</w:t>
      </w:r>
      <w:r>
        <w:t xml:space="preserve"> </w:t>
      </w:r>
      <w:r>
        <w:t xml:space="preserve">con actas firmadas</w:t>
      </w:r>
    </w:p>
    <w:p>
      <w:pPr>
        <w:numPr>
          <w:ilvl w:val="0"/>
          <w:numId w:val="1004"/>
        </w:numPr>
        <w:pStyle w:val="Compact"/>
      </w:pPr>
      <w:r>
        <w:rPr>
          <w:bCs/>
          <w:b/>
        </w:rPr>
        <w:t xml:space="preserve">Restore de backups validado</w:t>
      </w:r>
      <w:r>
        <w:t xml:space="preserve"> </w:t>
      </w:r>
      <w:r>
        <w:t xml:space="preserve">con evidencia documentada</w:t>
      </w:r>
    </w:p>
    <w:p>
      <w:pPr>
        <w:numPr>
          <w:ilvl w:val="0"/>
          <w:numId w:val="1004"/>
        </w:numPr>
        <w:pStyle w:val="Compact"/>
      </w:pPr>
      <w:r>
        <w:rPr>
          <w:bCs/>
          <w:b/>
        </w:rPr>
        <w:t xml:space="preserve">Operación en sombra completada</w:t>
      </w:r>
      <w:r>
        <w:t xml:space="preserve"> </w:t>
      </w:r>
      <w:r>
        <w:t xml:space="preserve">con runbooks propios de CI2</w:t>
      </w:r>
    </w:p>
    <w:p>
      <w:pPr>
        <w:numPr>
          <w:ilvl w:val="0"/>
          <w:numId w:val="1004"/>
        </w:numPr>
        <w:pStyle w:val="Compact"/>
      </w:pPr>
      <w:r>
        <w:rPr>
          <w:bCs/>
          <w:b/>
        </w:rPr>
        <w:t xml:space="preserve">Simulacro de continuidad ejecutado</w:t>
      </w:r>
      <w:r>
        <w:t xml:space="preserve"> </w:t>
      </w:r>
      <w:r>
        <w:t xml:space="preserve">con RPO/RTO validados</w:t>
      </w:r>
    </w:p>
    <w:p>
      <w:pPr>
        <w:numPr>
          <w:ilvl w:val="0"/>
          <w:numId w:val="1004"/>
        </w:numPr>
        <w:pStyle w:val="Compact"/>
      </w:pPr>
      <w:r>
        <w:rPr>
          <w:bCs/>
          <w:b/>
        </w:rPr>
        <w:t xml:space="preserve">Corte controlado exitoso</w:t>
      </w:r>
      <w:r>
        <w:t xml:space="preserve"> </w:t>
      </w:r>
      <w:r>
        <w:t xml:space="preserve">con monitoreo intensivo post-corte</w:t>
      </w:r>
    </w:p>
    <w:p>
      <w:pPr>
        <w:numPr>
          <w:ilvl w:val="0"/>
          <w:numId w:val="1004"/>
        </w:numPr>
        <w:pStyle w:val="Compact"/>
      </w:pPr>
      <w:r>
        <w:rPr>
          <w:bCs/>
          <w:b/>
        </w:rPr>
        <w:t xml:space="preserve">Acta de recibo final firmada</w:t>
      </w:r>
      <w:r>
        <w:t xml:space="preserve"> </w:t>
      </w:r>
      <w:r>
        <w:t xml:space="preserve">por MME, CI2 e INTERNEXA</w:t>
      </w:r>
    </w:p>
    <w:p>
      <w:pPr>
        <w:numPr>
          <w:ilvl w:val="0"/>
          <w:numId w:val="1004"/>
        </w:numPr>
        <w:pStyle w:val="Compact"/>
      </w:pPr>
      <w:r>
        <w:rPr>
          <w:bCs/>
          <w:b/>
        </w:rPr>
        <w:t xml:space="preserve">Acta de cesión de derechos</w:t>
      </w:r>
      <w:r>
        <w:t xml:space="preserve"> </w:t>
      </w:r>
      <w:r>
        <w:t xml:space="preserve">suscrita</w:t>
      </w:r>
    </w:p>
    <w:p>
      <w:pPr>
        <w:numPr>
          <w:ilvl w:val="0"/>
          <w:numId w:val="1004"/>
        </w:numPr>
        <w:pStyle w:val="Compact"/>
      </w:pPr>
      <w:r>
        <w:rPr>
          <w:bCs/>
          <w:b/>
        </w:rPr>
        <w:t xml:space="preserve">Certificación de destrucción de datos</w:t>
      </w:r>
      <w:r>
        <w:t xml:space="preserve"> </w:t>
      </w:r>
      <w:r>
        <w:t xml:space="preserve">en infraestructura de INTERNEXA</w:t>
      </w:r>
    </w:p>
    <w:p>
      <w:pPr>
        <w:numPr>
          <w:ilvl w:val="0"/>
          <w:numId w:val="1004"/>
        </w:numPr>
        <w:pStyle w:val="Compact"/>
      </w:pPr>
      <w:r>
        <w:rPr>
          <w:bCs/>
          <w:b/>
        </w:rPr>
        <w:t xml:space="preserve">Informe de cierre del empalme</w:t>
      </w:r>
      <w:r>
        <w:t xml:space="preserve"> </w:t>
      </w:r>
      <w:r>
        <w:t xml:space="preserve">aprobado por el MME</w:t>
      </w:r>
    </w:p>
    <w:p>
      <w:r>
        <w:pict>
          <v:rect style="width:0;height:1.5pt" o:hralign="center" o:hrstd="t" o:hr="t"/>
        </w:pict>
      </w:r>
    </w:p>
    <w:bookmarkEnd w:id="37"/>
    <w:bookmarkStart w:id="38" w:name="riesgos-iniciales-identificados"/>
    <w:p>
      <w:pPr>
        <w:pStyle w:val="Heading2"/>
      </w:pPr>
      <w:r>
        <w:t xml:space="preserve">7. RIESGOS INICIALES IDENTIFICADOS</w:t>
      </w:r>
    </w:p>
    <w:tbl>
      <w:tblPr>
        <w:tblStyle w:val="Table"/>
        <w:tblW w:type="pct" w:w="5000"/>
        <w:tblLook w:firstRow="1" w:lastRow="0" w:firstColumn="0" w:lastColumn="0" w:noHBand="0" w:noVBand="0" w:val="0020"/>
        <w:jc w:val="start"/>
      </w:tblPr>
      <w:tblGrid>
        <w:gridCol w:w="674"/>
        <w:gridCol w:w="1348"/>
        <w:gridCol w:w="2359"/>
        <w:gridCol w:w="1516"/>
        <w:gridCol w:w="2022"/>
      </w:tblGrid>
      <w:tr>
        <w:trPr>
          <w:tblHeader w:val="true"/>
        </w:trPr>
        <w:tc>
          <w:tcPr/>
          <w:p>
            <w:pPr>
              <w:pStyle w:val="Compact"/>
              <w:jc w:val="left"/>
            </w:pPr>
            <w:r>
              <w:t xml:space="preserve">ID</w:t>
            </w:r>
          </w:p>
        </w:tc>
        <w:tc>
          <w:tcPr/>
          <w:p>
            <w:pPr>
              <w:pStyle w:val="Compact"/>
              <w:jc w:val="left"/>
            </w:pPr>
            <w:r>
              <w:t xml:space="preserve">Riesgo</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Estrategia</w:t>
            </w:r>
          </w:p>
        </w:tc>
      </w:tr>
      <w:tr>
        <w:tc>
          <w:tcPr/>
          <w:p>
            <w:pPr>
              <w:pStyle w:val="Compact"/>
              <w:jc w:val="left"/>
            </w:pPr>
            <w:r>
              <w:t xml:space="preserve">R001</w:t>
            </w:r>
          </w:p>
        </w:tc>
        <w:tc>
          <w:tcPr/>
          <w:p>
            <w:pPr>
              <w:pStyle w:val="Compact"/>
              <w:jc w:val="left"/>
            </w:pPr>
            <w:r>
              <w:t xml:space="preserve">Resistencia de INTERNEXA a entregar información</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Mitigar + Escalar a MME</w:t>
            </w:r>
          </w:p>
        </w:tc>
      </w:tr>
      <w:tr>
        <w:tc>
          <w:tcPr/>
          <w:p>
            <w:pPr>
              <w:pStyle w:val="Compact"/>
              <w:jc w:val="left"/>
            </w:pPr>
            <w:r>
              <w:t xml:space="preserve">R002</w:t>
            </w:r>
          </w:p>
        </w:tc>
        <w:tc>
          <w:tcPr/>
          <w:p>
            <w:pPr>
              <w:pStyle w:val="Compact"/>
              <w:jc w:val="left"/>
            </w:pPr>
            <w:r>
              <w:t xml:space="preserve">Documentación incompleta o desactualizada</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Mitigar + Levantamiento independiente</w:t>
            </w:r>
          </w:p>
        </w:tc>
      </w:tr>
      <w:tr>
        <w:tc>
          <w:tcPr/>
          <w:p>
            <w:pPr>
              <w:pStyle w:val="Compact"/>
              <w:jc w:val="left"/>
            </w:pPr>
            <w:r>
              <w:t xml:space="preserve">R003</w:t>
            </w:r>
          </w:p>
        </w:tc>
        <w:tc>
          <w:tcPr/>
          <w:p>
            <w:pPr>
              <w:pStyle w:val="Compact"/>
              <w:jc w:val="left"/>
            </w:pPr>
            <w:r>
              <w:t xml:space="preserve">Backups no restaurables</w:t>
            </w:r>
          </w:p>
        </w:tc>
        <w:tc>
          <w:tcPr/>
          <w:p>
            <w:pPr>
              <w:pStyle w:val="Compact"/>
              <w:jc w:val="left"/>
            </w:pPr>
            <w:r>
              <w:t xml:space="preserve">Media</w:t>
            </w:r>
          </w:p>
        </w:tc>
        <w:tc>
          <w:tcPr/>
          <w:p>
            <w:pPr>
              <w:pStyle w:val="Compact"/>
              <w:jc w:val="left"/>
            </w:pPr>
            <w:r>
              <w:t xml:space="preserve">Crítico</w:t>
            </w:r>
          </w:p>
        </w:tc>
        <w:tc>
          <w:tcPr/>
          <w:p>
            <w:pPr>
              <w:pStyle w:val="Compact"/>
              <w:jc w:val="left"/>
            </w:pPr>
            <w:r>
              <w:t xml:space="preserve">Mitigar + Plan B reconstrucción</w:t>
            </w:r>
          </w:p>
        </w:tc>
      </w:tr>
      <w:tr>
        <w:tc>
          <w:tcPr/>
          <w:p>
            <w:pPr>
              <w:pStyle w:val="Compact"/>
              <w:jc w:val="left"/>
            </w:pPr>
            <w:r>
              <w:t xml:space="preserve">R004</w:t>
            </w:r>
          </w:p>
        </w:tc>
        <w:tc>
          <w:tcPr/>
          <w:p>
            <w:pPr>
              <w:pStyle w:val="Compact"/>
              <w:jc w:val="left"/>
            </w:pPr>
            <w:r>
              <w:t xml:space="preserve">Credenciales no transferibles</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Mitigar + Rotación controlada</w:t>
            </w:r>
          </w:p>
        </w:tc>
      </w:tr>
      <w:tr>
        <w:tc>
          <w:tcPr/>
          <w:p>
            <w:pPr>
              <w:pStyle w:val="Compact"/>
              <w:jc w:val="left"/>
            </w:pPr>
            <w:r>
              <w:t xml:space="preserve">R005</w:t>
            </w:r>
          </w:p>
        </w:tc>
        <w:tc>
          <w:tcPr/>
          <w:p>
            <w:pPr>
              <w:pStyle w:val="Compact"/>
              <w:jc w:val="left"/>
            </w:pPr>
            <w:r>
              <w:t xml:space="preserve">Dependencia de personas clave de INTERNEXA</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Mitigar + Sesiones grabadas</w:t>
            </w:r>
          </w:p>
        </w:tc>
      </w:tr>
      <w:tr>
        <w:tc>
          <w:tcPr/>
          <w:p>
            <w:pPr>
              <w:pStyle w:val="Compact"/>
              <w:jc w:val="left"/>
            </w:pPr>
            <w:r>
              <w:t xml:space="preserve">R006</w:t>
            </w:r>
          </w:p>
        </w:tc>
        <w:tc>
          <w:tcPr/>
          <w:p>
            <w:pPr>
              <w:pStyle w:val="Compact"/>
              <w:jc w:val="left"/>
            </w:pPr>
            <w:r>
              <w:t xml:space="preserve">Retraso en aprovisionamiento infraestructura CI2</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Mitigar + Kickoff inmediato</w:t>
            </w:r>
          </w:p>
        </w:tc>
      </w:tr>
    </w:tbl>
    <w:p>
      <w:pPr>
        <w:pStyle w:val="BodyText"/>
      </w:pPr>
      <w:r>
        <w:rPr>
          <w:iCs/>
          <w:i/>
        </w:rPr>
        <w:t xml:space="preserve">(Detalle completo en 03-REGISTRO-RIESGOS-EMPALME.md)</w:t>
      </w:r>
    </w:p>
    <w:p>
      <w:r>
        <w:pict>
          <v:rect style="width:0;height:1.5pt" o:hralign="center" o:hrstd="t" o:hr="t"/>
        </w:pict>
      </w:r>
    </w:p>
    <w:bookmarkEnd w:id="38"/>
    <w:bookmarkStart w:id="39" w:name="aprobación-del-acta"/>
    <w:p>
      <w:pPr>
        <w:pStyle w:val="Heading2"/>
      </w:pPr>
      <w:r>
        <w:t xml:space="preserve">8. APROBACIÓN DEL ACTA</w:t>
      </w:r>
    </w:p>
    <w:p>
      <w:pPr>
        <w:pStyle w:val="FirstParagraph"/>
      </w:pPr>
      <w:r>
        <w:t xml:space="preserve">Este Acta de Constitución establece la forma oficial del Empalme SICOM y autoriza el uso de recursos para su ejecución.</w:t>
      </w:r>
    </w:p>
    <w:tbl>
      <w:tblPr>
        <w:tblStyle w:val="Table"/>
        <w:tblW w:type="pct" w:w="5000"/>
        <w:tblLook w:firstRow="1" w:lastRow="0" w:firstColumn="0" w:lastColumn="0" w:noHBand="0" w:noVBand="0" w:val="0020"/>
        <w:jc w:val="start"/>
      </w:tblPr>
      <w:tblGrid>
        <w:gridCol w:w="1100"/>
        <w:gridCol w:w="1760"/>
        <w:gridCol w:w="1980"/>
        <w:gridCol w:w="1540"/>
        <w:gridCol w:w="1540"/>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Entidad</w:t>
            </w:r>
          </w:p>
        </w:tc>
        <w:tc>
          <w:tcPr/>
          <w:p>
            <w:pPr>
              <w:pStyle w:val="Compact"/>
              <w:jc w:val="left"/>
            </w:pPr>
            <w:r>
              <w:t xml:space="preserve">Firma</w:t>
            </w:r>
          </w:p>
        </w:tc>
        <w:tc>
          <w:tcPr/>
          <w:p>
            <w:pPr>
              <w:pStyle w:val="Compact"/>
              <w:jc w:val="left"/>
            </w:pPr>
            <w:r>
              <w:t xml:space="preserve">Fecha</w:t>
            </w:r>
          </w:p>
        </w:tc>
      </w:tr>
      <w:tr>
        <w:tc>
          <w:tcPr/>
          <w:p>
            <w:pPr>
              <w:pStyle w:val="Compact"/>
              <w:jc w:val="left"/>
            </w:pPr>
            <w:r>
              <w:t xml:space="preserve">Gerente de Proyecto CI2</w:t>
            </w:r>
          </w:p>
        </w:tc>
        <w:tc>
          <w:tcPr/>
          <w:p>
            <w:pPr>
              <w:pStyle w:val="Compact"/>
              <w:jc w:val="left"/>
            </w:pPr>
            <w:r>
              <w:t xml:space="preserve">Luis Felipe Herrera</w:t>
            </w:r>
          </w:p>
        </w:tc>
        <w:tc>
          <w:tcPr/>
          <w:p>
            <w:pPr>
              <w:pStyle w:val="Compact"/>
              <w:jc w:val="left"/>
            </w:pPr>
            <w:r>
              <w:t xml:space="preserve">CI2 / IND TECH</w:t>
            </w:r>
          </w:p>
        </w:tc>
        <w:tc>
          <w:tcPr/>
          <w:p>
            <w:pPr>
              <w:pStyle w:val="Compact"/>
              <w:jc w:val="left"/>
            </w:pPr>
            <w:r>
              <w:t xml:space="preserve">_________________</w:t>
            </w:r>
          </w:p>
        </w:tc>
        <w:tc>
          <w:tcPr/>
          <w:p>
            <w:pPr>
              <w:pStyle w:val="Compact"/>
              <w:jc w:val="left"/>
            </w:pPr>
            <w:r>
              <w:t xml:space="preserve">20/05/2026</w:t>
            </w:r>
          </w:p>
        </w:tc>
      </w:tr>
      <w:tr>
        <w:tc>
          <w:tcPr/>
          <w:p>
            <w:pPr>
              <w:pStyle w:val="Compact"/>
              <w:jc w:val="left"/>
            </w:pPr>
            <w:r>
              <w:t xml:space="preserve">Director de Empalme / PM Ejecutivo</w:t>
            </w:r>
          </w:p>
        </w:tc>
        <w:tc>
          <w:tcPr/>
          <w:p>
            <w:pPr>
              <w:pStyle w:val="Compact"/>
              <w:jc w:val="left"/>
            </w:pPr>
            <w:r>
              <w:t xml:space="preserve">Jelkin Zair Carrillo Franco</w:t>
            </w:r>
          </w:p>
        </w:tc>
        <w:tc>
          <w:tcPr/>
          <w:p>
            <w:pPr>
              <w:pStyle w:val="Compact"/>
              <w:jc w:val="left"/>
            </w:pPr>
            <w:r>
              <w:t xml:space="preserve">Innovadataco</w:t>
            </w:r>
          </w:p>
        </w:tc>
        <w:tc>
          <w:tcPr/>
          <w:p>
            <w:pPr>
              <w:pStyle w:val="Compact"/>
              <w:jc w:val="left"/>
            </w:pPr>
            <w:r>
              <w:t xml:space="preserve">_________________</w:t>
            </w:r>
          </w:p>
        </w:tc>
        <w:tc>
          <w:tcPr/>
          <w:p>
            <w:pPr>
              <w:pStyle w:val="Compact"/>
              <w:jc w:val="left"/>
            </w:pPr>
            <w:r>
              <w:t xml:space="preserve">20/05/2026</w:t>
            </w:r>
          </w:p>
        </w:tc>
      </w:tr>
      <w:tr>
        <w:tc>
          <w:tcPr/>
          <w:p>
            <w:pPr>
              <w:pStyle w:val="Compact"/>
              <w:jc w:val="left"/>
            </w:pPr>
            <w:r>
              <w:t xml:space="preserve">Supervisora MME</w:t>
            </w:r>
          </w:p>
        </w:tc>
        <w:tc>
          <w:tcPr/>
          <w:p>
            <w:pPr>
              <w:pStyle w:val="Compact"/>
              <w:jc w:val="left"/>
            </w:pPr>
            <w:r>
              <w:t xml:space="preserve">Elizabeth</w:t>
            </w:r>
          </w:p>
        </w:tc>
        <w:tc>
          <w:tcPr/>
          <w:p>
            <w:pPr>
              <w:pStyle w:val="Compact"/>
              <w:jc w:val="left"/>
            </w:pPr>
            <w:r>
              <w:t xml:space="preserve">Ministerio de Minas y Energía</w:t>
            </w:r>
          </w:p>
        </w:tc>
        <w:tc>
          <w:tcPr/>
          <w:p>
            <w:pPr>
              <w:pStyle w:val="Compact"/>
              <w:jc w:val="left"/>
            </w:pPr>
            <w:r>
              <w:t xml:space="preserve">_________________</w:t>
            </w:r>
          </w:p>
        </w:tc>
        <w:tc>
          <w:tcPr/>
          <w:p>
            <w:pPr>
              <w:pStyle w:val="Compact"/>
              <w:jc w:val="left"/>
            </w:pPr>
            <w:r>
              <w:t xml:space="preserve">20/05/2026</w:t>
            </w:r>
          </w:p>
        </w:tc>
      </w:tr>
      <w:tr>
        <w:tc>
          <w:tcPr/>
          <w:p>
            <w:pPr>
              <w:pStyle w:val="Compact"/>
              <w:jc w:val="left"/>
            </w:pPr>
            <w:r>
              <w:t xml:space="preserve">Representante Saliente</w:t>
            </w:r>
          </w:p>
        </w:tc>
        <w:tc>
          <w:tcPr/>
          <w:p>
            <w:pPr>
              <w:pStyle w:val="Compact"/>
              <w:jc w:val="left"/>
            </w:pPr>
            <w:r>
              <w:t xml:space="preserve">[Por designar]</w:t>
            </w:r>
          </w:p>
        </w:tc>
        <w:tc>
          <w:tcPr/>
          <w:p>
            <w:pPr>
              <w:pStyle w:val="Compact"/>
              <w:jc w:val="left"/>
            </w:pPr>
            <w:r>
              <w:t xml:space="preserve">INTERNEXA S.A.</w:t>
            </w:r>
          </w:p>
        </w:tc>
        <w:tc>
          <w:tcPr/>
          <w:p>
            <w:pPr>
              <w:pStyle w:val="Compact"/>
              <w:jc w:val="left"/>
            </w:pPr>
            <w:r>
              <w:t xml:space="preserve">_________________</w:t>
            </w:r>
          </w:p>
        </w:tc>
        <w:tc>
          <w:tcPr/>
          <w:p>
            <w:pPr>
              <w:pStyle w:val="Compact"/>
              <w:jc w:val="left"/>
            </w:pPr>
            <w:r>
              <w:t xml:space="preserve">20/05/2026</w:t>
            </w:r>
          </w:p>
        </w:tc>
      </w:tr>
    </w:tbl>
    <w:p>
      <w:r>
        <w:pict>
          <v:rect style="width:0;height:1.5pt" o:hralign="center" o:hrstd="t" o:hr="t"/>
        </w:pict>
      </w:r>
    </w:p>
    <w:bookmarkEnd w:id="39"/>
    <w:bookmarkStart w:id="40" w:name="historial-de-cambios"/>
    <w:p>
      <w:pPr>
        <w:pStyle w:val="Heading2"/>
      </w:pPr>
      <w:r>
        <w:t xml:space="preserve">9. HISTORIAL DE CAMBIOS</w:t>
      </w:r>
    </w:p>
    <w:tbl>
      <w:tblPr>
        <w:tblStyle w:val="Table"/>
        <w:tblW w:type="pct" w:w="5000"/>
        <w:tblLook w:firstRow="1" w:lastRow="0" w:firstColumn="0" w:lastColumn="0" w:noHBand="0" w:noVBand="0" w:val="0020"/>
        <w:jc w:val="start"/>
      </w:tblPr>
      <w:tblGrid>
        <w:gridCol w:w="1980"/>
        <w:gridCol w:w="1540"/>
        <w:gridCol w:w="1540"/>
        <w:gridCol w:w="286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w:t>
            </w:r>
          </w:p>
        </w:tc>
      </w:tr>
      <w:tr>
        <w:tc>
          <w:tcPr/>
          <w:p>
            <w:pPr>
              <w:pStyle w:val="Compact"/>
              <w:jc w:val="left"/>
            </w:pPr>
            <w:r>
              <w:t xml:space="preserve">1.0</w:t>
            </w:r>
          </w:p>
        </w:tc>
        <w:tc>
          <w:tcPr/>
          <w:p>
            <w:pPr>
              <w:pStyle w:val="Compact"/>
              <w:jc w:val="left"/>
            </w:pPr>
            <w:r>
              <w:t xml:space="preserve">20/05/2026</w:t>
            </w:r>
          </w:p>
        </w:tc>
        <w:tc>
          <w:tcPr/>
          <w:p>
            <w:pPr>
              <w:pStyle w:val="Compact"/>
              <w:jc w:val="left"/>
            </w:pPr>
            <w:r>
              <w:t xml:space="preserve">ZEUS - Agente IA InnovaDataCo</w:t>
            </w:r>
          </w:p>
        </w:tc>
        <w:tc>
          <w:tcPr/>
          <w:p>
            <w:pPr>
              <w:pStyle w:val="Compact"/>
              <w:jc w:val="left"/>
            </w:pPr>
            <w:r>
              <w:t xml:space="preserve">Creación inicial del Acta de Constitución del Empalme SICOM</w:t>
            </w:r>
          </w:p>
        </w:tc>
      </w:tr>
    </w:tbl>
    <w:p>
      <w:r>
        <w:pict>
          <v:rect style="width:0;height:1.5pt" o:hralign="center" o:hrstd="t" o:hr="t"/>
        </w:pict>
      </w:r>
    </w:p>
    <w:p>
      <w:pPr>
        <w:pStyle w:val="FirstParagraph"/>
      </w:pPr>
      <w:r>
        <w:rPr>
          <w:bCs/>
          <w:b/>
        </w:rPr>
        <w:t xml:space="preserve">Luis Felipe Herrera</w:t>
      </w:r>
      <w:r>
        <w:br/>
      </w:r>
      <w:r>
        <w:rPr>
          <w:iCs/>
          <w:i/>
        </w:rPr>
        <w:t xml:space="preserve">Gerente de Proyecto CI2 — IND TECH / CI2</w:t>
      </w:r>
    </w:p>
    <w:p>
      <w:pPr>
        <w:pStyle w:val="BodyText"/>
      </w:pPr>
      <w:r>
        <w:rPr>
          <w:bCs/>
          <w:b/>
        </w:rPr>
        <w:t xml:space="preserve">Jelkin Zair Carrillo Franco</w:t>
      </w:r>
      <w:r>
        <w:br/>
      </w:r>
      <w:r>
        <w:rPr>
          <w:iCs/>
          <w:i/>
        </w:rPr>
        <w:t xml:space="preserve">Director de Empalme / PM Ejecutivo — Innovadataco</w:t>
      </w:r>
    </w:p>
    <w:p>
      <w:pPr>
        <w:pStyle w:val="BodyText"/>
      </w:pPr>
      <w:r>
        <w:rPr>
          <w:bCs/>
          <w:b/>
        </w:rPr>
        <w:t xml:space="preserve">ZEUS - Agente IA InnovaDataCo</w:t>
      </w:r>
      <w:r>
        <w:br/>
      </w:r>
      <w:r>
        <w:rPr>
          <w:iCs/>
          <w:i/>
        </w:rPr>
        <w:t xml:space="preserve">Soporte PM2 y Gestión Documental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2026-05-19T21:53:52Z</dcterms:created>
  <dcterms:modified xsi:type="dcterms:W3CDTF">2026-05-19T21:53:52Z</dcterms:modified>
</cp:coreProperties>
</file>

<file path=docProps/custom.xml><?xml version="1.0" encoding="utf-8"?>
<Properties xmlns="http://schemas.openxmlformats.org/officeDocument/2006/custom-properties" xmlns:vt="http://schemas.openxmlformats.org/officeDocument/2006/docPropsVTypes"/>
</file>