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informe-de-cierre-del-empalme-sicom"/>
    <w:p>
      <w:pPr>
        <w:pStyle w:val="Heading1"/>
      </w:pPr>
      <w:r>
        <w:t xml:space="preserve">INFORME DE CIERRE DEL EMPALME SICOM</w:t>
      </w:r>
    </w:p>
    <w:bookmarkStart w:id="20" w:name="X406891045e1af1eb4fb7af4f48ea82483a0d902"/>
    <w:p>
      <w:pPr>
        <w:pStyle w:val="Heading2"/>
      </w:pPr>
      <w:r>
        <w:t xml:space="preserve">Empalme Operativo SICOM — CI2 ↔ INTERNEXA ↔ 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Fecha de Cierre:</w:t>
      </w:r>
      <w:r>
        <w:t xml:space="preserve"> </w:t>
      </w:r>
      <w:r>
        <w:t xml:space="preserve">[Por definir — 15 Julio 2026]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Borrador — Pendiente de Ejecución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1. RESUMEN EJECUTIVO</w:t>
      </w:r>
    </w:p>
    <w:bookmarkStart w:id="21" w:name="información-general"/>
    <w:p>
      <w:pPr>
        <w:pStyle w:val="Heading3"/>
      </w:pPr>
      <w:r>
        <w:t xml:space="preserve">1.1 Información General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Empalme Operativo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EMP-SICOM-2026-01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mayo - 30 junio 2026 (6 semanas)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de inicio operación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julio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de cierre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 julio 2026]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de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Saliente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Entrante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 (MME)</w:t>
            </w:r>
          </w:p>
        </w:tc>
      </w:tr>
    </w:tbl>
    <w:bookmarkEnd w:id="21"/>
    <w:bookmarkStart w:id="22" w:name="resultado-general"/>
    <w:p>
      <w:pPr>
        <w:pStyle w:val="Heading3"/>
      </w:pPr>
      <w:r>
        <w:t xml:space="preserve">1.2 Resultado General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Interrupción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Dominios técnicos aceptados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de backups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 en sombra completada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de contingencia exitoso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controlado exitoso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recibo final 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Estabilización post-corte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alcance-del-empalme"/>
    <w:p>
      <w:pPr>
        <w:pStyle w:val="Heading2"/>
      </w:pPr>
      <w:r>
        <w:t xml:space="preserve">2. ALCANCE DEL EMPALME</w:t>
      </w:r>
    </w:p>
    <w:bookmarkStart w:id="24" w:name="alcance-planificado-vs-ejecutado"/>
    <w:p>
      <w:pPr>
        <w:pStyle w:val="Heading3"/>
      </w:pPr>
      <w:r>
        <w:t xml:space="preserve">2.1 Alcance Planificado vs Ejecutado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D1.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D2. Código y Despliegue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D3.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D5. Integraciones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D6.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D7. 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D8.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D9. Gobierno y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D10. Transferencia de Conocimiento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</w:tbl>
    <w:bookmarkEnd w:id="24"/>
    <w:bookmarkStart w:id="25" w:name="entregables-del-empalme"/>
    <w:p>
      <w:pPr>
        <w:pStyle w:val="Heading3"/>
      </w:pPr>
      <w:r>
        <w:t xml:space="preserve">2.2 Entregables del Empalme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1863"/>
        <w:gridCol w:w="1242"/>
        <w:gridCol w:w="2329"/>
        <w:gridCol w:w="20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Constitución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Gantt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Riesgos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Stakeholders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Comunicaciones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Calidad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Recursos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Cesión de Derechos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Destrucción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Cierre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cronograma"/>
    <w:p>
      <w:pPr>
        <w:pStyle w:val="Heading2"/>
      </w:pPr>
      <w:r>
        <w:t xml:space="preserve">3. CRONOGRAMA</w:t>
      </w:r>
    </w:p>
    <w:bookmarkStart w:id="27" w:name="cronograma-planificado-vs-real"/>
    <w:p>
      <w:pPr>
        <w:pStyle w:val="Heading3"/>
      </w:pPr>
      <w:r>
        <w:t xml:space="preserve">3.1 Cronograma Planificado vs Real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0"/>
        <w:gridCol w:w="1710"/>
        <w:gridCol w:w="1710"/>
        <w:gridCol w:w="144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Preparación 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 en Sombra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y Recibo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Estabilización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días</w:t>
            </w:r>
          </w:p>
        </w:tc>
      </w:tr>
    </w:tbl>
    <w:bookmarkEnd w:id="27"/>
    <w:bookmarkStart w:id="28" w:name="hitos-alcanzados"/>
    <w:p>
      <w:pPr>
        <w:pStyle w:val="Heading3"/>
      </w:pPr>
      <w:r>
        <w:t xml:space="preserve">3.2 Hitos Alcanzados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Gobierno Instalado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Inventario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Restore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Shadowing Iniciado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M5: Corte Controlado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M6: Recibo Final 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M7: Estabilización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gestión-de-riesgos"/>
    <w:p>
      <w:pPr>
        <w:pStyle w:val="Heading2"/>
      </w:pPr>
      <w:r>
        <w:t xml:space="preserve">4. GESTIÓN DE RIESGOS</w:t>
      </w:r>
    </w:p>
    <w:bookmarkStart w:id="30" w:name="riesgos-iniciales-vs-resultado"/>
    <w:p>
      <w:pPr>
        <w:pStyle w:val="Heading3"/>
      </w:pPr>
      <w:r>
        <w:t xml:space="preserve">4.1 Riesgos Iniciales vs Resultado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3"/>
        <w:gridCol w:w="867"/>
        <w:gridCol w:w="1627"/>
        <w:gridCol w:w="1844"/>
        <w:gridCol w:w="1301"/>
        <w:gridCol w:w="18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Resistencia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 + Escalar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incompleta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 no restaurables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no transferibles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Dependencia personas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 infraestructura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 pruebas estrés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Brechas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</w:tbl>
    <w:bookmarkEnd w:id="30"/>
    <w:bookmarkStart w:id="31" w:name="riesgos-emergentes"/>
    <w:p>
      <w:pPr>
        <w:pStyle w:val="Heading3"/>
      </w:pPr>
      <w:r>
        <w:t xml:space="preserve">4.2 Riesgos Emergentes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Detectado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Tomada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 en ejecución]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calidad"/>
    <w:p>
      <w:pPr>
        <w:pStyle w:val="Heading2"/>
      </w:pPr>
      <w:r>
        <w:t xml:space="preserve">5. CALIDAD</w:t>
      </w:r>
    </w:p>
    <w:bookmarkStart w:id="33" w:name="resultados-de-validación-por-dominio"/>
    <w:p>
      <w:pPr>
        <w:pStyle w:val="Heading3"/>
      </w:pPr>
      <w:r>
        <w:t xml:space="preserve">5.1 Resultados de Validación por Dominio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58"/>
        <w:gridCol w:w="1685"/>
        <w:gridCol w:w="1685"/>
        <w:gridCol w:w="1685"/>
        <w:gridCol w:w="1432"/>
        <w:gridCol w:w="6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Cumplimiento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Cumplimiento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Hallazgos Altos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33"/>
    <w:bookmarkStart w:id="34" w:name="métricas-de-calidad"/>
    <w:p>
      <w:pPr>
        <w:pStyle w:val="Heading3"/>
      </w:pPr>
      <w:r>
        <w:t xml:space="preserve">5.2 Métricas de Calidad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dominios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 hallazgos críticos abiertos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 hallazgos altos abiertos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documentación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casos de prueba exitosos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promedio resolución 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cursos"/>
    <w:p>
      <w:pPr>
        <w:pStyle w:val="Heading2"/>
      </w:pPr>
      <w:r>
        <w:t xml:space="preserve">6. RECURSOS</w:t>
      </w:r>
    </w:p>
    <w:bookmarkStart w:id="36" w:name="recursos-humanos-utilizados"/>
    <w:p>
      <w:pPr>
        <w:pStyle w:val="Heading3"/>
      </w:pPr>
      <w:r>
        <w:t xml:space="preserve">6.1 Recursos Humanos Utilizados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1188"/>
        <w:gridCol w:w="2640"/>
        <w:gridCol w:w="184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Planificadas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</w:tbl>
    <w:bookmarkEnd w:id="36"/>
    <w:bookmarkStart w:id="37" w:name="presupuesto"/>
    <w:p>
      <w:pPr>
        <w:pStyle w:val="Heading3"/>
      </w:pPr>
      <w:r>
        <w:t xml:space="preserve">6.2 Presupuesto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7"/>
        <w:gridCol w:w="1885"/>
        <w:gridCol w:w="1382"/>
        <w:gridCol w:w="1508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(Innovadataco)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Prórroga / Adenda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negociar]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Operativo (viajes, herramientas)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comunicaciones"/>
    <w:p>
      <w:pPr>
        <w:pStyle w:val="Heading2"/>
      </w:pPr>
      <w:r>
        <w:t xml:space="preserve">7. COMUNICACIONES</w:t>
      </w:r>
    </w:p>
    <w:bookmarkStart w:id="39" w:name="resumen-de-comunicaciones"/>
    <w:p>
      <w:pPr>
        <w:pStyle w:val="Heading3"/>
      </w:pPr>
      <w:r>
        <w:t xml:space="preserve">7.1 Resumen de Comunicaciones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Mesas técnicas CI2 (diarias)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Mesas técnicas con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Reuniones con Luis Herrera (semanales)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quincenales 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formales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</w:tr>
    </w:tbl>
    <w:bookmarkEnd w:id="39"/>
    <w:bookmarkStart w:id="40" w:name="satisfacción-de-stakeholders"/>
    <w:p>
      <w:pPr>
        <w:pStyle w:val="Heading3"/>
      </w:pPr>
      <w:r>
        <w:t xml:space="preserve">7.2 Satisfacción de Stakeholders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14"/>
        <w:gridCol w:w="2329"/>
        <w:gridCol w:w="2329"/>
        <w:gridCol w:w="17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Satisfacción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Satisfacción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Luis Herrera (CI2)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lecciones-aprendidas"/>
    <w:p>
      <w:pPr>
        <w:pStyle w:val="Heading2"/>
      </w:pPr>
      <w:r>
        <w:t xml:space="preserve">8. LECCIONES APRENDIDAS</w:t>
      </w:r>
    </w:p>
    <w:bookmarkStart w:id="42" w:name="lo-que-funcionó-bien"/>
    <w:p>
      <w:pPr>
        <w:pStyle w:val="Heading3"/>
      </w:pPr>
      <w:r>
        <w:t xml:space="preserve">8.1 Lo que Funcionó Bien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 para Futuros Empalmes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 en cierre]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lo-que-se-puede-mejorar"/>
    <w:p>
      <w:pPr>
        <w:pStyle w:val="Heading3"/>
      </w:pPr>
      <w:r>
        <w:t xml:space="preserve">8.2 Lo que se Puede Mejorar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 para Futuros Empalmes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 en cierre]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riesgos-que-se-materializaron"/>
    <w:p>
      <w:pPr>
        <w:pStyle w:val="Heading3"/>
      </w:pPr>
      <w:r>
        <w:t xml:space="preserve">8.3 Riesgos que se Materializaron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 Aplicada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 en cierre]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cierre-administrativo"/>
    <w:p>
      <w:pPr>
        <w:pStyle w:val="Heading2"/>
      </w:pPr>
      <w:r>
        <w:t xml:space="preserve">9. CIERRE ADMINISTRATIVO</w:t>
      </w:r>
    </w:p>
    <w:bookmarkStart w:id="46" w:name="documentación-cerrada"/>
    <w:p>
      <w:pPr>
        <w:pStyle w:val="Heading3"/>
      </w:pPr>
      <w:r>
        <w:t xml:space="preserve">9.1 Documentación Cerrada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Constitución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Cesión de Derechos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Destrucción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</w:tr>
    </w:tbl>
    <w:bookmarkEnd w:id="46"/>
    <w:bookmarkStart w:id="47" w:name="contratos-cerrados"/>
    <w:p>
      <w:pPr>
        <w:pStyle w:val="Heading3"/>
      </w:pPr>
      <w:r>
        <w:t xml:space="preserve">9.2 Contratos Cerrados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5"/>
        <w:gridCol w:w="1348"/>
        <w:gridCol w:w="2359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GGC-2034-2025 (MME-INTERNEXA)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 IND TECH-Innovadataco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prórroga/adenda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Nuevo contrato MME-CI2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pagos-realizados"/>
    <w:p>
      <w:pPr>
        <w:pStyle w:val="Heading3"/>
      </w:pPr>
      <w:r>
        <w:t xml:space="preserve">9.3 Pagos Realizados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recomendaciones-post-empalme"/>
    <w:p>
      <w:pPr>
        <w:pStyle w:val="Heading2"/>
      </w:pPr>
      <w:r>
        <w:t xml:space="preserve">10. RECOMENDACIONES POST-EMPALME</w:t>
      </w:r>
    </w:p>
    <w:bookmarkStart w:id="50" w:name="para-ci2-operación-continua"/>
    <w:p>
      <w:pPr>
        <w:pStyle w:val="Heading3"/>
      </w:pPr>
      <w:r>
        <w:t xml:space="preserve">10.1 Para CI2 (Operación Continua)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 en cierre]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ara-el-mme-gestión-contractual"/>
    <w:p>
      <w:pPr>
        <w:pStyle w:val="Heading3"/>
      </w:pPr>
      <w:r>
        <w:t xml:space="preserve">10.2 Para el MME (Gestión Contractual)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 en cierre]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ara-futuros-empalmes"/>
    <w:p>
      <w:pPr>
        <w:pStyle w:val="Heading3"/>
      </w:pPr>
      <w:r>
        <w:t xml:space="preserve">10.3 Para Futuros Empalmes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completar en cierre]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aprobación-del-informe-de-cierre"/>
    <w:p>
      <w:pPr>
        <w:pStyle w:val="Heading2"/>
      </w:pPr>
      <w:r>
        <w:t xml:space="preserve">11. APROBACIÓN DEL INFORME DE CIERRE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2346"/>
        <w:gridCol w:w="2053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2026-05-19T21:53:54Z</dcterms:created>
  <dcterms:modified xsi:type="dcterms:W3CDTF">2026-05-19T21:53:54Z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