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37c3ad8fc805f13e9dd35be1c3f91fc118fa3f3"/>
    <w:p>
      <w:pPr>
        <w:pStyle w:val="Heading1"/>
      </w:pPr>
      <w:r>
        <w:t xml:space="preserve">RESUMEN EJECUTIVO — ANEXO TÉCNICO CONTRATO SICOM</w:t>
      </w:r>
    </w:p>
    <w:bookmarkStart w:id="20" w:name="información-general"/>
    <w:p>
      <w:pPr>
        <w:pStyle w:val="Heading2"/>
      </w:pPr>
      <w:r>
        <w:t xml:space="preserve">📋 INFORMACIÓN GENERAL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de Características Técnicas para la Operación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 (MME)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SICOM — Sistema de Información de Combustibles Minerales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Arrendamiento de solución tecnológica en nube privada para garantizar continuidad operativa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meses</w:t>
            </w:r>
            <w:r>
              <w:t xml:space="preserve"> </w:t>
            </w:r>
            <w:r>
              <w:t xml:space="preserve">— 01 julio 2026 al 30 noviembre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D.C. (DC principal en zona metropolitana Bogotá, DC alterno en otra ciudad colombiana)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julio 2026 — 30 noviembre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bjetivo-estratégico-del-sicom"/>
    <w:p>
      <w:pPr>
        <w:pStyle w:val="Heading2"/>
      </w:pPr>
      <w:r>
        <w:t xml:space="preserve">🎯 OBJETIVO ESTRATÉGICO DEL SICOM</w:t>
      </w:r>
    </w:p>
    <w:p>
      <w:pPr>
        <w:pStyle w:val="FirstParagraph"/>
      </w:pPr>
      <w:r>
        <w:t xml:space="preserve">El SICOM evoluciona de</w:t>
      </w:r>
      <w:r>
        <w:t xml:space="preserve"> </w:t>
      </w:r>
      <w:r>
        <w:rPr>
          <w:bCs/>
          <w:b/>
        </w:rPr>
        <w:t xml:space="preserve">repositorio de datos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Administrador de la información del Mercado de Combustibles Líquidos de Colombia</w:t>
      </w:r>
      <w:r>
        <w:t xml:space="preserve">, centralizando:</w:t>
      </w:r>
      <w:r>
        <w:t xml:space="preserve"> </w:t>
      </w:r>
      <w:r>
        <w:t xml:space="preserve">- Comercialización inicial</w:t>
      </w:r>
      <w:r>
        <w:t xml:space="preserve"> </w:t>
      </w:r>
      <w:r>
        <w:t xml:space="preserve">- Transporte</w:t>
      </w:r>
      <w:r>
        <w:t xml:space="preserve"> </w:t>
      </w:r>
      <w:r>
        <w:t xml:space="preserve">- Almacenamiento</w:t>
      </w:r>
      <w:r>
        <w:t xml:space="preserve"> </w:t>
      </w:r>
      <w:r>
        <w:t xml:space="preserve">- Distribución final</w:t>
      </w:r>
    </w:p>
    <w:p>
      <w:pPr>
        <w:pStyle w:val="BodyText"/>
      </w:pPr>
      <w:r>
        <w:rPr>
          <w:bCs/>
          <w:b/>
        </w:rPr>
        <w:t xml:space="preserve">Alcance:</w:t>
      </w:r>
      <w:r>
        <w:t xml:space="preserve"> </w:t>
      </w:r>
      <w:r>
        <w:t xml:space="preserve">Gasolina, diésel, biocombustibles, gas combustible (GNCV, Auto GLP), energéticos alternativos.</w:t>
      </w:r>
    </w:p>
    <w:p>
      <w:r>
        <w:pict>
          <v:rect style="width:0;height:1.5pt" o:hralign="center" o:hrstd="t" o:hr="t"/>
        </w:pict>
      </w:r>
    </w:p>
    <w:bookmarkEnd w:id="21"/>
    <w:bookmarkStart w:id="25" w:name="arquitectura-tecnológica"/>
    <w:p>
      <w:pPr>
        <w:pStyle w:val="Heading2"/>
      </w:pPr>
      <w:r>
        <w:t xml:space="preserve">🏗️ ARQUITECTURA TECNOLÓGICA</w:t>
      </w:r>
    </w:p>
    <w:bookmarkStart w:id="22" w:name="plataformas-principales"/>
    <w:p>
      <w:pPr>
        <w:pStyle w:val="Heading3"/>
      </w:pPr>
      <w:r>
        <w:t xml:space="preserve">Plataformas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SICOM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SICOM GNCV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 (Business Process Management)</w:t>
            </w:r>
          </w:p>
        </w:tc>
      </w:tr>
    </w:tbl>
    <w:bookmarkEnd w:id="22"/>
    <w:bookmarkStart w:id="23" w:name="plataformas-de-apoyo"/>
    <w:p>
      <w:pPr>
        <w:pStyle w:val="Heading3"/>
      </w:pPr>
      <w:r>
        <w:t xml:space="preserve">Plataformas de Apoyo</w:t>
      </w:r>
    </w:p>
    <w:p>
      <w:pPr>
        <w:numPr>
          <w:ilvl w:val="0"/>
          <w:numId w:val="1001"/>
        </w:numPr>
        <w:pStyle w:val="Compact"/>
      </w:pPr>
      <w:r>
        <w:t xml:space="preserve">Mesa de servicio (ITSM)</w:t>
      </w:r>
    </w:p>
    <w:p>
      <w:pPr>
        <w:numPr>
          <w:ilvl w:val="0"/>
          <w:numId w:val="1001"/>
        </w:numPr>
        <w:pStyle w:val="Compact"/>
      </w:pPr>
      <w:r>
        <w:t xml:space="preserve">Web SICOM</w:t>
      </w:r>
    </w:p>
    <w:p>
      <w:pPr>
        <w:numPr>
          <w:ilvl w:val="0"/>
          <w:numId w:val="1001"/>
        </w:numPr>
        <w:pStyle w:val="Compact"/>
      </w:pPr>
      <w:r>
        <w:t xml:space="preserve">E-learning</w:t>
      </w:r>
    </w:p>
    <w:p>
      <w:pPr>
        <w:numPr>
          <w:ilvl w:val="0"/>
          <w:numId w:val="1001"/>
        </w:numPr>
        <w:pStyle w:val="Compact"/>
      </w:pPr>
      <w:r>
        <w:t xml:space="preserve">APP móviles (Líquidos, GAS)</w:t>
      </w:r>
    </w:p>
    <w:p>
      <w:pPr>
        <w:numPr>
          <w:ilvl w:val="0"/>
          <w:numId w:val="1001"/>
        </w:numPr>
        <w:pStyle w:val="Compact"/>
      </w:pPr>
      <w:r>
        <w:t xml:space="preserve">Bodega de datos / DataMart</w:t>
      </w:r>
    </w:p>
    <w:p>
      <w:pPr>
        <w:numPr>
          <w:ilvl w:val="0"/>
          <w:numId w:val="1001"/>
        </w:numPr>
        <w:pStyle w:val="Compact"/>
      </w:pPr>
      <w:r>
        <w:t xml:space="preserve">Web Services</w:t>
      </w:r>
    </w:p>
    <w:p>
      <w:pPr>
        <w:numPr>
          <w:ilvl w:val="0"/>
          <w:numId w:val="1001"/>
        </w:numPr>
        <w:pStyle w:val="Compact"/>
      </w:pPr>
      <w:r>
        <w:t xml:space="preserve">Software Call Center</w:t>
      </w:r>
    </w:p>
    <w:p>
      <w:pPr>
        <w:numPr>
          <w:ilvl w:val="0"/>
          <w:numId w:val="1001"/>
        </w:numPr>
        <w:pStyle w:val="Compact"/>
      </w:pPr>
      <w:r>
        <w:t xml:space="preserve">Business Intelligence (BI)</w:t>
      </w:r>
    </w:p>
    <w:p>
      <w:pPr>
        <w:numPr>
          <w:ilvl w:val="0"/>
          <w:numId w:val="1001"/>
        </w:numPr>
        <w:pStyle w:val="Compact"/>
      </w:pPr>
      <w:r>
        <w:t xml:space="preserve">Portal Web (HOME SICOM)</w:t>
      </w:r>
    </w:p>
    <w:bookmarkEnd w:id="23"/>
    <w:bookmarkStart w:id="24" w:name="infraestructura-requerida"/>
    <w:p>
      <w:pPr>
        <w:pStyle w:val="Heading3"/>
      </w:pPr>
      <w:r>
        <w:t xml:space="preserve">Infraestructura Requerida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Certificación Tier III Uptime Institute o ICREA Nivel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 Alterno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ANSI/TIA 942, en otra ciudad colombiana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99.90% (Tier 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nombrados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Usuarios proyectados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Crecimiento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capacidad de cómputo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600/min web services, 300/min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Sesiones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1.000/hora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segundos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acuerdos-de-niveles-de-servicio-ans"/>
    <w:p>
      <w:pPr>
        <w:pStyle w:val="Heading2"/>
      </w:pPr>
      <w:r>
        <w:t xml:space="preserve">📊 ACUERDOS DE NIVELES DE SERVICIO (ANS)</w:t>
      </w:r>
    </w:p>
    <w:bookmarkStart w:id="26" w:name="ans-de-disponibilidad-99.90"/>
    <w:p>
      <w:pPr>
        <w:pStyle w:val="Heading3"/>
      </w:pPr>
      <w:r>
        <w:t xml:space="preserve">ANS de Disponibilidad (99.90%)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4425"/>
        <w:gridCol w:w="1164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Tecnológica SICOM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Tecnológica SICOM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Canales de Comunicación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Web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Web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BI Cubos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BI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Autogestión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7×24×365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7×24×365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por cada 0.1% debajo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Multa máxima acumulable:</w:t>
      </w:r>
      <w:r>
        <w:t xml:space="preserve"> </w:t>
      </w:r>
      <w:r>
        <w:t xml:space="preserve">5% mensual</w:t>
      </w:r>
    </w:p>
    <w:bookmarkEnd w:id="26"/>
    <w:bookmarkStart w:id="27" w:name="ans-de-continuidad"/>
    <w:p>
      <w:pPr>
        <w:pStyle w:val="Heading3"/>
      </w:pPr>
      <w:r>
        <w:t xml:space="preserve">ANS de Continuidad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18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Contingencia SICOM Líquidos-GNCV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&lt;30 min, RTO ≤2h (críticos), ≤4h (mayores)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10 min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≤30 min, RTO ≤4h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por cada hora adicional</w:t>
            </w:r>
          </w:p>
        </w:tc>
      </w:tr>
    </w:tbl>
    <w:bookmarkEnd w:id="27"/>
    <w:bookmarkStart w:id="28" w:name="ans-de-call-center"/>
    <w:p>
      <w:pPr>
        <w:pStyle w:val="Heading3"/>
      </w:pPr>
      <w:r>
        <w:t xml:space="preserve">ANS de Call Center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18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Abandono llamadas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(Bueno)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(Bueno)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</w:tbl>
    <w:bookmarkEnd w:id="28"/>
    <w:bookmarkStart w:id="29" w:name="ans-de-gestión"/>
    <w:p>
      <w:pPr>
        <w:pStyle w:val="Heading3"/>
      </w:pPr>
      <w:r>
        <w:t xml:space="preserve">ANS de Gestión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18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Incidentes técnicos SICOM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resueltos en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Incidentes técnicos SICOM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resueltos en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Críticos ≤2h, Mayores ≤24h, Menores ≤72h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Requerimientos funcionales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solucionados en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Requerimientos funcionales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solucionados en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MTTD ≤15 min, MTTR ≤4h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 debajo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requisitos-de-seguridad"/>
    <w:p>
      <w:pPr>
        <w:pStyle w:val="Heading2"/>
      </w:pPr>
      <w:r>
        <w:t xml:space="preserve">🔒 REQUISITOS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Certificación ISO 27001:2022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SOC II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 (Web Application Firewall) en alta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Segmentación de red (VLAN/VPC)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para tráfico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UTM NGFW con IPS y AntiMalware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(Security Information and Event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almacenados ≥6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(Control de acceso basado en 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TLS Wildcard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diarios + pruebas mensuales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DRP (Plan de recuperación ante desastres)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física DC (biométrico, vigilancia)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equipo-mínimo-requerido-fase-iii"/>
    <w:p>
      <w:pPr>
        <w:pStyle w:val="Heading2"/>
      </w:pPr>
      <w:r>
        <w:t xml:space="preserve">👥 EQUIPO MÍNIMO REQUERIDO (Fase III)</w:t>
      </w:r>
    </w:p>
    <w:bookmarkStart w:id="32" w:name="dirección-del-proyecto"/>
    <w:p>
      <w:pPr>
        <w:pStyle w:val="Heading3"/>
      </w:pPr>
      <w:r>
        <w:t xml:space="preserve">Dirección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980"/>
        <w:gridCol w:w="2376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dirección proyectos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BPM/Java + Scrum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Funcional/Temático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proyectos informáticos</w:t>
            </w:r>
          </w:p>
        </w:tc>
      </w:tr>
    </w:tbl>
    <w:bookmarkEnd w:id="32"/>
    <w:bookmarkStart w:id="33" w:name="administración-operación-y-mantenimiento"/>
    <w:p>
      <w:pPr>
        <w:pStyle w:val="Heading3"/>
      </w:pPr>
      <w:r>
        <w:t xml:space="preserve">Administración, Operación y Mantenimiento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980"/>
        <w:gridCol w:w="2376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+ certificación 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Ingenieros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pruebas funcionales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Desarrolladores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Desarrolladores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en BPM + 12 meses BPMS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Especialistas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en BI/Analytics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Analistas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en análisis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Operación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+ certificación NTC PE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+ certificación ISO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en capacitación</w:t>
            </w:r>
          </w:p>
        </w:tc>
      </w:tr>
    </w:tbl>
    <w:bookmarkEnd w:id="33"/>
    <w:bookmarkStart w:id="34" w:name="centro-de-contacto"/>
    <w:p>
      <w:pPr>
        <w:pStyle w:val="Heading3"/>
      </w:pPr>
      <w:r>
        <w:t xml:space="preserve">Centro de Contacto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980"/>
        <w:gridCol w:w="2376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en coordinación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Agentes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requiere (deseable atención al usuario)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EQUIPO MÍNIMO:</w:t>
      </w:r>
      <w:r>
        <w:t xml:space="preserve"> </w:t>
      </w:r>
      <w:r>
        <w:t xml:space="preserve">31 personas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ntregables-obligatorios"/>
    <w:p>
      <w:pPr>
        <w:pStyle w:val="Heading2"/>
      </w:pPr>
      <w:r>
        <w:t xml:space="preserve">📦 ENTREGABLES OBLIGATORIOS</w:t>
      </w:r>
    </w:p>
    <w:bookmarkStart w:id="36" w:name="informe-de-empalme-de-operación"/>
    <w:p>
      <w:pPr>
        <w:pStyle w:val="Heading3"/>
      </w:pPr>
      <w:r>
        <w:t xml:space="preserve">Informe de Empalme de Operación</w:t>
      </w:r>
    </w:p>
    <w:p>
      <w:pPr>
        <w:numPr>
          <w:ilvl w:val="0"/>
          <w:numId w:val="1002"/>
        </w:numPr>
        <w:pStyle w:val="Compact"/>
      </w:pPr>
      <w:r>
        <w:t xml:space="preserve">Estado y condiciones de recepción del SICOM</w:t>
      </w:r>
    </w:p>
    <w:p>
      <w:pPr>
        <w:numPr>
          <w:ilvl w:val="0"/>
          <w:numId w:val="1002"/>
        </w:numPr>
        <w:pStyle w:val="Compact"/>
      </w:pPr>
      <w:r>
        <w:t xml:space="preserve">Actividades detalladas ejecutadas durante fase de empalme</w:t>
      </w:r>
    </w:p>
    <w:bookmarkEnd w:id="36"/>
    <w:bookmarkStart w:id="37" w:name="X6bd1473597067558e0253dd26b0bbc1433b8f05"/>
    <w:p>
      <w:pPr>
        <w:pStyle w:val="Heading3"/>
      </w:pPr>
      <w:r>
        <w:t xml:space="preserve">Informe Mensual de Gestión (5 días hábiles de cada mes)</w:t>
      </w:r>
    </w:p>
    <w:p>
      <w:pPr>
        <w:numPr>
          <w:ilvl w:val="0"/>
          <w:numId w:val="1003"/>
        </w:numPr>
        <w:pStyle w:val="Compact"/>
      </w:pPr>
      <w:r>
        <w:t xml:space="preserve">Introducción</w:t>
      </w:r>
    </w:p>
    <w:p>
      <w:pPr>
        <w:numPr>
          <w:ilvl w:val="0"/>
          <w:numId w:val="1003"/>
        </w:numPr>
        <w:pStyle w:val="Compact"/>
      </w:pPr>
      <w:r>
        <w:t xml:space="preserve">Cumplimiento ANS</w:t>
      </w:r>
    </w:p>
    <w:p>
      <w:pPr>
        <w:numPr>
          <w:ilvl w:val="0"/>
          <w:numId w:val="1003"/>
        </w:numPr>
        <w:pStyle w:val="Compact"/>
      </w:pPr>
      <w:r>
        <w:t xml:space="preserve">Histórico ANS</w:t>
      </w:r>
    </w:p>
    <w:p>
      <w:pPr>
        <w:numPr>
          <w:ilvl w:val="0"/>
          <w:numId w:val="1003"/>
        </w:numPr>
        <w:pStyle w:val="Compact"/>
      </w:pPr>
      <w:r>
        <w:t xml:space="preserve">Infraestructura (disponibilidad, arquitectura, BI, desempeño)</w:t>
      </w:r>
    </w:p>
    <w:p>
      <w:pPr>
        <w:numPr>
          <w:ilvl w:val="0"/>
          <w:numId w:val="1003"/>
        </w:numPr>
        <w:pStyle w:val="Compact"/>
      </w:pPr>
      <w:r>
        <w:t xml:space="preserve">Administración y mantenimiento (historias usuario, mockups, RFC)</w:t>
      </w:r>
    </w:p>
    <w:p>
      <w:pPr>
        <w:numPr>
          <w:ilvl w:val="0"/>
          <w:numId w:val="1003"/>
        </w:numPr>
        <w:pStyle w:val="Compact"/>
      </w:pPr>
      <w:r>
        <w:t xml:space="preserve">Seguridad (diagramas, novedades, ataques)</w:t>
      </w:r>
    </w:p>
    <w:p>
      <w:pPr>
        <w:numPr>
          <w:ilvl w:val="0"/>
          <w:numId w:val="1003"/>
        </w:numPr>
        <w:pStyle w:val="Compact"/>
      </w:pPr>
      <w:r>
        <w:t xml:space="preserve">Centros de datos (disponibilidad, contingencia, replicación)</w:t>
      </w:r>
    </w:p>
    <w:p>
      <w:pPr>
        <w:numPr>
          <w:ilvl w:val="0"/>
          <w:numId w:val="1003"/>
        </w:numPr>
        <w:pStyle w:val="Compact"/>
      </w:pPr>
      <w:r>
        <w:t xml:space="preserve">Backups (ejecución, restauraciones)</w:t>
      </w:r>
    </w:p>
    <w:p>
      <w:pPr>
        <w:numPr>
          <w:ilvl w:val="0"/>
          <w:numId w:val="1003"/>
        </w:numPr>
        <w:pStyle w:val="Compact"/>
      </w:pPr>
      <w:r>
        <w:t xml:space="preserve">Comunicaciones (enlaces, ancho de banda)</w:t>
      </w:r>
    </w:p>
    <w:p>
      <w:pPr>
        <w:numPr>
          <w:ilvl w:val="0"/>
          <w:numId w:val="1003"/>
        </w:numPr>
        <w:pStyle w:val="Compact"/>
      </w:pPr>
      <w:r>
        <w:t xml:space="preserve">Call Center (llamadas, abandonadas, duración)</w:t>
      </w:r>
    </w:p>
    <w:p>
      <w:pPr>
        <w:numPr>
          <w:ilvl w:val="0"/>
          <w:numId w:val="1003"/>
        </w:numPr>
        <w:pStyle w:val="Compact"/>
      </w:pPr>
      <w:r>
        <w:t xml:space="preserve">Mesa de servicio (requerimientos, tiquetes, top 10)</w:t>
      </w:r>
    </w:p>
    <w:p>
      <w:pPr>
        <w:numPr>
          <w:ilvl w:val="0"/>
          <w:numId w:val="1003"/>
        </w:numPr>
        <w:pStyle w:val="Compact"/>
      </w:pPr>
      <w:r>
        <w:t xml:space="preserve">Formación (fechas, usuarios capacitados)</w:t>
      </w:r>
    </w:p>
    <w:p>
      <w:pPr>
        <w:numPr>
          <w:ilvl w:val="0"/>
          <w:numId w:val="1003"/>
        </w:numPr>
        <w:pStyle w:val="Compact"/>
      </w:pPr>
      <w:r>
        <w:t xml:space="preserve">Operación estadística (procesos, documentación)</w:t>
      </w:r>
    </w:p>
    <w:p>
      <w:pPr>
        <w:numPr>
          <w:ilvl w:val="0"/>
          <w:numId w:val="1003"/>
        </w:numPr>
        <w:pStyle w:val="Compact"/>
      </w:pPr>
      <w:r>
        <w:t xml:space="preserve">Actividades de mejoramiento</w:t>
      </w:r>
    </w:p>
    <w:p>
      <w:pPr>
        <w:numPr>
          <w:ilvl w:val="0"/>
          <w:numId w:val="1003"/>
        </w:numPr>
        <w:pStyle w:val="Compact"/>
      </w:pPr>
      <w:r>
        <w:t xml:space="preserve">Resumen actividades por miembro</w:t>
      </w:r>
    </w:p>
    <w:p>
      <w:pPr>
        <w:numPr>
          <w:ilvl w:val="0"/>
          <w:numId w:val="1003"/>
        </w:numPr>
        <w:pStyle w:val="Compact"/>
      </w:pPr>
      <w:r>
        <w:t xml:space="preserve">Avance proyectos especiales</w:t>
      </w:r>
    </w:p>
    <w:p>
      <w:pPr>
        <w:numPr>
          <w:ilvl w:val="0"/>
          <w:numId w:val="1003"/>
        </w:numPr>
        <w:pStyle w:val="Compact"/>
      </w:pPr>
      <w:r>
        <w:t xml:space="preserve">Novedades del personal</w:t>
      </w:r>
    </w:p>
    <w:bookmarkEnd w:id="37"/>
    <w:bookmarkStart w:id="38" w:name="informe-mensual-ejecutivo"/>
    <w:p>
      <w:pPr>
        <w:pStyle w:val="Heading3"/>
      </w:pPr>
      <w:r>
        <w:t xml:space="preserve">Informe Mensual Ejecutivo</w:t>
      </w:r>
    </w:p>
    <w:p>
      <w:pPr>
        <w:numPr>
          <w:ilvl w:val="0"/>
          <w:numId w:val="1004"/>
        </w:numPr>
        <w:pStyle w:val="Compact"/>
      </w:pPr>
      <w:r>
        <w:t xml:space="preserve">Máximo 8 páginas</w:t>
      </w:r>
    </w:p>
    <w:p>
      <w:pPr>
        <w:numPr>
          <w:ilvl w:val="0"/>
          <w:numId w:val="1004"/>
        </w:numPr>
        <w:pStyle w:val="Compact"/>
      </w:pPr>
      <w:r>
        <w:t xml:space="preserve">Comparativos históricos por servicio</w:t>
      </w:r>
    </w:p>
    <w:p>
      <w:pPr>
        <w:numPr>
          <w:ilvl w:val="0"/>
          <w:numId w:val="1004"/>
        </w:numPr>
        <w:pStyle w:val="Compact"/>
      </w:pPr>
      <w:r>
        <w:t xml:space="preserve">Acciones de mejora</w:t>
      </w:r>
    </w:p>
    <w:bookmarkEnd w:id="38"/>
    <w:bookmarkStart w:id="39" w:name="informe-final"/>
    <w:p>
      <w:pPr>
        <w:pStyle w:val="Heading3"/>
      </w:pPr>
      <w:r>
        <w:t xml:space="preserve">Informe Final</w:t>
      </w:r>
    </w:p>
    <w:p>
      <w:pPr>
        <w:numPr>
          <w:ilvl w:val="0"/>
          <w:numId w:val="1005"/>
        </w:numPr>
        <w:pStyle w:val="Compact"/>
      </w:pPr>
      <w:r>
        <w:t xml:space="preserve">Cierre detallado: infraestructura, seguridad, desarrollo, operación, mesa de servicio</w:t>
      </w:r>
    </w:p>
    <w:p>
      <w:pPr>
        <w:numPr>
          <w:ilvl w:val="0"/>
          <w:numId w:val="1005"/>
        </w:numPr>
        <w:pStyle w:val="Compact"/>
      </w:pPr>
      <w:r>
        <w:t xml:space="preserve">Diagramas, configuraciones, cuadros históricos, estadísticas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93020e232d2fcdad028ee2c08e5acd19211017b"/>
    <w:p>
      <w:pPr>
        <w:pStyle w:val="Heading2"/>
      </w:pPr>
      <w:r>
        <w:t xml:space="preserve">🔄 TRANSFERENCIA OPERATIVA (Último mes del contrato)</w:t>
      </w:r>
    </w:p>
    <w:bookmarkStart w:id="41" w:name="migración"/>
    <w:p>
      <w:pPr>
        <w:pStyle w:val="Heading3"/>
      </w:pPr>
      <w:r>
        <w:t xml:space="preserve">Migración</w:t>
      </w:r>
    </w:p>
    <w:p>
      <w:pPr>
        <w:numPr>
          <w:ilvl w:val="0"/>
          <w:numId w:val="1006"/>
        </w:numPr>
        <w:pStyle w:val="Compact"/>
      </w:pPr>
      <w:r>
        <w:t xml:space="preserve">Acceso a información de plataformas principales (JAVA, BPM) y apoyo</w:t>
      </w:r>
    </w:p>
    <w:p>
      <w:pPr>
        <w:numPr>
          <w:ilvl w:val="0"/>
          <w:numId w:val="1006"/>
        </w:numPr>
        <w:pStyle w:val="Compact"/>
      </w:pPr>
      <w:r>
        <w:t xml:space="preserve">Entrega de máquinas virtuales con configuraciones</w:t>
      </w:r>
    </w:p>
    <w:p>
      <w:pPr>
        <w:numPr>
          <w:ilvl w:val="0"/>
          <w:numId w:val="1006"/>
        </w:numPr>
        <w:pStyle w:val="Compact"/>
      </w:pPr>
      <w:r>
        <w:t xml:space="preserve">Código fuente en GitLab/GitHub</w:t>
      </w:r>
    </w:p>
    <w:p>
      <w:pPr>
        <w:numPr>
          <w:ilvl w:val="0"/>
          <w:numId w:val="1006"/>
        </w:numPr>
        <w:pStyle w:val="Compact"/>
      </w:pPr>
      <w:r>
        <w:t xml:space="preserve">Backups y logs de cargue</w:t>
      </w:r>
    </w:p>
    <w:p>
      <w:pPr>
        <w:numPr>
          <w:ilvl w:val="0"/>
          <w:numId w:val="1006"/>
        </w:numPr>
        <w:pStyle w:val="Compact"/>
      </w:pPr>
      <w:r>
        <w:t xml:space="preserve">Eliminación de información del contratista saliente</w:t>
      </w:r>
    </w:p>
    <w:bookmarkEnd w:id="41"/>
    <w:bookmarkStart w:id="42" w:name="transferencia-de-conocimientos"/>
    <w:p>
      <w:pPr>
        <w:pStyle w:val="Heading3"/>
      </w:pPr>
      <w:r>
        <w:t xml:space="preserve">Transferencia de Conocimientos</w:t>
      </w:r>
    </w:p>
    <w:p>
      <w:pPr>
        <w:numPr>
          <w:ilvl w:val="0"/>
          <w:numId w:val="1007"/>
        </w:numPr>
        <w:pStyle w:val="Compact"/>
      </w:pPr>
      <w:r>
        <w:t xml:space="preserve">Documentación técnica, temática, de actividades</w:t>
      </w:r>
    </w:p>
    <w:p>
      <w:pPr>
        <w:numPr>
          <w:ilvl w:val="0"/>
          <w:numId w:val="1007"/>
        </w:numPr>
        <w:pStyle w:val="Compact"/>
      </w:pPr>
      <w:r>
        <w:t xml:space="preserve">Manuales actualizados (Java, BPM, implementación, usuario)</w:t>
      </w:r>
    </w:p>
    <w:p>
      <w:pPr>
        <w:numPr>
          <w:ilvl w:val="0"/>
          <w:numId w:val="1007"/>
        </w:numPr>
        <w:pStyle w:val="Compact"/>
      </w:pPr>
      <w:r>
        <w:t xml:space="preserve">Documentación de procesamiento SO y BD</w:t>
      </w:r>
    </w:p>
    <w:p>
      <w:pPr>
        <w:numPr>
          <w:ilvl w:val="0"/>
          <w:numId w:val="1007"/>
        </w:numPr>
        <w:pStyle w:val="Compact"/>
      </w:pPr>
      <w:r>
        <w:t xml:space="preserve">Capacitación al equipo entrante</w:t>
      </w:r>
    </w:p>
    <w:p>
      <w:pPr>
        <w:numPr>
          <w:ilvl w:val="0"/>
          <w:numId w:val="1007"/>
        </w:numPr>
        <w:pStyle w:val="Compact"/>
      </w:pPr>
      <w:r>
        <w:t xml:space="preserve">Transferencia de lineamientos operativos y metodologías estadísticas</w:t>
      </w:r>
    </w:p>
    <w:bookmarkEnd w:id="42"/>
    <w:bookmarkStart w:id="43" w:name="requisitos-legales"/>
    <w:p>
      <w:pPr>
        <w:pStyle w:val="Heading3"/>
      </w:pPr>
      <w:r>
        <w:t xml:space="preserve">Requisitos Legales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Acta de entrega y recibo</w:t>
      </w:r>
      <w:r>
        <w:t xml:space="preserve"> </w:t>
      </w:r>
      <w:r>
        <w:t xml:space="preserve">de información de administración y operación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Acuerdos de confidencialidad</w:t>
      </w:r>
      <w:r>
        <w:t xml:space="preserve"> </w:t>
      </w:r>
      <w:r>
        <w:t xml:space="preserve">paralelos y simultáneos entre operador saliente y entrante</w:t>
      </w:r>
    </w:p>
    <w:p>
      <w:pPr>
        <w:numPr>
          <w:ilvl w:val="0"/>
          <w:numId w:val="1008"/>
        </w:numPr>
        <w:pStyle w:val="Compact"/>
      </w:pPr>
      <w:r>
        <w:t xml:space="preserve">Licenciamiento: propiedad exclusiva del MME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eglas-críticas"/>
    <w:p>
      <w:pPr>
        <w:pStyle w:val="Heading2"/>
      </w:pPr>
      <w:r>
        <w:t xml:space="preserve">⚠️ REGLAS CRÍTICAS</w:t>
      </w:r>
    </w:p>
    <w:bookmarkStart w:id="45" w:name="gestión-de-cambios"/>
    <w:p>
      <w:pPr>
        <w:pStyle w:val="Heading3"/>
      </w:pPr>
      <w:r>
        <w:t xml:space="preserve">Gestión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Menores (parches)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Mayores (actualizaciones)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Críticos (migraciones)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Inmediata (notificación + justificación + aprobación post)</w:t>
            </w:r>
          </w:p>
        </w:tc>
      </w:tr>
    </w:tbl>
    <w:bookmarkEnd w:id="45"/>
    <w:bookmarkStart w:id="46" w:name="consecuencias-por-incumplimiento-ans"/>
    <w:p>
      <w:pPr>
        <w:pStyle w:val="Heading3"/>
      </w:pPr>
      <w:r>
        <w:t xml:space="preserve">Consecuencias por Incumplimiento ANS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 meses consecutivos</w:t>
      </w:r>
      <w:r>
        <w:t xml:space="preserve"> </w:t>
      </w:r>
      <w:r>
        <w:t xml:space="preserve">de incumplimiento o</w:t>
      </w:r>
      <w:r>
        <w:t xml:space="preserve"> </w:t>
      </w:r>
      <w:r>
        <w:rPr>
          <w:bCs/>
          <w:b/>
        </w:rPr>
        <w:t xml:space="preserve">&gt;20%</w:t>
      </w:r>
      <w:r>
        <w:t xml:space="preserve"> </w:t>
      </w:r>
      <w:r>
        <w:t xml:space="preserve">incumplimiento acumulado → Reunión de gerencia</w:t>
      </w:r>
    </w:p>
    <w:p>
      <w:pPr>
        <w:numPr>
          <w:ilvl w:val="0"/>
          <w:numId w:val="1009"/>
        </w:numPr>
        <w:pStyle w:val="Compact"/>
      </w:pPr>
      <w:r>
        <w:t xml:space="preserve">Posibles resultados: Planes de choque, revisión contractual, finalización del contrato</w:t>
      </w:r>
    </w:p>
    <w:bookmarkEnd w:id="46"/>
    <w:bookmarkStart w:id="47" w:name="reemplazo-de-personal"/>
    <w:p>
      <w:pPr>
        <w:pStyle w:val="Heading3"/>
      </w:pPr>
      <w:r>
        <w:t xml:space="preserve">Reemplazo de Personal</w:t>
      </w:r>
    </w:p>
    <w:p>
      <w:pPr>
        <w:numPr>
          <w:ilvl w:val="0"/>
          <w:numId w:val="1010"/>
        </w:numPr>
        <w:pStyle w:val="Compact"/>
      </w:pPr>
      <w:r>
        <w:t xml:space="preserve">3 días para plan temporal</w:t>
      </w:r>
    </w:p>
    <w:p>
      <w:pPr>
        <w:numPr>
          <w:ilvl w:val="0"/>
          <w:numId w:val="1010"/>
        </w:numPr>
        <w:pStyle w:val="Compact"/>
      </w:pPr>
      <w:r>
        <w:t xml:space="preserve">10 días calendario para reemplazo definitivo</w:t>
      </w:r>
    </w:p>
    <w:p>
      <w:pPr>
        <w:numPr>
          <w:ilvl w:val="0"/>
          <w:numId w:val="1010"/>
        </w:numPr>
        <w:pStyle w:val="Compact"/>
      </w:pPr>
      <w:r>
        <w:t xml:space="preserve">Vacaciones cubiertas con perfil similar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multas-y-penalidades"/>
    <w:p>
      <w:pPr>
        <w:pStyle w:val="Heading2"/>
      </w:pPr>
      <w:r>
        <w:t xml:space="preserve">💰 MULTAS Y PENALIDADES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93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 0.1% debajo de 99.90%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descuento facturación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acumulable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RPO/RTO incumplido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0.5%-5% según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Abandono llamadas 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&lt;80%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no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por cada 0.1%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ronograma-de-transferencia"/>
    <w:p>
      <w:pPr>
        <w:pStyle w:val="Heading2"/>
      </w:pPr>
      <w:r>
        <w:t xml:space="preserve">📅 CRONOGRAMA DE TRANSFERENCIA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Empalme/Transición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mayo — 30 junio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julio — 30 noviembre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 al 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022e4f19022e540c0be62b01495646225e9921c"/>
    <w:p>
      <w:pPr>
        <w:pStyle w:val="Heading2"/>
      </w:pPr>
      <w:r>
        <w:t xml:space="preserve">🔑 PUNTOS CLAVE PARA NEGOCIACIÓN CON INTERNEXA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Acceso a plataformas:</w:t>
      </w:r>
      <w:r>
        <w:t xml:space="preserve"> </w:t>
      </w:r>
      <w:r>
        <w:t xml:space="preserve">JAVA, BPM, ITSM, Web, E-learning, APPs, DataMart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Máquinas virtuales:</w:t>
      </w:r>
      <w:r>
        <w:t xml:space="preserve"> </w:t>
      </w:r>
      <w:r>
        <w:t xml:space="preserve">Catálogo de servidores y servicios con configuraciones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Código fuente:</w:t>
      </w:r>
      <w:r>
        <w:t xml:space="preserve"> </w:t>
      </w:r>
      <w:r>
        <w:t xml:space="preserve">Repositorio GitLab/GitHub con flujos BPM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Documentación:</w:t>
      </w:r>
      <w:r>
        <w:t xml:space="preserve"> </w:t>
      </w:r>
      <w:r>
        <w:t xml:space="preserve">Técnica, temática, manuales, procedimientos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Capacitación:</w:t>
      </w:r>
      <w:r>
        <w:t xml:space="preserve"> </w:t>
      </w:r>
      <w:r>
        <w:t xml:space="preserve">Plan formal al equipo CI2 con cronograma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Acuerdo de confidencialidad:</w:t>
      </w:r>
      <w:r>
        <w:t xml:space="preserve"> </w:t>
      </w:r>
      <w:r>
        <w:t xml:space="preserve">Paralelo entre INTERNEXA e CI2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Acta de entrega:</w:t>
      </w:r>
      <w:r>
        <w:t xml:space="preserve"> </w:t>
      </w:r>
      <w:r>
        <w:t xml:space="preserve">Firmada por MME, INTERNEXA, CI2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Licencias:</w:t>
      </w:r>
      <w:r>
        <w:t xml:space="preserve"> </w:t>
      </w:r>
      <w:r>
        <w:t xml:space="preserve">Verificar propiedad exclusiva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analizado por:</w:t>
      </w:r>
      <w:r>
        <w:t xml:space="preserve"> </w:t>
      </w:r>
      <w:r>
        <w:t xml:space="preserve">ZEUS — Innovadataco</w:t>
      </w:r>
      <w:r>
        <w:t xml:space="preserve"> </w:t>
      </w:r>
      <w:r>
        <w:rPr>
          <w:bCs/>
          <w:b/>
        </w:rPr>
        <w:t xml:space="preserve">Fecha análisis:</w:t>
      </w:r>
      <w:r>
        <w:t xml:space="preserve"> </w:t>
      </w:r>
      <w:r>
        <w:t xml:space="preserve">20 de mayo de 2026</w:t>
      </w:r>
      <w:r>
        <w:t xml:space="preserve"> </w:t>
      </w:r>
      <w:r>
        <w:rPr>
          <w:bCs/>
          <w:b/>
        </w:rPr>
        <w:t xml:space="preserve">Fuente:</w:t>
      </w:r>
      <w:r>
        <w:t xml:space="preserve"> </w:t>
      </w:r>
      <w:r>
        <w:t xml:space="preserve">Anexo Técnico Contrato SICOM — MME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2026-05-20T01:36:26Z</dcterms:created>
  <dcterms:modified xsi:type="dcterms:W3CDTF">2026-05-20T01:36:26Z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