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Resumen Ejecutivo</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br/>
        <w:b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br/>
        <w:br/>
        <w:t>El sistema CC-01 se despliega estratégicamente a lo largo de los 306 km del corredor, cubriendo zonas críticas como intersecciones, puentes, viaductos, zonas de riesgo geotécnico y puntos de alta accidentalidad.</w:t>
        <w:br/>
        <w:br/>
        <w:t>---</w:t>
      </w:r>
    </w:p>
    <w:p>
      <w:pPr>
        <w:pStyle w:val="Heading2"/>
      </w:pPr>
      <w:r>
        <w:t>8.1.2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2"/>
      </w:pPr>
      <w:r>
        <w:t>8.1.3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 aceptable</w:t>
            </w:r>
          </w:p>
        </w:tc>
        <w:tc>
          <w:tcPr>
            <w:tcW w:type="dxa" w:w="4320"/>
          </w:tcPr>
          <w:p>
            <w:r>
              <w:rPr>
                <w:rFonts w:ascii="Arial" w:hAnsi="Arial"/>
                <w:sz w:val="20"/>
              </w:rPr>
              <w:t>2K (2560×1440) @ 30 fps para cámaras secundarias</w:t>
            </w:r>
          </w:p>
        </w:tc>
      </w:tr>
      <w:tr>
        <w:tc>
          <w:tcPr>
            <w:tcW w:type="dxa" w:w="4320"/>
          </w:tcPr>
          <w:p>
            <w:r>
              <w:rPr>
                <w:rFonts w:ascii="Arial" w:hAnsi="Arial"/>
                <w:sz w:val="20"/>
              </w:rPr>
              <w:t>Formato de compresión</w:t>
            </w:r>
          </w:p>
        </w:tc>
        <w:tc>
          <w:tcPr>
            <w:tcW w:type="dxa" w:w="4320"/>
          </w:tcPr>
          <w:p>
            <w:r>
              <w:rPr>
                <w:rFonts w:ascii="Arial" w:hAnsi="Arial"/>
                <w:sz w:val="20"/>
              </w:rPr>
              <w:t>H.265/HEVC primario, H.264/AVC secundario</w:t>
            </w:r>
          </w:p>
        </w:tc>
      </w:tr>
      <w:tr>
        <w:tc>
          <w:tcPr>
            <w:tcW w:type="dxa" w:w="4320"/>
          </w:tcPr>
          <w:p>
            <w:r>
              <w:rPr>
                <w:rFonts w:ascii="Arial" w:hAnsi="Arial"/>
                <w:sz w:val="20"/>
              </w:rPr>
              <w:t>Tasa de bits por cámara</w:t>
            </w:r>
          </w:p>
        </w:tc>
        <w:tc>
          <w:tcPr>
            <w:tcW w:type="dxa" w:w="4320"/>
          </w:tcPr>
          <w:p>
            <w:r>
              <w:rPr>
                <w:rFonts w:ascii="Arial" w:hAnsi="Arial"/>
                <w:sz w:val="20"/>
              </w:rPr>
              <w:t>8-25 Mbps según resolución y nivel de actividad</w:t>
            </w:r>
          </w:p>
        </w:tc>
      </w:tr>
      <w:tr>
        <w:tc>
          <w:tcPr>
            <w:tcW w:type="dxa" w:w="4320"/>
          </w:tcPr>
          <w:p>
            <w:r>
              <w:rPr>
                <w:rFonts w:ascii="Arial" w:hAnsi="Arial"/>
                <w:sz w:val="20"/>
              </w:rPr>
              <w:t>Latencia de transmisión</w:t>
            </w:r>
          </w:p>
        </w:tc>
        <w:tc>
          <w:tcPr>
            <w:tcW w:type="dxa" w:w="4320"/>
          </w:tcPr>
          <w:p>
            <w:r>
              <w:rPr>
                <w:rFonts w:ascii="Arial" w:hAnsi="Arial"/>
                <w:sz w:val="20"/>
              </w:rPr>
              <w:t>&lt; 500 ms desde captura hasta visualización en CCO</w:t>
            </w:r>
          </w:p>
        </w:tc>
      </w:tr>
      <w:tr>
        <w:tc>
          <w:tcPr>
            <w:tcW w:type="dxa" w:w="4320"/>
          </w:tcPr>
          <w:p>
            <w:r>
              <w:rPr>
                <w:rFonts w:ascii="Arial" w:hAnsi="Arial"/>
                <w:sz w:val="20"/>
              </w:rPr>
              <w:t>Rango dinámico</w:t>
            </w:r>
          </w:p>
        </w:tc>
        <w:tc>
          <w:tcPr>
            <w:tcW w:type="dxa" w:w="4320"/>
          </w:tcPr>
          <w:p>
            <w:r>
              <w:rPr>
                <w:rFonts w:ascii="Arial" w:hAnsi="Arial"/>
                <w:sz w:val="20"/>
              </w:rPr>
              <w:t>HDR/WDR ≥ 120 dB para condiciones de contraluz extremo</w:t>
            </w:r>
          </w:p>
        </w:tc>
      </w:tr>
      <w:tr>
        <w:tc>
          <w:tcPr>
            <w:tcW w:type="dxa" w:w="4320"/>
          </w:tcPr>
          <w:p>
            <w:r>
              <w:rPr>
                <w:rFonts w:ascii="Arial" w:hAnsi="Arial"/>
                <w:sz w:val="20"/>
              </w:rPr>
              <w:t>Visión nocturna</w:t>
            </w:r>
          </w:p>
        </w:tc>
        <w:tc>
          <w:tcPr>
            <w:tcW w:type="dxa" w:w="4320"/>
          </w:tcPr>
          <w:p>
            <w:r>
              <w:rPr>
                <w:rFonts w:ascii="Arial" w:hAnsi="Arial"/>
                <w:sz w:val="20"/>
              </w:rPr>
              <w:t>IR inteligente con alcance ≥ 100 m para cámaras exteriores</w:t>
            </w:r>
          </w:p>
        </w:tc>
      </w:tr>
      <w:tr>
        <w:tc>
          <w:tcPr>
            <w:tcW w:type="dxa" w:w="4320"/>
          </w:tcPr>
          <w:p>
            <w:r>
              <w:rPr>
                <w:rFonts w:ascii="Arial" w:hAnsi="Arial"/>
                <w:sz w:val="20"/>
              </w:rPr>
              <w:t>Protección ambiental</w:t>
            </w:r>
          </w:p>
        </w:tc>
        <w:tc>
          <w:tcPr>
            <w:tcW w:type="dxa" w:w="4320"/>
          </w:tcPr>
          <w:p>
            <w:r>
              <w:rPr>
                <w:rFonts w:ascii="Arial" w:hAnsi="Arial"/>
                <w:sz w:val="20"/>
              </w:rPr>
              <w:t>IP66/67 para equipos de exterior, IP54 para interior</w:t>
            </w:r>
          </w:p>
        </w:tc>
      </w:tr>
      <w:tr>
        <w:tc>
          <w:tcPr>
            <w:tcW w:type="dxa" w:w="4320"/>
          </w:tcPr>
          <w:p>
            <w:r>
              <w:rPr>
                <w:rFonts w:ascii="Arial" w:hAnsi="Arial"/>
                <w:sz w:val="20"/>
              </w:rPr>
              <w:t>Rango térmico operativo</w:t>
            </w:r>
          </w:p>
        </w:tc>
        <w:tc>
          <w:tcPr>
            <w:tcW w:type="dxa" w:w="4320"/>
          </w:tcPr>
          <w:p>
            <w:r>
              <w:rPr>
                <w:rFonts w:ascii="Arial" w:hAnsi="Arial"/>
                <w:sz w:val="20"/>
              </w:rPr>
              <w:t>-30°C a +60°C con funcionamiento continuo garantizado</w:t>
            </w:r>
          </w:p>
        </w:tc>
      </w:tr>
      <w:tr>
        <w:tc>
          <w:tcPr>
            <w:tcW w:type="dxa" w:w="4320"/>
          </w:tcPr>
          <w:p>
            <w:r>
              <w:rPr>
                <w:rFonts w:ascii="Arial" w:hAnsi="Arial"/>
                <w:sz w:val="20"/>
              </w:rPr>
              <w:t>Alimentación</w:t>
            </w:r>
          </w:p>
        </w:tc>
        <w:tc>
          <w:tcPr>
            <w:tcW w:type="dxa" w:w="4320"/>
          </w:tcPr>
          <w:p>
            <w:r>
              <w:rPr>
                <w:rFonts w:ascii="Arial" w:hAnsi="Arial"/>
                <w:sz w:val="20"/>
              </w:rPr>
              <w:t>PoE++ (IEEE 802.3bt, 60W) o 24VAC/24VDC con respaldo UPS</w:t>
            </w:r>
          </w:p>
        </w:tc>
      </w:tr>
      <w:tr>
        <w:tc>
          <w:tcPr>
            <w:tcW w:type="dxa" w:w="4320"/>
          </w:tcPr>
          <w:p>
            <w:r>
              <w:rPr>
                <w:rFonts w:ascii="Arial" w:hAnsi="Arial"/>
                <w:sz w:val="20"/>
              </w:rPr>
              <w:t>Capacidades PTZ</w:t>
            </w:r>
          </w:p>
        </w:tc>
        <w:tc>
          <w:tcPr>
            <w:tcW w:type="dxa" w:w="4320"/>
          </w:tcPr>
          <w:p>
            <w:r>
              <w:rPr>
                <w:rFonts w:ascii="Arial" w:hAnsi="Arial"/>
                <w:sz w:val="20"/>
              </w:rPr>
              <w:t>Pan 360°, Tilt ±90°, Zoom óptico ≥ 30x para cámaras motorizadas</w:t>
            </w:r>
          </w:p>
        </w:tc>
      </w:tr>
      <w:tr>
        <w:tc>
          <w:tcPr>
            <w:tcW w:type="dxa" w:w="4320"/>
          </w:tcPr>
          <w:p>
            <w:r>
              <w:rPr>
                <w:rFonts w:ascii="Arial" w:hAnsi="Arial"/>
                <w:sz w:val="20"/>
              </w:rPr>
              <w:t>Analítica integrada</w:t>
            </w:r>
          </w:p>
        </w:tc>
        <w:tc>
          <w:tcPr>
            <w:tcW w:type="dxa" w:w="4320"/>
          </w:tcPr>
          <w:p>
            <w:r>
              <w:rPr>
                <w:rFonts w:ascii="Arial" w:hAnsi="Arial"/>
                <w:sz w:val="20"/>
              </w:rPr>
              <w:t>Detección de intrusión, cruce de línea, permanencia, dirección</w:t>
            </w:r>
          </w:p>
        </w:tc>
      </w:tr>
      <w:tr>
        <w:tc>
          <w:tcPr>
            <w:tcW w:type="dxa" w:w="4320"/>
          </w:tcPr>
          <w:p>
            <w:r>
              <w:rPr>
                <w:rFonts w:ascii="Arial" w:hAnsi="Arial"/>
                <w:sz w:val="20"/>
              </w:rPr>
              <w:t>Protocolos de red</w:t>
            </w:r>
          </w:p>
        </w:tc>
        <w:tc>
          <w:tcPr>
            <w:tcW w:type="dxa" w:w="4320"/>
          </w:tcPr>
          <w:p>
            <w:r>
              <w:rPr>
                <w:rFonts w:ascii="Arial" w:hAnsi="Arial"/>
                <w:sz w:val="20"/>
              </w:rPr>
              <w:t>ONVIF Profile S/G, RTSP, RTMP, SIP para integraciones</w:t>
            </w:r>
          </w:p>
        </w:tc>
      </w:tr>
      <w:tr>
        <w:tc>
          <w:tcPr>
            <w:tcW w:type="dxa" w:w="4320"/>
          </w:tcPr>
          <w:p>
            <w:r>
              <w:rPr>
                <w:rFonts w:ascii="Arial" w:hAnsi="Arial"/>
                <w:sz w:val="20"/>
              </w:rPr>
              <w:t>Ciberseguridad</w:t>
            </w:r>
          </w:p>
        </w:tc>
        <w:tc>
          <w:tcPr>
            <w:tcW w:type="dxa" w:w="4320"/>
          </w:tcPr>
          <w:p>
            <w:r>
              <w:rPr>
                <w:rFonts w:ascii="Arial" w:hAnsi="Arial"/>
                <w:sz w:val="20"/>
              </w:rPr>
              <w:t>Cifrado TLS 1.3, autenticación IEEE 802.1X, certificados X.509</w:t>
            </w:r>
          </w:p>
        </w:tc>
      </w:tr>
      <w:tr>
        <w:tc>
          <w:tcPr>
            <w:tcW w:type="dxa" w:w="4320"/>
          </w:tcPr>
          <w:p>
            <w:r>
              <w:rPr>
                <w:rFonts w:ascii="Arial" w:hAnsi="Arial"/>
                <w:sz w:val="20"/>
              </w:rPr>
              <w:t>Almacenamiento local</w:t>
            </w:r>
          </w:p>
        </w:tc>
        <w:tc>
          <w:tcPr>
            <w:tcW w:type="dxa" w:w="4320"/>
          </w:tcPr>
          <w:p>
            <w:r>
              <w:rPr>
                <w:rFonts w:ascii="Arial" w:hAnsi="Arial"/>
                <w:sz w:val="20"/>
              </w:rPr>
              <w:t>Slot para microSD ≥ 256 GB como respaldo ante falla de red</w:t>
            </w:r>
          </w:p>
        </w:tc>
      </w:tr>
      <w:tr>
        <w:tc>
          <w:tcPr>
            <w:tcW w:type="dxa" w:w="4320"/>
          </w:tcPr>
          <w:p>
            <w:r>
              <w:rPr>
                <w:rFonts w:ascii="Arial" w:hAnsi="Arial"/>
                <w:sz w:val="20"/>
              </w:rPr>
              <w:t>Gestión de VMS</w:t>
            </w:r>
          </w:p>
        </w:tc>
        <w:tc>
          <w:tcPr>
            <w:tcW w:type="dxa" w:w="4320"/>
          </w:tcPr>
          <w:p>
            <w:r>
              <w:rPr>
                <w:rFonts w:ascii="Arial" w:hAnsi="Arial"/>
                <w:sz w:val="20"/>
              </w:rPr>
              <w:t>Compatible con plataformas Milestone, Genetec, Honeywell, o VMS propio</w:t>
            </w:r>
          </w:p>
        </w:tc>
      </w:tr>
      <w:tr>
        <w:tc>
          <w:tcPr>
            <w:tcW w:type="dxa" w:w="4320"/>
          </w:tcPr>
          <w:p>
            <w:r>
              <w:rPr>
                <w:rFonts w:ascii="Arial" w:hAnsi="Arial"/>
                <w:sz w:val="20"/>
              </w:rPr>
              <w:t>Tasa de cuadros</w:t>
            </w:r>
          </w:p>
        </w:tc>
        <w:tc>
          <w:tcPr>
            <w:tcW w:type="dxa" w:w="4320"/>
          </w:tcPr>
          <w:p>
            <w:r>
              <w:rPr>
                <w:rFonts w:ascii="Arial" w:hAnsi="Arial"/>
                <w:sz w:val="20"/>
              </w:rPr>
              <w:t>30 fps configurable, con modo 60 fps para cámaras de alta velocidad</w:t>
            </w:r>
          </w:p>
        </w:tc>
      </w:tr>
      <w:tr>
        <w:tc>
          <w:tcPr>
            <w:tcW w:type="dxa" w:w="4320"/>
          </w:tcPr>
          <w:p>
            <w:r>
              <w:rPr>
                <w:rFonts w:ascii="Arial" w:hAnsi="Arial"/>
                <w:sz w:val="20"/>
              </w:rPr>
              <w:t>Campo visual</w:t>
            </w:r>
          </w:p>
        </w:tc>
        <w:tc>
          <w:tcPr>
            <w:tcW w:type="dxa" w:w="4320"/>
          </w:tcPr>
          <w:p>
            <w:r>
              <w:rPr>
                <w:rFonts w:ascii="Arial" w:hAnsi="Arial"/>
                <w:sz w:val="20"/>
              </w:rPr>
              <w:t>≥ 90° horizontal para cámaras fijas de cobertura general</w:t>
            </w:r>
          </w:p>
        </w:tc>
      </w:tr>
      <w:tr>
        <w:tc>
          <w:tcPr>
            <w:tcW w:type="dxa" w:w="4320"/>
          </w:tcPr>
          <w:p>
            <w:r>
              <w:rPr>
                <w:rFonts w:ascii="Arial" w:hAnsi="Arial"/>
                <w:sz w:val="20"/>
              </w:rPr>
              <w:t>Resistencia a impactos</w:t>
            </w:r>
          </w:p>
        </w:tc>
        <w:tc>
          <w:tcPr>
            <w:tcW w:type="dxa" w:w="4320"/>
          </w:tcPr>
          <w:p>
            <w:r>
              <w:rPr>
                <w:rFonts w:ascii="Arial" w:hAnsi="Arial"/>
                <w:sz w:val="20"/>
              </w:rPr>
              <w:t>IK10 para zonas vulnerables a vandalismo</w:t>
            </w:r>
          </w:p>
        </w:tc>
      </w:tr>
    </w:tbl>
    <w:p>
      <w:pPr>
        <w:pStyle w:val="Heading2"/>
      </w:pPr>
      <w:r>
        <w:t>8.1.5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pPr>
        <w:pStyle w:val="Heading2"/>
      </w:pPr>
      <w:r>
        <w:t>8.1.6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pPr>
        <w:pStyle w:val="Heading2"/>
      </w:pPr>
      <w:r>
        <w:t>8.1.7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p>
      <w:pPr>
        <w:pStyle w:val="Heading2"/>
      </w:pPr>
      <w:r>
        <w:t>8.1.8 Principales Casos de Uso</w:t>
      </w:r>
    </w:p>
    <w:p>
      <w:r>
        <w:br w:type="page"/>
      </w:r>
    </w:p>
    <w:p>
      <w:pPr>
        <w:pStyle w:val="Heading1"/>
      </w:pPr>
      <w:r>
        <w:rPr>
          <w:rFonts w:ascii="Arial" w:hAnsi="Arial"/>
          <w:b/>
          <w:sz w:val="24"/>
        </w:rPr>
        <w:t>8.2 CC-02: AID (Detección de Incidentes)</w:t>
      </w:r>
    </w:p>
    <w:p>
      <w:pPr>
        <w:pStyle w:val="Heading2"/>
      </w:pPr>
      <w:r>
        <w:t>8.2.1 Resumen Ejecutivo</w:t>
      </w:r>
    </w:p>
    <w:p>
      <w:r>
        <w:rPr>
          <w:rFonts w:ascii="Arial" w:hAnsi="Arial"/>
          <w:sz w:val="22"/>
        </w:rPr>
        <w:t>El componente **CC-02 AID** constituye el sistema de detección automática de incidentes del corredor vial Chía–Girardot, proporcionando capacidad de identificación proactiva de peligros y alerta automática sobre eventos disruptivos sin depender del ojo humano. Este subsistema fundamental habilita la capacidad de detectar incidentes en tiempo real, reduciendo drásticamente los tiempos de respuesta y mejorando la seguridad vial a lo largo de los 306 km del corredor.</w:t>
        <w:br/>
        <w:br/>
        <w:t>La detección inteligente de incidentes representa una capa crítica de automatización que complementa la videovigilancia tradicional, utilizando algoritmos de inteligencia artificial y análisis de video para identificar situaciones anómalas: vehículos detenidos, circulación en contravía, congestiones repentinas, pérdida de carga, peatones en la vía, y otros eventos que comprometen la seguridad del tránsito.</w:t>
        <w:br/>
        <w:br/>
        <w:t>El sistema AID se despliega estratégicamente en puntos críticos del corredor, procesando flujos de video de cámaras CCTV mediante motores de análisis de video inteligente (VCA) entrenados con modelos de machine learning específicos para condiciones de tráfico en corredores viales de alta velocidad.</w:t>
        <w:br/>
        <w:br/>
        <w:t>---</w:t>
      </w:r>
    </w:p>
    <w:p>
      <w:pPr>
        <w:pStyle w:val="Heading2"/>
      </w:pPr>
      <w:r>
        <w:t>8.2.2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2"/>
      </w:pPr>
      <w:r>
        <w:t>8.2.3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Tiempo de detección</w:t>
            </w:r>
          </w:p>
        </w:tc>
        <w:tc>
          <w:tcPr>
            <w:tcW w:type="dxa" w:w="4320"/>
          </w:tcPr>
          <w:p>
            <w:r>
              <w:rPr>
                <w:rFonts w:ascii="Arial" w:hAnsi="Arial"/>
                <w:sz w:val="20"/>
              </w:rPr>
              <w:t>&lt; 2 segundos desde ocurrencia hasta alerta</w:t>
            </w:r>
          </w:p>
        </w:tc>
      </w:tr>
      <w:tr>
        <w:tc>
          <w:tcPr>
            <w:tcW w:type="dxa" w:w="4320"/>
          </w:tcPr>
          <w:p>
            <w:r>
              <w:rPr>
                <w:rFonts w:ascii="Arial" w:hAnsi="Arial"/>
                <w:sz w:val="20"/>
              </w:rPr>
              <w:t>Tasa de detección</w:t>
            </w:r>
          </w:p>
        </w:tc>
        <w:tc>
          <w:tcPr>
            <w:tcW w:type="dxa" w:w="4320"/>
          </w:tcPr>
          <w:p>
            <w:r>
              <w:rPr>
                <w:rFonts w:ascii="Arial" w:hAnsi="Arial"/>
                <w:sz w:val="20"/>
              </w:rPr>
              <w:t>≥ 95% para incidentes críticos</w:t>
            </w:r>
          </w:p>
        </w:tc>
      </w:tr>
      <w:tr>
        <w:tc>
          <w:tcPr>
            <w:tcW w:type="dxa" w:w="4320"/>
          </w:tcPr>
          <w:p>
            <w:r>
              <w:rPr>
                <w:rFonts w:ascii="Arial" w:hAnsi="Arial"/>
                <w:sz w:val="20"/>
              </w:rPr>
              <w:t>Tasa de falsos positivos</w:t>
            </w:r>
          </w:p>
        </w:tc>
        <w:tc>
          <w:tcPr>
            <w:tcW w:type="dxa" w:w="4320"/>
          </w:tcPr>
          <w:p>
            <w:r>
              <w:rPr>
                <w:rFonts w:ascii="Arial" w:hAnsi="Arial"/>
                <w:sz w:val="20"/>
              </w:rPr>
              <w:t>&lt; 5%</w:t>
            </w:r>
          </w:p>
        </w:tc>
      </w:tr>
      <w:tr>
        <w:tc>
          <w:tcPr>
            <w:tcW w:type="dxa" w:w="4320"/>
          </w:tcPr>
          <w:p>
            <w:r>
              <w:rPr>
                <w:rFonts w:ascii="Arial" w:hAnsi="Arial"/>
                <w:sz w:val="20"/>
              </w:rPr>
              <w:t>Algoritmos</w:t>
            </w:r>
          </w:p>
        </w:tc>
        <w:tc>
          <w:tcPr>
            <w:tcW w:type="dxa" w:w="4320"/>
          </w:tcPr>
          <w:p>
            <w:r>
              <w:rPr>
                <w:rFonts w:ascii="Arial" w:hAnsi="Arial"/>
                <w:sz w:val="20"/>
              </w:rPr>
              <w:t>Deep Learning / CNN entrenados con datasets de tráfico vial</w:t>
            </w:r>
          </w:p>
        </w:tc>
      </w:tr>
      <w:tr>
        <w:tc>
          <w:tcPr>
            <w:tcW w:type="dxa" w:w="4320"/>
          </w:tcPr>
          <w:p>
            <w:r>
              <w:rPr>
                <w:rFonts w:ascii="Arial" w:hAnsi="Arial"/>
                <w:sz w:val="20"/>
              </w:rPr>
              <w:t>Procesamiento</w:t>
            </w:r>
          </w:p>
        </w:tc>
        <w:tc>
          <w:tcPr>
            <w:tcW w:type="dxa" w:w="4320"/>
          </w:tcPr>
          <w:p>
            <w:r>
              <w:rPr>
                <w:rFonts w:ascii="Arial" w:hAnsi="Arial"/>
                <w:sz w:val="20"/>
              </w:rPr>
              <w:t>Edge computing con aceleradores NVIDIA Jetson o similar</w:t>
            </w:r>
          </w:p>
        </w:tc>
      </w:tr>
      <w:tr>
        <w:tc>
          <w:tcPr>
            <w:tcW w:type="dxa" w:w="4320"/>
          </w:tcPr>
          <w:p>
            <w:r>
              <w:rPr>
                <w:rFonts w:ascii="Arial" w:hAnsi="Arial"/>
                <w:sz w:val="20"/>
              </w:rPr>
              <w:t>Entradas de video</w:t>
            </w:r>
          </w:p>
        </w:tc>
        <w:tc>
          <w:tcPr>
            <w:tcW w:type="dxa" w:w="4320"/>
          </w:tcPr>
          <w:p>
            <w:r>
              <w:rPr>
                <w:rFonts w:ascii="Arial" w:hAnsi="Arial"/>
                <w:sz w:val="20"/>
              </w:rPr>
              <w:t>Compatible con streams RTSP de cámaras CCTV CC-01</w:t>
            </w:r>
          </w:p>
        </w:tc>
      </w:tr>
      <w:tr>
        <w:tc>
          <w:tcPr>
            <w:tcW w:type="dxa" w:w="4320"/>
          </w:tcPr>
          <w:p>
            <w:r>
              <w:rPr>
                <w:rFonts w:ascii="Arial" w:hAnsi="Arial"/>
                <w:sz w:val="20"/>
              </w:rPr>
              <w:t>Resolución de entrada</w:t>
            </w:r>
          </w:p>
        </w:tc>
        <w:tc>
          <w:tcPr>
            <w:tcW w:type="dxa" w:w="4320"/>
          </w:tcPr>
          <w:p>
            <w:r>
              <w:rPr>
                <w:rFonts w:ascii="Arial" w:hAnsi="Arial"/>
                <w:sz w:val="20"/>
              </w:rPr>
              <w:t>1080p mínimo, 4K recomendado</w:t>
            </w:r>
          </w:p>
        </w:tc>
      </w:tr>
      <w:tr>
        <w:tc>
          <w:tcPr>
            <w:tcW w:type="dxa" w:w="4320"/>
          </w:tcPr>
          <w:p>
            <w:r>
              <w:rPr>
                <w:rFonts w:ascii="Arial" w:hAnsi="Arial"/>
                <w:sz w:val="20"/>
              </w:rPr>
              <w:t>Interfaces de salida</w:t>
            </w:r>
          </w:p>
        </w:tc>
        <w:tc>
          <w:tcPr>
            <w:tcW w:type="dxa" w:w="4320"/>
          </w:tcPr>
          <w:p>
            <w:r>
              <w:rPr>
                <w:rFonts w:ascii="Arial" w:hAnsi="Arial"/>
                <w:sz w:val="20"/>
              </w:rPr>
              <w:t>API REST, SNMP Traps, mensajería MQTT</w:t>
            </w:r>
          </w:p>
        </w:tc>
      </w:tr>
      <w:tr>
        <w:tc>
          <w:tcPr>
            <w:tcW w:type="dxa" w:w="4320"/>
          </w:tcPr>
          <w:p>
            <w:r>
              <w:rPr>
                <w:rFonts w:ascii="Arial" w:hAnsi="Arial"/>
                <w:sz w:val="20"/>
              </w:rPr>
              <w:t>Clasificación de severidad</w:t>
            </w:r>
          </w:p>
        </w:tc>
        <w:tc>
          <w:tcPr>
            <w:tcW w:type="dxa" w:w="4320"/>
          </w:tcPr>
          <w:p>
            <w:r>
              <w:rPr>
                <w:rFonts w:ascii="Arial" w:hAnsi="Arial"/>
                <w:sz w:val="20"/>
              </w:rPr>
              <w:t>Crítica, Mayor, Menor con umbrales configurables</w:t>
            </w:r>
          </w:p>
        </w:tc>
      </w:tr>
      <w:tr>
        <w:tc>
          <w:tcPr>
            <w:tcW w:type="dxa" w:w="4320"/>
          </w:tcPr>
          <w:p>
            <w:r>
              <w:rPr>
                <w:rFonts w:ascii="Arial" w:hAnsi="Arial"/>
                <w:sz w:val="20"/>
              </w:rPr>
              <w:t>Georeferenciación</w:t>
            </w:r>
          </w:p>
        </w:tc>
        <w:tc>
          <w:tcPr>
            <w:tcW w:type="dxa" w:w="4320"/>
          </w:tcPr>
          <w:p>
            <w:r>
              <w:rPr>
                <w:rFonts w:ascii="Arial" w:hAnsi="Arial"/>
                <w:sz w:val="20"/>
              </w:rPr>
              <w:t>Coordenadas GPS exactas del punto de detección</w:t>
            </w:r>
          </w:p>
        </w:tc>
      </w:tr>
      <w:tr>
        <w:tc>
          <w:tcPr>
            <w:tcW w:type="dxa" w:w="4320"/>
          </w:tcPr>
          <w:p>
            <w:r>
              <w:rPr>
                <w:rFonts w:ascii="Arial" w:hAnsi="Arial"/>
                <w:sz w:val="20"/>
              </w:rPr>
              <w:t>Metadatos de evento</w:t>
            </w:r>
          </w:p>
        </w:tc>
        <w:tc>
          <w:tcPr>
            <w:tcW w:type="dxa" w:w="4320"/>
          </w:tcPr>
          <w:p>
            <w:r>
              <w:rPr>
                <w:rFonts w:ascii="Arial" w:hAnsi="Arial"/>
                <w:sz w:val="20"/>
              </w:rPr>
              <w:t>Timestamp, tipo de incidente, confianza, imagen de evidencia</w:t>
            </w:r>
          </w:p>
        </w:tc>
      </w:tr>
      <w:tr>
        <w:tc>
          <w:tcPr>
            <w:tcW w:type="dxa" w:w="4320"/>
          </w:tcPr>
          <w:p>
            <w:r>
              <w:rPr>
                <w:rFonts w:ascii="Arial" w:hAnsi="Arial"/>
                <w:sz w:val="20"/>
              </w:rPr>
              <w:t>Capacidad de procesamiento</w:t>
            </w:r>
          </w:p>
        </w:tc>
        <w:tc>
          <w:tcPr>
            <w:tcW w:type="dxa" w:w="4320"/>
          </w:tcPr>
          <w:p>
            <w:r>
              <w:rPr>
                <w:rFonts w:ascii="Arial" w:hAnsi="Arial"/>
                <w:sz w:val="20"/>
              </w:rPr>
              <w:t>≥ 4 streams de video simultáneos por nodo de edge</w:t>
            </w:r>
          </w:p>
        </w:tc>
      </w:tr>
      <w:tr>
        <w:tc>
          <w:tcPr>
            <w:tcW w:type="dxa" w:w="4320"/>
          </w:tcPr>
          <w:p>
            <w:r>
              <w:rPr>
                <w:rFonts w:ascii="Arial" w:hAnsi="Arial"/>
                <w:sz w:val="20"/>
              </w:rPr>
              <w:t>Redundancia</w:t>
            </w:r>
          </w:p>
        </w:tc>
        <w:tc>
          <w:tcPr>
            <w:tcW w:type="dxa" w:w="4320"/>
          </w:tcPr>
          <w:p>
            <w:r>
              <w:rPr>
                <w:rFonts w:ascii="Arial" w:hAnsi="Arial"/>
                <w:sz w:val="20"/>
              </w:rPr>
              <w:t>Failover automático ante falla de nodo de procesamiento</w:t>
            </w:r>
          </w:p>
        </w:tc>
      </w:tr>
      <w:tr>
        <w:tc>
          <w:tcPr>
            <w:tcW w:type="dxa" w:w="4320"/>
          </w:tcPr>
          <w:p>
            <w:r>
              <w:rPr>
                <w:rFonts w:ascii="Arial" w:hAnsi="Arial"/>
                <w:sz w:val="20"/>
              </w:rPr>
              <w:t>Aprendizaje continuo</w:t>
            </w:r>
          </w:p>
        </w:tc>
        <w:tc>
          <w:tcPr>
            <w:tcW w:type="dxa" w:w="4320"/>
          </w:tcPr>
          <w:p>
            <w:r>
              <w:rPr>
                <w:rFonts w:ascii="Arial" w:hAnsi="Arial"/>
                <w:sz w:val="20"/>
              </w:rPr>
              <w:t>Capacidad de reentrenamiento con nuevos casos</w:t>
            </w:r>
          </w:p>
        </w:tc>
      </w:tr>
    </w:tbl>
    <w:p>
      <w:pPr>
        <w:pStyle w:val="Heading2"/>
      </w:pPr>
      <w:r>
        <w:t>8.2.5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Detección de Flujo Contrario</w:t>
            </w:r>
          </w:p>
        </w:tc>
        <w:tc>
          <w:tcPr>
            <w:tcW w:type="dxa" w:w="2160"/>
          </w:tcPr>
          <w:p>
            <w:r>
              <w:rPr>
                <w:rFonts w:ascii="Arial" w:hAnsi="Arial"/>
                <w:sz w:val="20"/>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0"/>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0"/>
              </w:rPr>
              <w:t>RF-03</w:t>
            </w:r>
          </w:p>
        </w:tc>
        <w:tc>
          <w:tcPr>
            <w:tcW w:type="dxa" w:w="2160"/>
          </w:tcPr>
          <w:p>
            <w:r>
              <w:rPr>
                <w:rFonts w:ascii="Arial" w:hAnsi="Arial"/>
                <w:sz w:val="20"/>
              </w:rPr>
              <w:t>Detección de Pérdida de Carga</w:t>
            </w:r>
          </w:p>
        </w:tc>
        <w:tc>
          <w:tcPr>
            <w:tcW w:type="dxa" w:w="2160"/>
          </w:tcPr>
          <w:p>
            <w:r>
              <w:rPr>
                <w:rFonts w:ascii="Arial" w:hAnsi="Arial"/>
                <w:sz w:val="20"/>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0"/>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0"/>
              </w:rPr>
              <w:t>RF-04</w:t>
            </w:r>
          </w:p>
        </w:tc>
        <w:tc>
          <w:tcPr>
            <w:tcW w:type="dxa" w:w="2160"/>
          </w:tcPr>
          <w:p>
            <w:r>
              <w:rPr>
                <w:rFonts w:ascii="Arial" w:hAnsi="Arial"/>
                <w:sz w:val="20"/>
              </w:rPr>
              <w:t>Detección de Peatón en Calzada</w:t>
            </w:r>
          </w:p>
        </w:tc>
        <w:tc>
          <w:tcPr>
            <w:tcW w:type="dxa" w:w="2160"/>
          </w:tcPr>
          <w:p>
            <w:r>
              <w:rPr>
                <w:rFonts w:ascii="Arial" w:hAnsi="Arial"/>
                <w:sz w:val="20"/>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0"/>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0"/>
              </w:rPr>
              <w:t>RF-05</w:t>
            </w:r>
          </w:p>
        </w:tc>
        <w:tc>
          <w:tcPr>
            <w:tcW w:type="dxa" w:w="2160"/>
          </w:tcPr>
          <w:p>
            <w:r>
              <w:rPr>
                <w:rFonts w:ascii="Arial" w:hAnsi="Arial"/>
                <w:sz w:val="20"/>
              </w:rPr>
              <w:t>Detección de Congestión Repentina</w:t>
            </w:r>
          </w:p>
        </w:tc>
        <w:tc>
          <w:tcPr>
            <w:tcW w:type="dxa" w:w="2160"/>
          </w:tcPr>
          <w:p>
            <w:r>
              <w:rPr>
                <w:rFonts w:ascii="Arial" w:hAnsi="Arial"/>
                <w:sz w:val="20"/>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0"/>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0"/>
              </w:rPr>
              <w:t>RF-06</w:t>
            </w:r>
          </w:p>
        </w:tc>
        <w:tc>
          <w:tcPr>
            <w:tcW w:type="dxa" w:w="2160"/>
          </w:tcPr>
          <w:p>
            <w:r>
              <w:rPr>
                <w:rFonts w:ascii="Arial" w:hAnsi="Arial"/>
                <w:sz w:val="20"/>
              </w:rPr>
              <w:t>Clasificación por Severidad</w:t>
            </w:r>
          </w:p>
        </w:tc>
        <w:tc>
          <w:tcPr>
            <w:tcW w:type="dxa" w:w="2160"/>
          </w:tcPr>
          <w:p>
            <w:r>
              <w:rPr>
                <w:rFonts w:ascii="Arial" w:hAnsi="Arial"/>
                <w:sz w:val="20"/>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0"/>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0"/>
              </w:rPr>
              <w:t>RF-07</w:t>
            </w:r>
          </w:p>
        </w:tc>
        <w:tc>
          <w:tcPr>
            <w:tcW w:type="dxa" w:w="2160"/>
          </w:tcPr>
          <w:p>
            <w:r>
              <w:rPr>
                <w:rFonts w:ascii="Arial" w:hAnsi="Arial"/>
                <w:sz w:val="20"/>
              </w:rPr>
              <w:t>Integración con CCTV</w:t>
            </w:r>
          </w:p>
        </w:tc>
        <w:tc>
          <w:tcPr>
            <w:tcW w:type="dxa" w:w="2160"/>
          </w:tcPr>
          <w:p>
            <w:r>
              <w:rPr>
                <w:rFonts w:ascii="Arial" w:hAnsi="Arial"/>
                <w:sz w:val="20"/>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0"/>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0"/>
              </w:rPr>
              <w:t>RF-08</w:t>
            </w:r>
          </w:p>
        </w:tc>
        <w:tc>
          <w:tcPr>
            <w:tcW w:type="dxa" w:w="2160"/>
          </w:tcPr>
          <w:p>
            <w:r>
              <w:rPr>
                <w:rFonts w:ascii="Arial" w:hAnsi="Arial"/>
                <w:sz w:val="20"/>
              </w:rPr>
              <w:t>Georeferenciación Precisa</w:t>
            </w:r>
          </w:p>
        </w:tc>
        <w:tc>
          <w:tcPr>
            <w:tcW w:type="dxa" w:w="2160"/>
          </w:tcPr>
          <w:p>
            <w:r>
              <w:rPr>
                <w:rFonts w:ascii="Arial" w:hAnsi="Arial"/>
                <w:sz w:val="20"/>
              </w:rPr>
              <w:t>Cada alerta debe incluir coordenadas GPS exactas del incidente (precisión &lt; 10 metros), identificación del punto kilométrico más cercano, y cámara de referencia.</w:t>
            </w:r>
          </w:p>
        </w:tc>
        <w:tc>
          <w:tcPr>
            <w:tcW w:type="dxa" w:w="2160"/>
          </w:tcPr>
          <w:p>
            <w:r>
              <w:rPr>
                <w:rFonts w:ascii="Arial" w:hAnsi="Arial"/>
                <w:sz w:val="20"/>
              </w:rPr>
              <w:t>La georeferenciación precisa reduce el tiempo de llegada de unidades de emergencia, eliminando la búsqueda del punto del incidente en un corredor de 306 km.</w:t>
            </w:r>
          </w:p>
        </w:tc>
      </w:tr>
      <w:tr>
        <w:tc>
          <w:tcPr>
            <w:tcW w:type="dxa" w:w="2160"/>
          </w:tcPr>
          <w:p>
            <w:r>
              <w:rPr>
                <w:rFonts w:ascii="Arial" w:hAnsi="Arial"/>
                <w:sz w:val="20"/>
              </w:rPr>
              <w:t>RF-09</w:t>
            </w:r>
          </w:p>
        </w:tc>
        <w:tc>
          <w:tcPr>
            <w:tcW w:type="dxa" w:w="2160"/>
          </w:tcPr>
          <w:p>
            <w:r>
              <w:rPr>
                <w:rFonts w:ascii="Arial" w:hAnsi="Arial"/>
                <w:sz w:val="20"/>
              </w:rPr>
              <w:t>Evidencia Digital</w:t>
            </w:r>
          </w:p>
        </w:tc>
        <w:tc>
          <w:tcPr>
            <w:tcW w:type="dxa" w:w="2160"/>
          </w:tcPr>
          <w:p>
            <w:r>
              <w:rPr>
                <w:rFonts w:ascii="Arial" w:hAnsi="Arial"/>
                <w:sz w:val="20"/>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0"/>
              </w:rPr>
              <w:t>La evidencia digital es fundamental para investigaciones posteriores de incidentes y para el entrenamiento continuo de los algoritmos de detección.</w:t>
            </w:r>
          </w:p>
        </w:tc>
      </w:tr>
      <w:tr>
        <w:tc>
          <w:tcPr>
            <w:tcW w:type="dxa" w:w="2160"/>
          </w:tcPr>
          <w:p>
            <w:r>
              <w:rPr>
                <w:rFonts w:ascii="Arial" w:hAnsi="Arial"/>
                <w:sz w:val="20"/>
              </w:rPr>
              <w:t>RF-10</w:t>
            </w:r>
          </w:p>
        </w:tc>
        <w:tc>
          <w:tcPr>
            <w:tcW w:type="dxa" w:w="2160"/>
          </w:tcPr>
          <w:p>
            <w:r>
              <w:rPr>
                <w:rFonts w:ascii="Arial" w:hAnsi="Arial"/>
                <w:sz w:val="20"/>
              </w:rPr>
              <w:t>Gestión de Falsos Positivos</w:t>
            </w:r>
          </w:p>
        </w:tc>
        <w:tc>
          <w:tcPr>
            <w:tcW w:type="dxa" w:w="2160"/>
          </w:tcPr>
          <w:p>
            <w:r>
              <w:rPr>
                <w:rFonts w:ascii="Arial" w:hAnsi="Arial"/>
                <w:sz w:val="20"/>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0"/>
              </w:rPr>
              <w:t>La gestión activa de falsos positivos permite mejorar continuamente la precisión del sistema, reduciendo la fatiga de alertas en operadores y aumentando la confianza en el sistema.</w:t>
            </w:r>
          </w:p>
        </w:tc>
      </w:tr>
    </w:tbl>
    <w:p>
      <w:pPr>
        <w:pStyle w:val="Heading2"/>
      </w:pPr>
      <w:r>
        <w:t>8.2.6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Latencia de Procesamiento</w:t>
            </w:r>
          </w:p>
        </w:tc>
        <w:tc>
          <w:tcPr>
            <w:tcW w:type="dxa" w:w="2160"/>
          </w:tcPr>
          <w:p>
            <w:r>
              <w:rPr>
                <w:rFonts w:ascii="Arial" w:hAnsi="Arial"/>
                <w:sz w:val="20"/>
              </w:rPr>
              <w:t>El tiempo desde la ocurrencia del incidente hasta la generación de la alerta debe ser &lt; 2 segundos en condiciones normales de red.</w:t>
            </w:r>
          </w:p>
        </w:tc>
        <w:tc>
          <w:tcPr>
            <w:tcW w:type="dxa" w:w="2160"/>
          </w:tcPr>
          <w:p>
            <w:r>
              <w:rPr>
                <w:rFonts w:ascii="Arial" w:hAnsi="Arial"/>
                <w:sz w:val="20"/>
              </w:rPr>
              <w:t>La latencia es crítica en incidentes de flujo contrario donde cada segundo cuenta para evitar colisiones frontales.</w:t>
            </w:r>
          </w:p>
        </w:tc>
      </w:tr>
      <w:tr>
        <w:tc>
          <w:tcPr>
            <w:tcW w:type="dxa" w:w="2160"/>
          </w:tcPr>
          <w:p>
            <w:r>
              <w:rPr>
                <w:rFonts w:ascii="Arial" w:hAnsi="Arial"/>
                <w:sz w:val="20"/>
              </w:rPr>
              <w:t>RNF-03</w:t>
            </w:r>
          </w:p>
        </w:tc>
        <w:tc>
          <w:tcPr>
            <w:tcW w:type="dxa" w:w="2160"/>
          </w:tcPr>
          <w:p>
            <w:r>
              <w:rPr>
                <w:rFonts w:ascii="Arial" w:hAnsi="Arial"/>
                <w:sz w:val="20"/>
              </w:rPr>
              <w:t>Disponibilidad</w:t>
            </w:r>
          </w:p>
        </w:tc>
        <w:tc>
          <w:tcPr>
            <w:tcW w:type="dxa" w:w="2160"/>
          </w:tcPr>
          <w:p>
            <w:r>
              <w:rPr>
                <w:rFonts w:ascii="Arial" w:hAnsi="Arial"/>
                <w:sz w:val="20"/>
              </w:rPr>
              <w:t>El sistema debe mantener disponibilidad ≥ 99.5%, excluyendo mantenimientos programados notificados con 48 horas de anticipación.</w:t>
            </w:r>
          </w:p>
        </w:tc>
        <w:tc>
          <w:tcPr>
            <w:tcW w:type="dxa" w:w="2160"/>
          </w:tcPr>
          <w:p>
            <w:r>
              <w:rPr>
                <w:rFonts w:ascii="Arial" w:hAnsi="Arial"/>
                <w:sz w:val="20"/>
              </w:rPr>
              <w:t>La disponibilidad asegura que el corredor esté protegido permanentemente. Una caída del sistema AID durante un incidente podría tener consecuencias fatales.</w:t>
            </w:r>
          </w:p>
        </w:tc>
      </w:tr>
      <w:tr>
        <w:tc>
          <w:tcPr>
            <w:tcW w:type="dxa" w:w="2160"/>
          </w:tcPr>
          <w:p>
            <w:r>
              <w:rPr>
                <w:rFonts w:ascii="Arial" w:hAnsi="Arial"/>
                <w:sz w:val="20"/>
              </w:rPr>
              <w:t>RNF-04</w:t>
            </w:r>
          </w:p>
        </w:tc>
        <w:tc>
          <w:tcPr>
            <w:tcW w:type="dxa" w:w="2160"/>
          </w:tcPr>
          <w:p>
            <w:r>
              <w:rPr>
                <w:rFonts w:ascii="Arial" w:hAnsi="Arial"/>
                <w:sz w:val="20"/>
              </w:rPr>
              <w:t>Capacidad de Escalabilidad</w:t>
            </w:r>
          </w:p>
        </w:tc>
        <w:tc>
          <w:tcPr>
            <w:tcW w:type="dxa" w:w="2160"/>
          </w:tcPr>
          <w:p>
            <w:r>
              <w:rPr>
                <w:rFonts w:ascii="Arial" w:hAnsi="Arial"/>
                <w:sz w:val="20"/>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0"/>
              </w:rPr>
              <w:t>El corredor puede requerir mayor densidad de detección en el futuro. La escalabilidad garantiza que la inversión inicial no requiera reemplazo ante crecimiento.</w:t>
            </w:r>
          </w:p>
        </w:tc>
      </w:tr>
      <w:tr>
        <w:tc>
          <w:tcPr>
            <w:tcW w:type="dxa" w:w="2160"/>
          </w:tcPr>
          <w:p>
            <w:r>
              <w:rPr>
                <w:rFonts w:ascii="Arial" w:hAnsi="Arial"/>
                <w:sz w:val="20"/>
              </w:rPr>
              <w:t>RNF-05</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0"/>
              </w:rPr>
              <w:t>Los motores de análisis de video son componentes críticos. Un compromiso podría desactivar la detección de incidentes o generar falsas alertas masivas.</w:t>
            </w:r>
          </w:p>
        </w:tc>
      </w:tr>
      <w:tr>
        <w:tc>
          <w:tcPr>
            <w:tcW w:type="dxa" w:w="2160"/>
          </w:tcPr>
          <w:p>
            <w:r>
              <w:rPr>
                <w:rFonts w:ascii="Arial" w:hAnsi="Arial"/>
                <w:sz w:val="20"/>
              </w:rPr>
              <w:t>RNF-06</w:t>
            </w:r>
          </w:p>
        </w:tc>
        <w:tc>
          <w:tcPr>
            <w:tcW w:type="dxa" w:w="2160"/>
          </w:tcPr>
          <w:p>
            <w:r>
              <w:rPr>
                <w:rFonts w:ascii="Arial" w:hAnsi="Arial"/>
                <w:sz w:val="20"/>
              </w:rPr>
              <w:t>Tolerancia Ambiental</w:t>
            </w:r>
          </w:p>
        </w:tc>
        <w:tc>
          <w:tcPr>
            <w:tcW w:type="dxa" w:w="2160"/>
          </w:tcPr>
          <w:p>
            <w:r>
              <w:rPr>
                <w:rFonts w:ascii="Arial" w:hAnsi="Arial"/>
                <w:sz w:val="20"/>
              </w:rPr>
              <w:t>Los nodos de edge deben operar en rango térmico -20°C a +60°C con IP65 de protección.</w:t>
            </w:r>
          </w:p>
        </w:tc>
        <w:tc>
          <w:tcPr>
            <w:tcW w:type="dxa" w:w="2160"/>
          </w:tcPr>
          <w:p>
            <w:r>
              <w:rPr>
                <w:rFonts w:ascii="Arial" w:hAnsi="Arial"/>
                <w:sz w:val="20"/>
              </w:rPr>
              <w:t>El corredor atraviesa zonas con condiciones climáticas diversas. Los nodos de edge deben operar confiablemente en todas las condiciones.</w:t>
            </w:r>
          </w:p>
        </w:tc>
      </w:tr>
      <w:tr>
        <w:tc>
          <w:tcPr>
            <w:tcW w:type="dxa" w:w="2160"/>
          </w:tcPr>
          <w:p>
            <w:r>
              <w:rPr>
                <w:rFonts w:ascii="Arial" w:hAnsi="Arial"/>
                <w:sz w:val="20"/>
              </w:rPr>
              <w:t>RNF-07</w:t>
            </w:r>
          </w:p>
        </w:tc>
        <w:tc>
          <w:tcPr>
            <w:tcW w:type="dxa" w:w="2160"/>
          </w:tcPr>
          <w:p>
            <w:r>
              <w:rPr>
                <w:rFonts w:ascii="Arial" w:hAnsi="Arial"/>
                <w:sz w:val="20"/>
              </w:rPr>
              <w:t>Privacidad y Protección de Datos</w:t>
            </w:r>
          </w:p>
        </w:tc>
        <w:tc>
          <w:tcPr>
            <w:tcW w:type="dxa" w:w="2160"/>
          </w:tcPr>
          <w:p>
            <w:r>
              <w:rPr>
                <w:rFonts w:ascii="Arial" w:hAnsi="Arial"/>
                <w:sz w:val="20"/>
              </w:rPr>
              <w:t>El sistema debe cumplir Ley 1581 de 2012, anonimizando rostros de conductores y peatones en las imágenes de evidencia almacenadas.</w:t>
            </w:r>
          </w:p>
        </w:tc>
        <w:tc>
          <w:tcPr>
            <w:tcW w:type="dxa" w:w="2160"/>
          </w:tcPr>
          <w:p>
            <w:r>
              <w:rPr>
                <w:rFonts w:ascii="Arial" w:hAnsi="Arial"/>
                <w:sz w:val="20"/>
              </w:rPr>
              <w:t>El cumplimiento normativo es obligatorio. La detección de incidentes no debe comprometer la privacidad de los usuarios de la vía.</w:t>
            </w:r>
          </w:p>
        </w:tc>
      </w:tr>
    </w:tbl>
    <w:p>
      <w:pPr>
        <w:pStyle w:val="Heading2"/>
      </w:pPr>
      <w:r>
        <w:t>8.2.7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Tasa de Falsos Positivos</w:t>
            </w:r>
          </w:p>
        </w:tc>
        <w:tc>
          <w:tcPr>
            <w:tcW w:type="dxa" w:w="1728"/>
          </w:tcPr>
          <w:p>
            <w:r>
              <w:rPr>
                <w:rFonts w:ascii="Arial" w:hAnsi="Arial"/>
                <w:sz w:val="20"/>
              </w:rPr>
              <w:t>Alertas sin incidente real / Total alertas</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KPI-03</w:t>
            </w:r>
          </w:p>
        </w:tc>
        <w:tc>
          <w:tcPr>
            <w:tcW w:type="dxa" w:w="1728"/>
          </w:tcPr>
          <w:p>
            <w:r>
              <w:rPr>
                <w:rFonts w:ascii="Arial" w:hAnsi="Arial"/>
                <w:sz w:val="20"/>
              </w:rPr>
              <w:t>Latencia Promedio</w:t>
            </w:r>
          </w:p>
        </w:tc>
        <w:tc>
          <w:tcPr>
            <w:tcW w:type="dxa" w:w="1728"/>
          </w:tcPr>
          <w:p>
            <w:r>
              <w:rPr>
                <w:rFonts w:ascii="Arial" w:hAnsi="Arial"/>
                <w:sz w:val="20"/>
              </w:rPr>
              <w:t>Tiempo detección a alerta</w:t>
            </w:r>
          </w:p>
        </w:tc>
        <w:tc>
          <w:tcPr>
            <w:tcW w:type="dxa" w:w="1728"/>
          </w:tcPr>
          <w:p>
            <w:r>
              <w:rPr>
                <w:rFonts w:ascii="Arial" w:hAnsi="Arial"/>
                <w:sz w:val="20"/>
              </w:rPr>
              <w:t>&lt; 2 segundos</w:t>
            </w:r>
          </w:p>
        </w:tc>
        <w:tc>
          <w:tcPr>
            <w:tcW w:type="dxa" w:w="1728"/>
          </w:tcPr>
          <w:p>
            <w:r>
              <w:rPr>
                <w:rFonts w:ascii="Arial" w:hAnsi="Arial"/>
                <w:sz w:val="20"/>
              </w:rPr>
              <w:t>Continua</w:t>
            </w:r>
          </w:p>
        </w:tc>
      </w:tr>
      <w:tr>
        <w:tc>
          <w:tcPr>
            <w:tcW w:type="dxa" w:w="1728"/>
          </w:tcPr>
          <w:p>
            <w:r>
              <w:rPr>
                <w:rFonts w:ascii="Arial" w:hAnsi="Arial"/>
                <w:sz w:val="20"/>
              </w:rPr>
              <w:t>KPI-04</w:t>
            </w:r>
          </w:p>
        </w:tc>
        <w:tc>
          <w:tcPr>
            <w:tcW w:type="dxa" w:w="1728"/>
          </w:tcPr>
          <w:p>
            <w:r>
              <w:rPr>
                <w:rFonts w:ascii="Arial" w:hAnsi="Arial"/>
                <w:sz w:val="20"/>
              </w:rPr>
              <w:t>Disponibilidad del Sistema</w:t>
            </w:r>
          </w:p>
        </w:tc>
        <w:tc>
          <w:tcPr>
            <w:tcW w:type="dxa" w:w="1728"/>
          </w:tcPr>
          <w:p>
            <w:r>
              <w:rPr>
                <w:rFonts w:ascii="Arial" w:hAnsi="Arial"/>
                <w:sz w:val="20"/>
              </w:rPr>
              <w:t>Tiempo operativo del sistema AID</w:t>
            </w:r>
          </w:p>
        </w:tc>
        <w:tc>
          <w:tcPr>
            <w:tcW w:type="dxa" w:w="1728"/>
          </w:tcPr>
          <w:p>
            <w:r>
              <w:rPr>
                <w:rFonts w:ascii="Arial" w:hAnsi="Arial"/>
                <w:sz w:val="20"/>
              </w:rPr>
              <w:t>≥ 99.5%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Geográfica</w:t>
            </w:r>
          </w:p>
        </w:tc>
        <w:tc>
          <w:tcPr>
            <w:tcW w:type="dxa" w:w="1728"/>
          </w:tcPr>
          <w:p>
            <w:r>
              <w:rPr>
                <w:rFonts w:ascii="Arial" w:hAnsi="Arial"/>
                <w:sz w:val="20"/>
              </w:rPr>
              <w:t>Distancia entre detección y ubicación real</w:t>
            </w:r>
          </w:p>
        </w:tc>
        <w:tc>
          <w:tcPr>
            <w:tcW w:type="dxa" w:w="1728"/>
          </w:tcPr>
          <w:p>
            <w:r>
              <w:rPr>
                <w:rFonts w:ascii="Arial" w:hAnsi="Arial"/>
                <w:sz w:val="20"/>
              </w:rPr>
              <w:t>&lt; 10 metros</w:t>
            </w:r>
          </w:p>
        </w:tc>
        <w:tc>
          <w:tcPr>
            <w:tcW w:type="dxa" w:w="1728"/>
          </w:tcPr>
          <w:p>
            <w:r>
              <w:rPr>
                <w:rFonts w:ascii="Arial" w:hAnsi="Arial"/>
                <w:sz w:val="20"/>
              </w:rPr>
              <w:t>Trimestral</w:t>
            </w:r>
          </w:p>
        </w:tc>
      </w:tr>
      <w:tr>
        <w:tc>
          <w:tcPr>
            <w:tcW w:type="dxa" w:w="1728"/>
          </w:tcPr>
          <w:p>
            <w:r>
              <w:rPr>
                <w:rFonts w:ascii="Arial" w:hAnsi="Arial"/>
                <w:sz w:val="20"/>
              </w:rPr>
              <w:t>KPI-06</w:t>
            </w:r>
          </w:p>
        </w:tc>
        <w:tc>
          <w:tcPr>
            <w:tcW w:type="dxa" w:w="1728"/>
          </w:tcPr>
          <w:p>
            <w:r>
              <w:rPr>
                <w:rFonts w:ascii="Arial" w:hAnsi="Arial"/>
                <w:sz w:val="20"/>
              </w:rPr>
              <w:t>Tiempo de Respuesta CCO</w:t>
            </w:r>
          </w:p>
        </w:tc>
        <w:tc>
          <w:tcPr>
            <w:tcW w:type="dxa" w:w="1728"/>
          </w:tcPr>
          <w:p>
            <w:r>
              <w:rPr>
                <w:rFonts w:ascii="Arial" w:hAnsi="Arial"/>
                <w:sz w:val="20"/>
              </w:rPr>
              <w:t>Tiempo desde alerta hasta acción del operador</w:t>
            </w:r>
          </w:p>
        </w:tc>
        <w:tc>
          <w:tcPr>
            <w:tcW w:type="dxa" w:w="1728"/>
          </w:tcPr>
          <w:p>
            <w:r>
              <w:rPr>
                <w:rFonts w:ascii="Arial" w:hAnsi="Arial"/>
                <w:sz w:val="20"/>
              </w:rPr>
              <w:t>&lt; 30 segundos</w:t>
            </w:r>
          </w:p>
        </w:tc>
        <w:tc>
          <w:tcPr>
            <w:tcW w:type="dxa" w:w="1728"/>
          </w:tcPr>
          <w:p>
            <w:r>
              <w:rPr>
                <w:rFonts w:ascii="Arial" w:hAnsi="Arial"/>
                <w:sz w:val="20"/>
              </w:rPr>
              <w:t>Mensual</w:t>
            </w:r>
          </w:p>
        </w:tc>
      </w:tr>
      <w:tr>
        <w:tc>
          <w:tcPr>
            <w:tcW w:type="dxa" w:w="1728"/>
          </w:tcPr>
          <w:p>
            <w:r>
              <w:rPr>
                <w:rFonts w:ascii="Arial" w:hAnsi="Arial"/>
                <w:sz w:val="20"/>
              </w:rPr>
              <w:t>KPI-07</w:t>
            </w:r>
          </w:p>
        </w:tc>
        <w:tc>
          <w:tcPr>
            <w:tcW w:type="dxa" w:w="1728"/>
          </w:tcPr>
          <w:p>
            <w:r>
              <w:rPr>
                <w:rFonts w:ascii="Arial" w:hAnsi="Arial"/>
                <w:sz w:val="20"/>
              </w:rPr>
              <w:t>Reducción de Accidentes Secundarios</w:t>
            </w:r>
          </w:p>
        </w:tc>
        <w:tc>
          <w:tcPr>
            <w:tcW w:type="dxa" w:w="1728"/>
          </w:tcPr>
          <w:p>
            <w:r>
              <w:rPr>
                <w:rFonts w:ascii="Arial" w:hAnsi="Arial"/>
                <w:sz w:val="20"/>
              </w:rPr>
              <w:t>Comparación año a año en tramos con AID</w:t>
            </w:r>
          </w:p>
        </w:tc>
        <w:tc>
          <w:tcPr>
            <w:tcW w:type="dxa" w:w="1728"/>
          </w:tcPr>
          <w:p>
            <w:r>
              <w:rPr>
                <w:rFonts w:ascii="Arial" w:hAnsi="Arial"/>
                <w:sz w:val="20"/>
              </w:rPr>
              <w:t>≥ 15%</w:t>
            </w:r>
          </w:p>
        </w:tc>
        <w:tc>
          <w:tcPr>
            <w:tcW w:type="dxa" w:w="1728"/>
          </w:tcPr>
          <w:p>
            <w:r>
              <w:rPr>
                <w:rFonts w:ascii="Arial" w:hAnsi="Arial"/>
                <w:sz w:val="20"/>
              </w:rPr>
              <w:t>Anual</w:t>
            </w:r>
          </w:p>
        </w:tc>
      </w:tr>
      <w:tr>
        <w:tc>
          <w:tcPr>
            <w:tcW w:type="dxa" w:w="1728"/>
          </w:tcPr>
          <w:p>
            <w:r>
              <w:rPr>
                <w:rFonts w:ascii="Arial" w:hAnsi="Arial"/>
                <w:sz w:val="20"/>
              </w:rPr>
              <w:t>KPI-08</w:t>
            </w:r>
          </w:p>
        </w:tc>
        <w:tc>
          <w:tcPr>
            <w:tcW w:type="dxa" w:w="1728"/>
          </w:tcPr>
          <w:p>
            <w:r>
              <w:rPr>
                <w:rFonts w:ascii="Arial" w:hAnsi="Arial"/>
                <w:sz w:val="20"/>
              </w:rPr>
              <w:t>Satisfacción de Operadores</w:t>
            </w:r>
          </w:p>
        </w:tc>
        <w:tc>
          <w:tcPr>
            <w:tcW w:type="dxa" w:w="1728"/>
          </w:tcPr>
          <w:p>
            <w:r>
              <w:rPr>
                <w:rFonts w:ascii="Arial" w:hAnsi="Arial"/>
                <w:sz w:val="20"/>
              </w:rPr>
              <w:t>Evaluación de utilidad del sistema</w:t>
            </w:r>
          </w:p>
        </w:tc>
        <w:tc>
          <w:tcPr>
            <w:tcW w:type="dxa" w:w="1728"/>
          </w:tcPr>
          <w:p>
            <w:r>
              <w:rPr>
                <w:rFonts w:ascii="Arial" w:hAnsi="Arial"/>
                <w:sz w:val="20"/>
              </w:rPr>
              <w:t>≥ 4.0/5.0</w:t>
            </w:r>
          </w:p>
        </w:tc>
        <w:tc>
          <w:tcPr>
            <w:tcW w:type="dxa" w:w="1728"/>
          </w:tcPr>
          <w:p>
            <w:r>
              <w:rPr>
                <w:rFonts w:ascii="Arial" w:hAnsi="Arial"/>
                <w:sz w:val="20"/>
              </w:rPr>
              <w:t>Semestral</w:t>
            </w:r>
          </w:p>
        </w:tc>
      </w:tr>
    </w:tbl>
    <w:p>
      <w:pPr>
        <w:pStyle w:val="Heading2"/>
      </w:pPr>
      <w:r>
        <w:t>8.2.8 Principales Casos de Uso</w:t>
      </w:r>
    </w:p>
    <w:p>
      <w:r>
        <w:br w:type="page"/>
      </w:r>
    </w:p>
    <w:p>
      <w:pPr>
        <w:pStyle w:val="Heading1"/>
      </w:pPr>
      <w:r>
        <w:rPr>
          <w:rFonts w:ascii="Arial" w:hAnsi="Arial"/>
          <w:b/>
          <w:sz w:val="24"/>
        </w:rPr>
        <w:t>8.3 CC-03: DMS / VMS (Mensajería Variable)</w:t>
      </w:r>
    </w:p>
    <w:p>
      <w:pPr>
        <w:pStyle w:val="Heading2"/>
      </w:pPr>
      <w:r>
        <w:t>8.3.1 Resumen Ejecutivo</w:t>
      </w:r>
    </w:p>
    <w:p>
      <w:r>
        <w:rPr>
          <w:rFonts w:ascii="Arial" w:hAnsi="Arial"/>
          <w:sz w:val="22"/>
        </w:rPr>
        <w:t>El componente **CC-03 DMS/VMS** constituye el sistema de mensajería variable del corredor vial Chía–Girardot, proporcionando capacidad de difusión masiva de información estratégica y alertas directamente al conductor en vía. Este subsistema fundamental habilita la comunicación bidireccional entre el Centro de Control y los usuarios del corredor, transformando datos operativos en mensajes accionables que mejoran la seguridad y eficiencia del tránsito.</w:t>
        <w:br/>
        <w:br/>
        <w:t>La mensajería variable representa el principal canal de comunicación directa con los conductores, permitiendo informar sobre condiciones de tráfico, alertas de seguridad, restricciones temporales, y mensajes de emergencia en tiempo real. Los paneles DMS están estratégicamente ubicados para proporcionar información oportuna con suficiente anticipación para que los conductores puedan tomar decisiones informadas.</w:t>
        <w:br/>
        <w:br/>
        <w:t>El sistema DMS/VMS se despliega a lo largo de los 306 km del corredor, integrándose con otros subsistemas ITS para presentar información contextual basada en eventos detectados por AID, condiciones climáticas reportadas por ESS, y estado operativo del corredor.</w:t>
        <w:br/>
        <w:br/>
        <w:t>---</w:t>
      </w:r>
    </w:p>
    <w:p>
      <w:pPr>
        <w:pStyle w:val="Heading2"/>
      </w:pPr>
      <w:r>
        <w:t>8.3.2 Descripción Funcional / Técnica</w:t>
      </w:r>
    </w:p>
    <w:p>
      <w:r>
        <w:rPr>
          <w:rFonts w:ascii="Arial" w:hAnsi="Arial"/>
          <w:sz w:val="22"/>
        </w:rPr>
        <w:br/>
        <w:t>El sistema DMS/VMS comprende una red de paneles de mensajería variable desplegados estratégicamente a lo largo del corredor. La solución integra diferentes tipologías de paneles según la función: paneles de información de tráfico (tipo portal) para mensajes generales, paneles de advertencia de proximidad para alertas específicas de tramo, y paneles de velocidad variable (VSL) integrados para gestión dinámica de velocidad.</w:t>
        <w:br/>
        <w:br/>
        <w:t>El subsistema opera bajo control del CCO, permitiendo la programación de mensajes predefinidos y la activación de mensajes de emergencia en tiempo real. La integración con otros sistemas ITS permite la presentación automática de mensajes basados en eventos detectados.</w:t>
        <w:br/>
        <w:br/>
        <w:t>---</w:t>
      </w:r>
    </w:p>
    <w:p>
      <w:pPr>
        <w:pStyle w:val="Heading2"/>
      </w:pPr>
      <w:r>
        <w:t>8.3.3 Justificación Estratégica</w:t>
      </w:r>
    </w:p>
    <w:p>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br/>
        <w:b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br/>
        <w:br/>
        <w:t>---</w:t>
      </w:r>
    </w:p>
    <w:p>
      <w:pPr>
        <w:pStyle w:val="Heading2"/>
      </w:pPr>
      <w:r>
        <w:t>8.3.4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w:t>
            </w:r>
          </w:p>
        </w:tc>
        <w:tc>
          <w:tcPr>
            <w:tcW w:type="dxa" w:w="4320"/>
          </w:tcPr>
          <w:p>
            <w:r>
              <w:rPr>
                <w:rFonts w:ascii="Arial" w:hAnsi="Arial"/>
                <w:sz w:val="20"/>
              </w:rPr>
              <w:t>16 filas x 32 columnas de píxeles para texto y gráficos básicos</w:t>
            </w:r>
          </w:p>
        </w:tc>
      </w:tr>
      <w:tr>
        <w:tc>
          <w:tcPr>
            <w:tcW w:type="dxa" w:w="4320"/>
          </w:tcPr>
          <w:p>
            <w:r>
              <w:rPr>
                <w:rFonts w:ascii="Arial" w:hAnsi="Arial"/>
                <w:sz w:val="20"/>
              </w:rPr>
              <w:t>Ángulo de visibilidad</w:t>
            </w:r>
          </w:p>
        </w:tc>
        <w:tc>
          <w:tcPr>
            <w:tcW w:type="dxa" w:w="4320"/>
          </w:tcPr>
          <w:p>
            <w:r>
              <w:rPr>
                <w:rFonts w:ascii="Arial" w:hAnsi="Arial"/>
                <w:sz w:val="20"/>
              </w:rPr>
              <w:t>≥ 30° horizontal, ≥ 15° vertical</w:t>
            </w:r>
          </w:p>
        </w:tc>
      </w:tr>
      <w:tr>
        <w:tc>
          <w:tcPr>
            <w:tcW w:type="dxa" w:w="4320"/>
          </w:tcPr>
          <w:p>
            <w:r>
              <w:rPr>
                <w:rFonts w:ascii="Arial" w:hAnsi="Arial"/>
                <w:sz w:val="20"/>
              </w:rPr>
              <w:t>Distancia de lectura</w:t>
            </w:r>
          </w:p>
        </w:tc>
        <w:tc>
          <w:tcPr>
            <w:tcW w:type="dxa" w:w="4320"/>
          </w:tcPr>
          <w:p>
            <w:r>
              <w:rPr>
                <w:rFonts w:ascii="Arial" w:hAnsi="Arial"/>
                <w:sz w:val="20"/>
              </w:rPr>
              <w:t>≥ 200 metros en condiciones diurnas, ≥ 150 metros nocturnas</w:t>
            </w:r>
          </w:p>
        </w:tc>
      </w:tr>
      <w:tr>
        <w:tc>
          <w:tcPr>
            <w:tcW w:type="dxa" w:w="4320"/>
          </w:tcPr>
          <w:p>
            <w:r>
              <w:rPr>
                <w:rFonts w:ascii="Arial" w:hAnsi="Arial"/>
                <w:sz w:val="20"/>
              </w:rPr>
              <w:t>Brillo</w:t>
            </w:r>
          </w:p>
        </w:tc>
        <w:tc>
          <w:tcPr>
            <w:tcW w:type="dxa" w:w="4320"/>
          </w:tcPr>
          <w:p>
            <w:r>
              <w:rPr>
                <w:rFonts w:ascii="Arial" w:hAnsi="Arial"/>
                <w:sz w:val="20"/>
              </w:rPr>
              <w:t>5,000 - 10,000 nits (ajuste automático según condiciones lumínicas)</w:t>
            </w:r>
          </w:p>
        </w:tc>
      </w:tr>
      <w:tr>
        <w:tc>
          <w:tcPr>
            <w:tcW w:type="dxa" w:w="4320"/>
          </w:tcPr>
          <w:p>
            <w:r>
              <w:rPr>
                <w:rFonts w:ascii="Arial" w:hAnsi="Arial"/>
                <w:sz w:val="20"/>
              </w:rPr>
              <w:t>Protección ambiental</w:t>
            </w:r>
          </w:p>
        </w:tc>
        <w:tc>
          <w:tcPr>
            <w:tcW w:type="dxa" w:w="4320"/>
          </w:tcPr>
          <w:p>
            <w:r>
              <w:rPr>
                <w:rFonts w:ascii="Arial" w:hAnsi="Arial"/>
                <w:sz w:val="20"/>
              </w:rPr>
              <w:t>IP65 para componentes electrónicos, IP54 para estructura general</w:t>
            </w:r>
          </w:p>
        </w:tc>
      </w:tr>
      <w:tr>
        <w:tc>
          <w:tcPr>
            <w:tcW w:type="dxa" w:w="4320"/>
          </w:tcPr>
          <w:p>
            <w:r>
              <w:rPr>
                <w:rFonts w:ascii="Arial" w:hAnsi="Arial"/>
                <w:sz w:val="20"/>
              </w:rPr>
              <w:t>Rango térmico</w:t>
            </w:r>
          </w:p>
        </w:tc>
        <w:tc>
          <w:tcPr>
            <w:tcW w:type="dxa" w:w="4320"/>
          </w:tcPr>
          <w:p>
            <w:r>
              <w:rPr>
                <w:rFonts w:ascii="Arial" w:hAnsi="Arial"/>
                <w:sz w:val="20"/>
              </w:rPr>
              <w:t>-20°C a +60°C operación continua</w:t>
            </w:r>
          </w:p>
        </w:tc>
      </w:tr>
      <w:tr>
        <w:tc>
          <w:tcPr>
            <w:tcW w:type="dxa" w:w="4320"/>
          </w:tcPr>
          <w:p>
            <w:r>
              <w:rPr>
                <w:rFonts w:ascii="Arial" w:hAnsi="Arial"/>
                <w:sz w:val="20"/>
              </w:rPr>
              <w:t>Comunicación</w:t>
            </w:r>
          </w:p>
        </w:tc>
        <w:tc>
          <w:tcPr>
            <w:tcW w:type="dxa" w:w="4320"/>
          </w:tcPr>
          <w:p>
            <w:r>
              <w:rPr>
                <w:rFonts w:ascii="Arial" w:hAnsi="Arial"/>
                <w:sz w:val="20"/>
              </w:rPr>
              <w:t>Ethernet (fibra óptica primaria), 4G/5G (backup)</w:t>
            </w:r>
          </w:p>
        </w:tc>
      </w:tr>
      <w:tr>
        <w:tc>
          <w:tcPr>
            <w:tcW w:type="dxa" w:w="4320"/>
          </w:tcPr>
          <w:p>
            <w:r>
              <w:rPr>
                <w:rFonts w:ascii="Arial" w:hAnsi="Arial"/>
                <w:sz w:val="20"/>
              </w:rPr>
              <w:t>Protocolos</w:t>
            </w:r>
          </w:p>
        </w:tc>
        <w:tc>
          <w:tcPr>
            <w:tcW w:type="dxa" w:w="4320"/>
          </w:tcPr>
          <w:p>
            <w:r>
              <w:rPr>
                <w:rFonts w:ascii="Arial" w:hAnsi="Arial"/>
                <w:sz w:val="20"/>
              </w:rPr>
              <w:t>NTCIP 1203 compatible, SNMP para gestión</w:t>
            </w:r>
          </w:p>
        </w:tc>
      </w:tr>
      <w:tr>
        <w:tc>
          <w:tcPr>
            <w:tcW w:type="dxa" w:w="4320"/>
          </w:tcPr>
          <w:p>
            <w:r>
              <w:rPr>
                <w:rFonts w:ascii="Arial" w:hAnsi="Arial"/>
                <w:sz w:val="20"/>
              </w:rPr>
              <w:t>Alimentación</w:t>
            </w:r>
          </w:p>
        </w:tc>
        <w:tc>
          <w:tcPr>
            <w:tcW w:type="dxa" w:w="4320"/>
          </w:tcPr>
          <w:p>
            <w:r>
              <w:rPr>
                <w:rFonts w:ascii="Arial" w:hAnsi="Arial"/>
                <w:sz w:val="20"/>
              </w:rPr>
              <w:t>110-240 VAC con UPS integrado (2 horas autonomía mínima)</w:t>
            </w:r>
          </w:p>
        </w:tc>
      </w:tr>
      <w:tr>
        <w:tc>
          <w:tcPr>
            <w:tcW w:type="dxa" w:w="4320"/>
          </w:tcPr>
          <w:p>
            <w:r>
              <w:rPr>
                <w:rFonts w:ascii="Arial" w:hAnsi="Arial"/>
                <w:sz w:val="20"/>
              </w:rPr>
              <w:t>Fuente de mensajes</w:t>
            </w:r>
          </w:p>
        </w:tc>
        <w:tc>
          <w:tcPr>
            <w:tcW w:type="dxa" w:w="4320"/>
          </w:tcPr>
          <w:p>
            <w:r>
              <w:rPr>
                <w:rFonts w:ascii="Arial" w:hAnsi="Arial"/>
                <w:sz w:val="20"/>
              </w:rPr>
              <w:t>API REST para integración con CCO y otros ITS</w:t>
            </w:r>
          </w:p>
        </w:tc>
      </w:tr>
      <w:tr>
        <w:tc>
          <w:tcPr>
            <w:tcW w:type="dxa" w:w="4320"/>
          </w:tcPr>
          <w:p>
            <w:r>
              <w:rPr>
                <w:rFonts w:ascii="Arial" w:hAnsi="Arial"/>
                <w:sz w:val="20"/>
              </w:rPr>
              <w:t>Tiempo de actualización</w:t>
            </w:r>
          </w:p>
        </w:tc>
        <w:tc>
          <w:tcPr>
            <w:tcW w:type="dxa" w:w="4320"/>
          </w:tcPr>
          <w:p>
            <w:r>
              <w:rPr>
                <w:rFonts w:ascii="Arial" w:hAnsi="Arial"/>
                <w:sz w:val="20"/>
              </w:rPr>
              <w:t>&lt; 3 segundos desde comando hasta visualización</w:t>
            </w:r>
          </w:p>
        </w:tc>
      </w:tr>
      <w:tr>
        <w:tc>
          <w:tcPr>
            <w:tcW w:type="dxa" w:w="4320"/>
          </w:tcPr>
          <w:p>
            <w:r>
              <w:rPr>
                <w:rFonts w:ascii="Arial" w:hAnsi="Arial"/>
                <w:sz w:val="20"/>
              </w:rPr>
              <w:t>Biblioteca de mensajes</w:t>
            </w:r>
          </w:p>
        </w:tc>
        <w:tc>
          <w:tcPr>
            <w:tcW w:type="dxa" w:w="4320"/>
          </w:tcPr>
          <w:p>
            <w:r>
              <w:rPr>
                <w:rFonts w:ascii="Arial" w:hAnsi="Arial"/>
                <w:sz w:val="20"/>
              </w:rPr>
              <w:t>≥ 100 mensajes predefinidos configurables</w:t>
            </w:r>
          </w:p>
        </w:tc>
      </w:tr>
      <w:tr>
        <w:tc>
          <w:tcPr>
            <w:tcW w:type="dxa" w:w="4320"/>
          </w:tcPr>
          <w:p>
            <w:r>
              <w:rPr>
                <w:rFonts w:ascii="Arial" w:hAnsi="Arial"/>
                <w:sz w:val="20"/>
              </w:rPr>
              <w:t>Formatos soportados</w:t>
            </w:r>
          </w:p>
        </w:tc>
        <w:tc>
          <w:tcPr>
            <w:tcW w:type="dxa" w:w="4320"/>
          </w:tcPr>
          <w:p>
            <w:r>
              <w:rPr>
                <w:rFonts w:ascii="Arial" w:hAnsi="Arial"/>
                <w:sz w:val="20"/>
              </w:rPr>
              <w:t>Texto, iconos estándar, pictogramas de tránsito</w:t>
            </w:r>
          </w:p>
        </w:tc>
      </w:tr>
      <w:tr>
        <w:tc>
          <w:tcPr>
            <w:tcW w:type="dxa" w:w="4320"/>
          </w:tcPr>
          <w:p>
            <w:r>
              <w:rPr>
                <w:rFonts w:ascii="Arial" w:hAnsi="Arial"/>
                <w:sz w:val="20"/>
              </w:rPr>
              <w:t>Monitoreo de estado</w:t>
            </w:r>
          </w:p>
        </w:tc>
        <w:tc>
          <w:tcPr>
            <w:tcW w:type="dxa" w:w="4320"/>
          </w:tcPr>
          <w:p>
            <w:r>
              <w:rPr>
                <w:rFonts w:ascii="Arial" w:hAnsi="Arial"/>
                <w:sz w:val="20"/>
              </w:rPr>
              <w:t>Feedback de operatividad, temperatura, corriente LED</w:t>
            </w:r>
          </w:p>
        </w:tc>
      </w:tr>
      <w:tr>
        <w:tc>
          <w:tcPr>
            <w:tcW w:type="dxa" w:w="4320"/>
          </w:tcPr>
          <w:p>
            <w:r>
              <w:rPr>
                <w:rFonts w:ascii="Arial" w:hAnsi="Arial"/>
                <w:sz w:val="20"/>
              </w:rPr>
              <w:t>Control de acceso</w:t>
            </w:r>
          </w:p>
        </w:tc>
        <w:tc>
          <w:tcPr>
            <w:tcW w:type="dxa" w:w="4320"/>
          </w:tcPr>
          <w:p>
            <w:r>
              <w:rPr>
                <w:rFonts w:ascii="Arial" w:hAnsi="Arial"/>
                <w:sz w:val="20"/>
              </w:rPr>
              <w:t>Autenticación multi-nivel (operador, supervisor, admin)</w:t>
            </w:r>
          </w:p>
        </w:tc>
      </w:tr>
    </w:tbl>
    <w:p>
      <w:pPr>
        <w:pStyle w:val="Heading2"/>
      </w:pPr>
      <w:r>
        <w:t>8.3.5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Alertas de Seguridad</w:t>
            </w:r>
          </w:p>
        </w:tc>
        <w:tc>
          <w:tcPr>
            <w:tcW w:type="dxa" w:w="2160"/>
          </w:tcPr>
          <w:p>
            <w:r>
              <w:rPr>
                <w:rFonts w:ascii="Arial" w:hAnsi="Arial"/>
                <w:sz w:val="20"/>
              </w:rPr>
              <w:t>El sistema debe mostrar alertas de seguridad ante incidentes detectados: "ACCIDENTE A 2 KM - REDUZCA VELOCIDAD", "PEATÓN EN VÍA", "CARRIL CERRADO". Las alertas deben activarse automáticamente por integración con AID o manualmente por operadores.</w:t>
            </w:r>
          </w:p>
        </w:tc>
        <w:tc>
          <w:tcPr>
            <w:tcW w:type="dxa" w:w="2160"/>
          </w:tcPr>
          <w:p>
            <w:r>
              <w:rPr>
                <w:rFonts w:ascii="Arial" w:hAnsi="Arial"/>
                <w:sz w:val="20"/>
              </w:rPr>
              <w:t>Las alertas de seguridad reducen la velocidad del tráfico aproximándose a incidentes, disminuyendo la severidad de accidentes secundarios.</w:t>
            </w:r>
          </w:p>
        </w:tc>
      </w:tr>
      <w:tr>
        <w:tc>
          <w:tcPr>
            <w:tcW w:type="dxa" w:w="2160"/>
          </w:tcPr>
          <w:p>
            <w:r>
              <w:rPr>
                <w:rFonts w:ascii="Arial" w:hAnsi="Arial"/>
                <w:sz w:val="20"/>
              </w:rPr>
              <w:t>RF-03</w:t>
            </w:r>
          </w:p>
        </w:tc>
        <w:tc>
          <w:tcPr>
            <w:tcW w:type="dxa" w:w="2160"/>
          </w:tcPr>
          <w:p>
            <w:r>
              <w:rPr>
                <w:rFonts w:ascii="Arial" w:hAnsi="Arial"/>
                <w:sz w:val="20"/>
              </w:rPr>
              <w:t>Mensajes de Velocidad Variable (VSL)</w:t>
            </w:r>
          </w:p>
        </w:tc>
        <w:tc>
          <w:tcPr>
            <w:tcW w:type="dxa" w:w="2160"/>
          </w:tcPr>
          <w:p>
            <w:r>
              <w:rPr>
                <w:rFonts w:ascii="Arial" w:hAnsi="Arial"/>
                <w:sz w:val="20"/>
              </w:rPr>
              <w:t>El sistema debe mostrar límites de velocidad variables basados en condiciones: clima (lluvia, niebla), tráfico (congestión), obras, incidentes. Los límites deben ajustarse dinámicamente según algoritmos de seguridad vial.</w:t>
            </w:r>
          </w:p>
        </w:tc>
        <w:tc>
          <w:tcPr>
            <w:tcW w:type="dxa" w:w="2160"/>
          </w:tcPr>
          <w:p>
            <w:r>
              <w:rPr>
                <w:rFonts w:ascii="Arial" w:hAnsi="Arial"/>
                <w:sz w:val="20"/>
              </w:rPr>
              <w:t>La velocidad variable homogeniza el flujo vehicular y reduce accidentes en condiciones adversas, aumentando la capacidad del corredor en horas valle.</w:t>
            </w:r>
          </w:p>
        </w:tc>
      </w:tr>
      <w:tr>
        <w:tc>
          <w:tcPr>
            <w:tcW w:type="dxa" w:w="2160"/>
          </w:tcPr>
          <w:p>
            <w:r>
              <w:rPr>
                <w:rFonts w:ascii="Arial" w:hAnsi="Arial"/>
                <w:sz w:val="20"/>
              </w:rPr>
              <w:t>RF-04</w:t>
            </w:r>
          </w:p>
        </w:tc>
        <w:tc>
          <w:tcPr>
            <w:tcW w:type="dxa" w:w="2160"/>
          </w:tcPr>
          <w:p>
            <w:r>
              <w:rPr>
                <w:rFonts w:ascii="Arial" w:hAnsi="Arial"/>
                <w:sz w:val="20"/>
              </w:rPr>
              <w:t>Mensajes de Emergencia</w:t>
            </w:r>
          </w:p>
        </w:tc>
        <w:tc>
          <w:tcPr>
            <w:tcW w:type="dxa" w:w="2160"/>
          </w:tcPr>
          <w:p>
            <w:r>
              <w:rPr>
                <w:rFonts w:ascii="Arial" w:hAnsi="Arial"/>
                <w:sz w:val="20"/>
              </w:rPr>
              <w:t>El sistema debe mostrar mensajes de emergencia en situaciones críticas: "EVACUACIÓN - SIGA INDICACIONES", "CIERRE TOTAL A 5 KM". Los mensajes de emergencia deben tener prioridad máxima sobre cualquier otro contenido.</w:t>
            </w:r>
          </w:p>
        </w:tc>
        <w:tc>
          <w:tcPr>
            <w:tcW w:type="dxa" w:w="2160"/>
          </w:tcPr>
          <w:p>
            <w:r>
              <w:rPr>
                <w:rFonts w:ascii="Arial" w:hAnsi="Arial"/>
                <w:sz w:val="20"/>
              </w:rPr>
              <w:t>Los mensajes de emergencia salvan vidas al proporcionar instrucciones claras durante evacuaciones o situaciones de peligro inminente.</w:t>
            </w:r>
          </w:p>
        </w:tc>
      </w:tr>
      <w:tr>
        <w:tc>
          <w:tcPr>
            <w:tcW w:type="dxa" w:w="2160"/>
          </w:tcPr>
          <w:p>
            <w:r>
              <w:rPr>
                <w:rFonts w:ascii="Arial" w:hAnsi="Arial"/>
                <w:sz w:val="20"/>
              </w:rPr>
              <w:t>RF-05</w:t>
            </w:r>
          </w:p>
        </w:tc>
        <w:tc>
          <w:tcPr>
            <w:tcW w:type="dxa" w:w="2160"/>
          </w:tcPr>
          <w:p>
            <w:r>
              <w:rPr>
                <w:rFonts w:ascii="Arial" w:hAnsi="Arial"/>
                <w:sz w:val="20"/>
              </w:rPr>
              <w:t>Programación de Mensajes</w:t>
            </w:r>
          </w:p>
        </w:tc>
        <w:tc>
          <w:tcPr>
            <w:tcW w:type="dxa" w:w="2160"/>
          </w:tcPr>
          <w:p>
            <w:r>
              <w:rPr>
                <w:rFonts w:ascii="Arial" w:hAnsi="Arial"/>
                <w:sz w:val="20"/>
              </w:rPr>
              <w:t>El sistema debe permitir programar mensajes por horario (ej. "BUENOS DÍAS" en mañanas), por día de semana, o por eventos especiales. La programación debe ser configurable mediante interfaz web del CCO.</w:t>
            </w:r>
          </w:p>
        </w:tc>
        <w:tc>
          <w:tcPr>
            <w:tcW w:type="dxa" w:w="2160"/>
          </w:tcPr>
          <w:p>
            <w:r>
              <w:rPr>
                <w:rFonts w:ascii="Arial" w:hAnsi="Arial"/>
                <w:sz w:val="20"/>
              </w:rPr>
              <w:t>La programación permite automatizar mensajes recurrentes, liberando a los operadores para tareas críticas y asegurando comunicación consistente.</w:t>
            </w:r>
          </w:p>
        </w:tc>
      </w:tr>
      <w:tr>
        <w:tc>
          <w:tcPr>
            <w:tcW w:type="dxa" w:w="2160"/>
          </w:tcPr>
          <w:p>
            <w:r>
              <w:rPr>
                <w:rFonts w:ascii="Arial" w:hAnsi="Arial"/>
                <w:sz w:val="20"/>
              </w:rPr>
              <w:t>RF-06</w:t>
            </w:r>
          </w:p>
        </w:tc>
        <w:tc>
          <w:tcPr>
            <w:tcW w:type="dxa" w:w="2160"/>
          </w:tcPr>
          <w:p>
            <w:r>
              <w:rPr>
                <w:rFonts w:ascii="Arial" w:hAnsi="Arial"/>
                <w:sz w:val="20"/>
              </w:rPr>
              <w:t>Integración con AID</w:t>
            </w:r>
          </w:p>
        </w:tc>
        <w:tc>
          <w:tcPr>
            <w:tcW w:type="dxa" w:w="2160"/>
          </w:tcPr>
          <w:p>
            <w:r>
              <w:rPr>
                <w:rFonts w:ascii="Arial" w:hAnsi="Arial"/>
                <w:sz w:val="20"/>
              </w:rPr>
              <w:t>El sistema debe integrarse con el subsistema AID (CC-02) para activar automáticamente mensajes de alerta ante detección de incidentes. La integración debe permitir selección automática del mensaje según tipo de incidente y ubicación.</w:t>
            </w:r>
          </w:p>
        </w:tc>
        <w:tc>
          <w:tcPr>
            <w:tcW w:type="dxa" w:w="2160"/>
          </w:tcPr>
          <w:p>
            <w:r>
              <w:rPr>
                <w:rFonts w:ascii="Arial" w:hAnsi="Arial"/>
                <w:sz w:val="20"/>
              </w:rPr>
              <w:t>La integración con AID reduce el tiempo de respuesta de minutos a segundos, mostrando alertas antes de que los conductores alcancen el punto del incidente.</w:t>
            </w:r>
          </w:p>
        </w:tc>
      </w:tr>
      <w:tr>
        <w:tc>
          <w:tcPr>
            <w:tcW w:type="dxa" w:w="2160"/>
          </w:tcPr>
          <w:p>
            <w:r>
              <w:rPr>
                <w:rFonts w:ascii="Arial" w:hAnsi="Arial"/>
                <w:sz w:val="20"/>
              </w:rPr>
              <w:t>RF-07</w:t>
            </w:r>
          </w:p>
        </w:tc>
        <w:tc>
          <w:tcPr>
            <w:tcW w:type="dxa" w:w="2160"/>
          </w:tcPr>
          <w:p>
            <w:r>
              <w:rPr>
                <w:rFonts w:ascii="Arial" w:hAnsi="Arial"/>
                <w:sz w:val="20"/>
              </w:rPr>
              <w:t>Integración con ESS</w:t>
            </w:r>
          </w:p>
        </w:tc>
        <w:tc>
          <w:tcPr>
            <w:tcW w:type="dxa" w:w="2160"/>
          </w:tcPr>
          <w:p>
            <w:r>
              <w:rPr>
                <w:rFonts w:ascii="Arial" w:hAnsi="Arial"/>
                <w:sz w:val="20"/>
              </w:rPr>
              <w:t>El sistema debe integrarse con el subsistema ESS (CC-06) para mostrar mensajes basados en condiciones climáticas: "LLUVIA - REDUZCA VELOCIDAD", "NIEBLA DENSA - LUCES BAJAS". Los mensajes deben activarse automáticamente por umbrales climáticos.</w:t>
            </w:r>
          </w:p>
        </w:tc>
        <w:tc>
          <w:tcPr>
            <w:tcW w:type="dxa" w:w="2160"/>
          </w:tcPr>
          <w:p>
            <w:r>
              <w:rPr>
                <w:rFonts w:ascii="Arial" w:hAnsi="Arial"/>
                <w:sz w:val="20"/>
              </w:rPr>
              <w:t>La información climática en tiempo real permite a los conductores ajustar su conducción antes de ingresar a zonas con condiciones adversas.</w:t>
            </w:r>
          </w:p>
        </w:tc>
      </w:tr>
      <w:tr>
        <w:tc>
          <w:tcPr>
            <w:tcW w:type="dxa" w:w="2160"/>
          </w:tcPr>
          <w:p>
            <w:r>
              <w:rPr>
                <w:rFonts w:ascii="Arial" w:hAnsi="Arial"/>
                <w:sz w:val="20"/>
              </w:rPr>
              <w:t>RF-08</w:t>
            </w:r>
          </w:p>
        </w:tc>
        <w:tc>
          <w:tcPr>
            <w:tcW w:type="dxa" w:w="2160"/>
          </w:tcPr>
          <w:p>
            <w:r>
              <w:rPr>
                <w:rFonts w:ascii="Arial" w:hAnsi="Arial"/>
                <w:sz w:val="20"/>
              </w:rPr>
              <w:t>Gestión Centralizada</w:t>
            </w:r>
          </w:p>
        </w:tc>
        <w:tc>
          <w:tcPr>
            <w:tcW w:type="dxa" w:w="2160"/>
          </w:tcPr>
          <w:p>
            <w:r>
              <w:rPr>
                <w:rFonts w:ascii="Arial" w:hAnsi="Arial"/>
                <w:sz w:val="20"/>
              </w:rPr>
              <w:t>El sistema debe permitir gestión centralizada desde el CCO: encendido/apagado de paneles, cambio de mensajes, monitoreo de estado operativo, diagnóstico de fallas. La gestión debe ser posible por panel individual, por grupo, o masiva.</w:t>
            </w:r>
          </w:p>
        </w:tc>
        <w:tc>
          <w:tcPr>
            <w:tcW w:type="dxa" w:w="2160"/>
          </w:tcPr>
          <w:p>
            <w:r>
              <w:rPr>
                <w:rFonts w:ascii="Arial" w:hAnsi="Arial"/>
                <w:sz w:val="20"/>
              </w:rPr>
              <w:t>La gestión centralizada asegura que los mensajes sean consistentes en todo el corredor y permite respuesta rápida ante cambios operativos.</w:t>
            </w:r>
          </w:p>
        </w:tc>
      </w:tr>
      <w:tr>
        <w:tc>
          <w:tcPr>
            <w:tcW w:type="dxa" w:w="2160"/>
          </w:tcPr>
          <w:p>
            <w:r>
              <w:rPr>
                <w:rFonts w:ascii="Arial" w:hAnsi="Arial"/>
                <w:sz w:val="20"/>
              </w:rPr>
              <w:t>RF-09</w:t>
            </w:r>
          </w:p>
        </w:tc>
        <w:tc>
          <w:tcPr>
            <w:tcW w:type="dxa" w:w="2160"/>
          </w:tcPr>
          <w:p>
            <w:r>
              <w:rPr>
                <w:rFonts w:ascii="Arial" w:hAnsi="Arial"/>
                <w:sz w:val="20"/>
              </w:rPr>
              <w:t>Monitoreo de Estado</w:t>
            </w:r>
          </w:p>
        </w:tc>
        <w:tc>
          <w:tcPr>
            <w:tcW w:type="dxa" w:w="2160"/>
          </w:tcPr>
          <w:p>
            <w:r>
              <w:rPr>
                <w:rFonts w:ascii="Arial" w:hAnsi="Arial"/>
                <w:sz w:val="20"/>
              </w:rPr>
              <w:t>El sistema debe proporcionar monitoreo continuo del estado de cada panel: operatividad, temperatura, consumo energético, estado de LEDs. Las fallas deben generar alarmas automáticas en el CCO.</w:t>
            </w:r>
          </w:p>
        </w:tc>
        <w:tc>
          <w:tcPr>
            <w:tcW w:type="dxa" w:w="2160"/>
          </w:tcPr>
          <w:p>
            <w:r>
              <w:rPr>
                <w:rFonts w:ascii="Arial" w:hAnsi="Arial"/>
                <w:sz w:val="20"/>
              </w:rPr>
              <w:t>El monitoreo permite mantenimiento proactivo, asegurando que los paneles estén operativos cuando más se necesitan.</w:t>
            </w:r>
          </w:p>
        </w:tc>
      </w:tr>
      <w:tr>
        <w:tc>
          <w:tcPr>
            <w:tcW w:type="dxa" w:w="2160"/>
          </w:tcPr>
          <w:p>
            <w:r>
              <w:rPr>
                <w:rFonts w:ascii="Arial" w:hAnsi="Arial"/>
                <w:sz w:val="20"/>
              </w:rPr>
              <w:t>RF-10</w:t>
            </w:r>
          </w:p>
        </w:tc>
        <w:tc>
          <w:tcPr>
            <w:tcW w:type="dxa" w:w="2160"/>
          </w:tcPr>
          <w:p>
            <w:r>
              <w:rPr>
                <w:rFonts w:ascii="Arial" w:hAnsi="Arial"/>
                <w:sz w:val="20"/>
              </w:rPr>
              <w:t>Registro de Actividad</w:t>
            </w:r>
          </w:p>
        </w:tc>
        <w:tc>
          <w:tcPr>
            <w:tcW w:type="dxa" w:w="2160"/>
          </w:tcPr>
          <w:p>
            <w:r>
              <w:rPr>
                <w:rFonts w:ascii="Arial" w:hAnsi="Arial"/>
                <w:sz w:val="20"/>
              </w:rPr>
              <w:t>El sistema debe registrar toda actividad: mensajes mostrados, cambios de programación, accesos al sistema, fallas. Los registros deben ser exportables para auditoría y análisis de uso.</w:t>
            </w:r>
          </w:p>
        </w:tc>
        <w:tc>
          <w:tcPr>
            <w:tcW w:type="dxa" w:w="2160"/>
          </w:tcPr>
          <w:p>
            <w:r>
              <w:rPr>
                <w:rFonts w:ascii="Arial" w:hAnsi="Arial"/>
                <w:sz w:val="20"/>
              </w:rPr>
              <w:t>El registro de actividad permite auditoría de comunicaciones y análisis de efectividad de mensajes para mejora continua.</w:t>
            </w:r>
          </w:p>
        </w:tc>
      </w:tr>
    </w:tbl>
    <w:p>
      <w:pPr>
        <w:pStyle w:val="Heading2"/>
      </w:pPr>
      <w:r>
        <w:t>8.3.6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Legibilidad</w:t>
            </w:r>
          </w:p>
        </w:tc>
        <w:tc>
          <w:tcPr>
            <w:tcW w:type="dxa" w:w="2160"/>
          </w:tcPr>
          <w:p>
            <w:r>
              <w:rPr>
                <w:rFonts w:ascii="Arial" w:hAnsi="Arial"/>
                <w:sz w:val="20"/>
              </w:rPr>
              <w:t>Los mensajes deben ser legibles desde ≥ 200 metros en condiciones de sol directo y ≥ 150 metros en condiciones nocturnas. El brillo debe ajustarse automáticamente (fotocelda).</w:t>
            </w:r>
          </w:p>
        </w:tc>
        <w:tc>
          <w:tcPr>
            <w:tcW w:type="dxa" w:w="2160"/>
          </w:tcPr>
          <w:p>
            <w:r>
              <w:rPr>
                <w:rFonts w:ascii="Arial" w:hAnsi="Arial"/>
                <w:sz w:val="20"/>
              </w:rPr>
              <w:t>La legibilidad es crítica para la efectividad del mensaje. Conductores deben tener tiempo suficiente para leer y reaccionar antes de pasar el panel.</w:t>
            </w:r>
          </w:p>
        </w:tc>
      </w:tr>
      <w:tr>
        <w:tc>
          <w:tcPr>
            <w:tcW w:type="dxa" w:w="2160"/>
          </w:tcPr>
          <w:p>
            <w:r>
              <w:rPr>
                <w:rFonts w:ascii="Arial" w:hAnsi="Arial"/>
                <w:sz w:val="20"/>
              </w:rPr>
              <w:t>RNF-03</w:t>
            </w:r>
          </w:p>
        </w:tc>
        <w:tc>
          <w:tcPr>
            <w:tcW w:type="dxa" w:w="2160"/>
          </w:tcPr>
          <w:p>
            <w:r>
              <w:rPr>
                <w:rFonts w:ascii="Arial" w:hAnsi="Arial"/>
                <w:sz w:val="20"/>
              </w:rPr>
              <w:t>Tiempo de Actualización</w:t>
            </w:r>
          </w:p>
        </w:tc>
        <w:tc>
          <w:tcPr>
            <w:tcW w:type="dxa" w:w="2160"/>
          </w:tcPr>
          <w:p>
            <w:r>
              <w:rPr>
                <w:rFonts w:ascii="Arial" w:hAnsi="Arial"/>
                <w:sz w:val="20"/>
              </w:rPr>
              <w:t>El tiempo desde el comando en CCO hasta la visualización del nuevo mensaje debe ser &lt; 3 segundos para paneles conectados por fibra, &lt; 10 segundos para paneles en 4G/5G.</w:t>
            </w:r>
          </w:p>
        </w:tc>
        <w:tc>
          <w:tcPr>
            <w:tcW w:type="dxa" w:w="2160"/>
          </w:tcPr>
          <w:p>
            <w:r>
              <w:rPr>
                <w:rFonts w:ascii="Arial" w:hAnsi="Arial"/>
                <w:sz w:val="20"/>
              </w:rPr>
              <w:t>El tiempo de actualización es crítico en emergencias donde cada segundo cuenta para alertar a conductores de peligros inminentes.</w:t>
            </w:r>
          </w:p>
        </w:tc>
      </w:tr>
      <w:tr>
        <w:tc>
          <w:tcPr>
            <w:tcW w:type="dxa" w:w="2160"/>
          </w:tcPr>
          <w:p>
            <w:r>
              <w:rPr>
                <w:rFonts w:ascii="Arial" w:hAnsi="Arial"/>
                <w:sz w:val="20"/>
              </w:rPr>
              <w:t>RNF-04</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operadores con MFA, y segmentación de red. Los paneles deben aceptar solo comandos de fuentes autorizadas.</w:t>
            </w:r>
          </w:p>
        </w:tc>
        <w:tc>
          <w:tcPr>
            <w:tcW w:type="dxa" w:w="2160"/>
          </w:tcPr>
          <w:p>
            <w:r>
              <w:rPr>
                <w:rFonts w:ascii="Arial" w:hAnsi="Arial"/>
                <w:sz w:val="20"/>
              </w:rPr>
              <w:t>Los paneles DMS son objetivos atractivos para vandalismo digital. Un atacante podría mostrar mensajes falsos causando pánico o accidentes.</w:t>
            </w:r>
          </w:p>
        </w:tc>
      </w:tr>
      <w:tr>
        <w:tc>
          <w:tcPr>
            <w:tcW w:type="dxa" w:w="2160"/>
          </w:tcPr>
          <w:p>
            <w:r>
              <w:rPr>
                <w:rFonts w:ascii="Arial" w:hAnsi="Arial"/>
                <w:sz w:val="20"/>
              </w:rPr>
              <w:t>RNF-05</w:t>
            </w:r>
          </w:p>
        </w:tc>
        <w:tc>
          <w:tcPr>
            <w:tcW w:type="dxa" w:w="2160"/>
          </w:tcPr>
          <w:p>
            <w:r>
              <w:rPr>
                <w:rFonts w:ascii="Arial" w:hAnsi="Arial"/>
                <w:sz w:val="20"/>
              </w:rPr>
              <w:t>Resistencia Ambiental</w:t>
            </w:r>
          </w:p>
        </w:tc>
        <w:tc>
          <w:tcPr>
            <w:tcW w:type="dxa" w:w="2160"/>
          </w:tcPr>
          <w:p>
            <w:r>
              <w:rPr>
                <w:rFonts w:ascii="Arial" w:hAnsi="Arial"/>
                <w:sz w:val="20"/>
              </w:rPr>
              <w:t>Los paneles deben operar en rango térmico -20°C a +60°C, resistir lluvia horizontal (IP65), vientos de 150 km/h, y vibraciones de tráfico pesado.</w:t>
            </w:r>
          </w:p>
        </w:tc>
        <w:tc>
          <w:tcPr>
            <w:tcW w:type="dxa" w:w="2160"/>
          </w:tcPr>
          <w:p>
            <w:r>
              <w:rPr>
                <w:rFonts w:ascii="Arial" w:hAnsi="Arial"/>
                <w:sz w:val="20"/>
              </w:rPr>
              <w:t>El corredor atraviesa zonas con condiciones climáticas extremas. Los paneles deben operar confiablemente en todas las condiciones.</w:t>
            </w:r>
          </w:p>
        </w:tc>
      </w:tr>
      <w:tr>
        <w:tc>
          <w:tcPr>
            <w:tcW w:type="dxa" w:w="2160"/>
          </w:tcPr>
          <w:p>
            <w:r>
              <w:rPr>
                <w:rFonts w:ascii="Arial" w:hAnsi="Arial"/>
                <w:sz w:val="20"/>
              </w:rPr>
              <w:t>RNF-06</w:t>
            </w:r>
          </w:p>
        </w:tc>
        <w:tc>
          <w:tcPr>
            <w:tcW w:type="dxa" w:w="2160"/>
          </w:tcPr>
          <w:p>
            <w:r>
              <w:rPr>
                <w:rFonts w:ascii="Arial" w:hAnsi="Arial"/>
                <w:sz w:val="20"/>
              </w:rPr>
              <w:t>Ciclo de Vida</w:t>
            </w:r>
          </w:p>
        </w:tc>
        <w:tc>
          <w:tcPr>
            <w:tcW w:type="dxa" w:w="2160"/>
          </w:tcPr>
          <w:p>
            <w:r>
              <w:rPr>
                <w:rFonts w:ascii="Arial" w:hAnsi="Arial"/>
                <w:sz w:val="20"/>
              </w:rPr>
              <w:t>Los componentes del sistema deben tener ciclo de vida útil ≥ 10 años, considerando degradación de LEDs (mantenimiento de brillo ≥ 70% a 10 años).</w:t>
            </w:r>
          </w:p>
        </w:tc>
        <w:tc>
          <w:tcPr>
            <w:tcW w:type="dxa" w:w="2160"/>
          </w:tcPr>
          <w:p>
            <w:r>
              <w:rPr>
                <w:rFonts w:ascii="Arial" w:hAnsi="Arial"/>
                <w:sz w:val="20"/>
              </w:rPr>
              <w:t>Los paneles DMS representan inversión significativa en infraestructura de campo. Un ciclo de 10 años permite recuperación de inversión.</w:t>
            </w:r>
          </w:p>
        </w:tc>
      </w:tr>
      <w:tr>
        <w:tc>
          <w:tcPr>
            <w:tcW w:type="dxa" w:w="2160"/>
          </w:tcPr>
          <w:p>
            <w:r>
              <w:rPr>
                <w:rFonts w:ascii="Arial" w:hAnsi="Arial"/>
                <w:sz w:val="20"/>
              </w:rPr>
              <w:t>RNF-07</w:t>
            </w:r>
          </w:p>
        </w:tc>
        <w:tc>
          <w:tcPr>
            <w:tcW w:type="dxa" w:w="2160"/>
          </w:tcPr>
          <w:p>
            <w:r>
              <w:rPr>
                <w:rFonts w:ascii="Arial" w:hAnsi="Arial"/>
                <w:sz w:val="20"/>
              </w:rPr>
              <w:t>Eficiencia Energética</w:t>
            </w:r>
          </w:p>
        </w:tc>
        <w:tc>
          <w:tcPr>
            <w:tcW w:type="dxa" w:w="2160"/>
          </w:tcPr>
          <w:p>
            <w:r>
              <w:rPr>
                <w:rFonts w:ascii="Arial" w:hAnsi="Arial"/>
                <w:sz w:val="20"/>
              </w:rPr>
              <w:t>Los paneles deben operar con consumo ≤ 500W promedio, ≤ 800W máximo (brillo máximo, todos los LEDs activos). Deben incluir modo de bajo consumo para horas de poco tráfico.</w:t>
            </w:r>
          </w:p>
        </w:tc>
        <w:tc>
          <w:tcPr>
            <w:tcW w:type="dxa" w:w="2160"/>
          </w:tcPr>
          <w:p>
            <w:r>
              <w:rPr>
                <w:rFonts w:ascii="Arial" w:hAnsi="Arial"/>
                <w:sz w:val="20"/>
              </w:rPr>
              <w:t>La eficiencia energética reduce costos operativos y la huella de carbono del corredor, importante para certificaciones de sostenibilidad.</w:t>
            </w:r>
          </w:p>
        </w:tc>
      </w:tr>
    </w:tbl>
    <w:p>
      <w:pPr>
        <w:pStyle w:val="Heading2"/>
      </w:pPr>
      <w:r>
        <w:t>8.3.7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Tiempo de Respuesta</w:t>
            </w:r>
          </w:p>
        </w:tc>
        <w:tc>
          <w:tcPr>
            <w:tcW w:type="dxa" w:w="1728"/>
          </w:tcPr>
          <w:p>
            <w:r>
              <w:rPr>
                <w:rFonts w:ascii="Arial" w:hAnsi="Arial"/>
                <w:sz w:val="20"/>
              </w:rPr>
              <w:t>Tiempo comando a visualización</w:t>
            </w:r>
          </w:p>
        </w:tc>
        <w:tc>
          <w:tcPr>
            <w:tcW w:type="dxa" w:w="1728"/>
          </w:tcPr>
          <w:p>
            <w:r>
              <w:rPr>
                <w:rFonts w:ascii="Arial" w:hAnsi="Arial"/>
                <w:sz w:val="20"/>
              </w:rPr>
              <w:t>&lt; 3 segundos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Legibilidad</w:t>
            </w:r>
          </w:p>
        </w:tc>
        <w:tc>
          <w:tcPr>
            <w:tcW w:type="dxa" w:w="1728"/>
          </w:tcPr>
          <w:p>
            <w:r>
              <w:rPr>
                <w:rFonts w:ascii="Arial" w:hAnsi="Arial"/>
                <w:sz w:val="20"/>
              </w:rPr>
              <w:t>Distancia mínima de lectura efectiva</w:t>
            </w:r>
          </w:p>
        </w:tc>
        <w:tc>
          <w:tcPr>
            <w:tcW w:type="dxa" w:w="1728"/>
          </w:tcPr>
          <w:p>
            <w:r>
              <w:rPr>
                <w:rFonts w:ascii="Arial" w:hAnsi="Arial"/>
                <w:sz w:val="20"/>
              </w:rPr>
              <w:t>≥ 200 metros</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Efectividad de Mensajes</w:t>
            </w:r>
          </w:p>
        </w:tc>
        <w:tc>
          <w:tcPr>
            <w:tcW w:type="dxa" w:w="1728"/>
          </w:tcPr>
          <w:p>
            <w:r>
              <w:rPr>
                <w:rFonts w:ascii="Arial" w:hAnsi="Arial"/>
                <w:sz w:val="20"/>
              </w:rPr>
              <w:t>Reducción de velocidad ante alertas</w:t>
            </w:r>
          </w:p>
        </w:tc>
        <w:tc>
          <w:tcPr>
            <w:tcW w:type="dxa" w:w="1728"/>
          </w:tcPr>
          <w:p>
            <w:r>
              <w:rPr>
                <w:rFonts w:ascii="Arial" w:hAnsi="Arial"/>
                <w:sz w:val="20"/>
              </w:rPr>
              <w:t>≥ 10%</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de Información</w:t>
            </w:r>
          </w:p>
        </w:tc>
        <w:tc>
          <w:tcPr>
            <w:tcW w:type="dxa" w:w="1728"/>
          </w:tcPr>
          <w:p>
            <w:r>
              <w:rPr>
                <w:rFonts w:ascii="Arial" w:hAnsi="Arial"/>
                <w:sz w:val="20"/>
              </w:rPr>
              <w:t>% mensajes con información correcta</w:t>
            </w:r>
          </w:p>
        </w:tc>
        <w:tc>
          <w:tcPr>
            <w:tcW w:type="dxa" w:w="1728"/>
          </w:tcPr>
          <w:p>
            <w:r>
              <w:rPr>
                <w:rFonts w:ascii="Arial" w:hAnsi="Arial"/>
                <w:sz w:val="20"/>
              </w:rPr>
              <w:t>≥ 98%</w:t>
            </w:r>
          </w:p>
        </w:tc>
        <w:tc>
          <w:tcPr>
            <w:tcW w:type="dxa" w:w="1728"/>
          </w:tcPr>
          <w:p>
            <w:r>
              <w:rPr>
                <w:rFonts w:ascii="Arial" w:hAnsi="Arial"/>
                <w:sz w:val="20"/>
              </w:rPr>
              <w:t>Mensual</w:t>
            </w:r>
          </w:p>
        </w:tc>
      </w:tr>
      <w:tr>
        <w:tc>
          <w:tcPr>
            <w:tcW w:type="dxa" w:w="1728"/>
          </w:tcPr>
          <w:p>
            <w:r>
              <w:rPr>
                <w:rFonts w:ascii="Arial" w:hAnsi="Arial"/>
                <w:sz w:val="20"/>
              </w:rPr>
              <w:t>KPI-06</w:t>
            </w:r>
          </w:p>
        </w:tc>
        <w:tc>
          <w:tcPr>
            <w:tcW w:type="dxa" w:w="1728"/>
          </w:tcPr>
          <w:p>
            <w:r>
              <w:rPr>
                <w:rFonts w:ascii="Arial" w:hAnsi="Arial"/>
                <w:sz w:val="20"/>
              </w:rPr>
              <w:t>Tiempo de Reparación</w:t>
            </w:r>
          </w:p>
        </w:tc>
        <w:tc>
          <w:tcPr>
            <w:tcW w:type="dxa" w:w="1728"/>
          </w:tcPr>
          <w:p>
            <w:r>
              <w:rPr>
                <w:rFonts w:ascii="Arial" w:hAnsi="Arial"/>
                <w:sz w:val="20"/>
              </w:rPr>
              <w:t>MTTR ante falla de panel</w:t>
            </w:r>
          </w:p>
        </w:tc>
        <w:tc>
          <w:tcPr>
            <w:tcW w:type="dxa" w:w="1728"/>
          </w:tcPr>
          <w:p>
            <w:r>
              <w:rPr>
                <w:rFonts w:ascii="Arial" w:hAnsi="Arial"/>
                <w:sz w:val="20"/>
              </w:rPr>
              <w:t>&lt; 8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Usuarios</w:t>
            </w:r>
          </w:p>
        </w:tc>
        <w:tc>
          <w:tcPr>
            <w:tcW w:type="dxa" w:w="1728"/>
          </w:tcPr>
          <w:p>
            <w:r>
              <w:rPr>
                <w:rFonts w:ascii="Arial" w:hAnsi="Arial"/>
                <w:sz w:val="20"/>
              </w:rPr>
              <w:t>Percepción de utilidad de información</w:t>
            </w:r>
          </w:p>
        </w:tc>
        <w:tc>
          <w:tcPr>
            <w:tcW w:type="dxa" w:w="1728"/>
          </w:tcPr>
          <w:p>
            <w:r>
              <w:rPr>
                <w:rFonts w:ascii="Arial" w:hAnsi="Arial"/>
                <w:sz w:val="20"/>
              </w:rPr>
              <w:t>≥ 3.8/5.0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Consumo Energético</w:t>
            </w:r>
          </w:p>
        </w:tc>
        <w:tc>
          <w:tcPr>
            <w:tcW w:type="dxa" w:w="1728"/>
          </w:tcPr>
          <w:p>
            <w:r>
              <w:rPr>
                <w:rFonts w:ascii="Arial" w:hAnsi="Arial"/>
                <w:sz w:val="20"/>
              </w:rPr>
              <w:t>Promedio por panel</w:t>
            </w:r>
          </w:p>
        </w:tc>
        <w:tc>
          <w:tcPr>
            <w:tcW w:type="dxa" w:w="1728"/>
          </w:tcPr>
          <w:p>
            <w:r>
              <w:rPr>
                <w:rFonts w:ascii="Arial" w:hAnsi="Arial"/>
                <w:sz w:val="20"/>
              </w:rPr>
              <w:t>&lt; 500W</w:t>
            </w:r>
          </w:p>
        </w:tc>
        <w:tc>
          <w:tcPr>
            <w:tcW w:type="dxa" w:w="1728"/>
          </w:tcPr>
          <w:p>
            <w:r>
              <w:rPr>
                <w:rFonts w:ascii="Arial" w:hAnsi="Arial"/>
                <w:sz w:val="20"/>
              </w:rPr>
              <w:t>Mensual</w:t>
            </w:r>
          </w:p>
        </w:tc>
      </w:tr>
    </w:tbl>
    <w:p>
      <w:pPr>
        <w:pStyle w:val="Heading2"/>
      </w:pPr>
      <w:r>
        <w:t>8.3.8 Principales Casos de Uso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