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28"/>
        </w:rPr>
        <w:t>8 REQUERIMIENTOS FUNCIONALES Y NO FUNCIONALES</w:t>
      </w:r>
    </w:p>
    <w:p>
      <w:pPr>
        <w:pStyle w:val="Heading1"/>
      </w:pPr>
      <w:r>
        <w:rPr>
          <w:rFonts w:ascii="Arial" w:hAnsi="Arial"/>
          <w:b/>
          <w:sz w:val="24"/>
        </w:rPr>
        <w:t>8.1 CC-01: CCTV (Vigilancia por Video)</w:t>
      </w:r>
    </w:p>
    <w:p>
      <w:pPr>
        <w:pStyle w:val="Heading2"/>
      </w:pPr>
      <w:r>
        <w:t>8.1.1 Descripción Funcional / Técnica</w:t>
      </w:r>
    </w:p>
    <w:p>
      <w:r>
        <w:rPr>
          <w:rFonts w:ascii="Arial" w:hAnsi="Arial"/>
          <w:sz w:val="22"/>
        </w:rPr>
        <w:b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br/>
        <w:br/>
        <w:t>El subsistema opera las 24 horas del día, los 7 días de la semana, capturando video en resolución 4K (3840×2160) a 30 fps con compresión eficiente (H.265/HEVC) que optimiza el uso del ancho de banda sin degradación perceptible de calidad.</w:t>
        <w:br/>
        <w:br/>
        <w:t>---</w:t>
      </w:r>
    </w:p>
    <w:p>
      <w:pPr>
        <w:pStyle w:val="Heading2"/>
      </w:pPr>
      <w:r>
        <w:t>8.1.2 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br/>
        <w:br/>
        <w:t>La videovigilancia habilita respuestas informadas ante incidentes: cuando un subsistema automático genera una alerta, el operador puede verificar visualmente la situación antes de despachar recursos de emergencia, evitando despliegues innecesarios por falsas alarmas.</w:t>
        <w:br/>
        <w:br/>
        <w:t>---</w:t>
      </w:r>
    </w:p>
    <w:p>
      <w:pPr>
        <w:pStyle w:val="Heading2"/>
      </w:pPr>
      <w:r>
        <w:t>8.1.3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Resolución mínima aceptable</w:t>
            </w:r>
          </w:p>
        </w:tc>
        <w:tc>
          <w:tcPr>
            <w:tcW w:type="dxa" w:w="4320"/>
          </w:tcPr>
          <w:p>
            <w:r>
              <w:rPr>
                <w:rFonts w:ascii="Arial" w:hAnsi="Arial"/>
                <w:sz w:val="20"/>
              </w:rPr>
              <w:t>2K (2560×1440) @ 30 fps para cámaras secundarias</w:t>
            </w:r>
          </w:p>
        </w:tc>
      </w:tr>
      <w:tr>
        <w:tc>
          <w:tcPr>
            <w:tcW w:type="dxa" w:w="4320"/>
          </w:tcPr>
          <w:p>
            <w:r>
              <w:rPr>
                <w:rFonts w:ascii="Arial" w:hAnsi="Arial"/>
                <w:sz w:val="20"/>
              </w:rPr>
              <w:t>Formato de compresión</w:t>
            </w:r>
          </w:p>
        </w:tc>
        <w:tc>
          <w:tcPr>
            <w:tcW w:type="dxa" w:w="4320"/>
          </w:tcPr>
          <w:p>
            <w:r>
              <w:rPr>
                <w:rFonts w:ascii="Arial" w:hAnsi="Arial"/>
                <w:sz w:val="20"/>
              </w:rPr>
              <w:t>H.265/HEVC primario, H.264/AVC secundario</w:t>
            </w:r>
          </w:p>
        </w:tc>
      </w:tr>
      <w:tr>
        <w:tc>
          <w:tcPr>
            <w:tcW w:type="dxa" w:w="4320"/>
          </w:tcPr>
          <w:p>
            <w:r>
              <w:rPr>
                <w:rFonts w:ascii="Arial" w:hAnsi="Arial"/>
                <w:sz w:val="20"/>
              </w:rPr>
              <w:t>Tasa de bits por cámara</w:t>
            </w:r>
          </w:p>
        </w:tc>
        <w:tc>
          <w:tcPr>
            <w:tcW w:type="dxa" w:w="4320"/>
          </w:tcPr>
          <w:p>
            <w:r>
              <w:rPr>
                <w:rFonts w:ascii="Arial" w:hAnsi="Arial"/>
                <w:sz w:val="20"/>
              </w:rPr>
              <w:t>8-25 Mbps según resolución y nivel de actividad</w:t>
            </w:r>
          </w:p>
        </w:tc>
      </w:tr>
      <w:tr>
        <w:tc>
          <w:tcPr>
            <w:tcW w:type="dxa" w:w="4320"/>
          </w:tcPr>
          <w:p>
            <w:r>
              <w:rPr>
                <w:rFonts w:ascii="Arial" w:hAnsi="Arial"/>
                <w:sz w:val="20"/>
              </w:rPr>
              <w:t>Latencia de transmisión</w:t>
            </w:r>
          </w:p>
        </w:tc>
        <w:tc>
          <w:tcPr>
            <w:tcW w:type="dxa" w:w="4320"/>
          </w:tcPr>
          <w:p>
            <w:r>
              <w:rPr>
                <w:rFonts w:ascii="Arial" w:hAnsi="Arial"/>
                <w:sz w:val="20"/>
              </w:rPr>
              <w:t>&lt; 500 ms desde captura hasta visualización en CCO</w:t>
            </w:r>
          </w:p>
        </w:tc>
      </w:tr>
      <w:tr>
        <w:tc>
          <w:tcPr>
            <w:tcW w:type="dxa" w:w="4320"/>
          </w:tcPr>
          <w:p>
            <w:r>
              <w:rPr>
                <w:rFonts w:ascii="Arial" w:hAnsi="Arial"/>
                <w:sz w:val="20"/>
              </w:rPr>
              <w:t>Rango dinámico</w:t>
            </w:r>
          </w:p>
        </w:tc>
        <w:tc>
          <w:tcPr>
            <w:tcW w:type="dxa" w:w="4320"/>
          </w:tcPr>
          <w:p>
            <w:r>
              <w:rPr>
                <w:rFonts w:ascii="Arial" w:hAnsi="Arial"/>
                <w:sz w:val="20"/>
              </w:rPr>
              <w:t>HDR/WDR ≥ 120 dB para condiciones de contraluz extremo</w:t>
            </w:r>
          </w:p>
        </w:tc>
      </w:tr>
      <w:tr>
        <w:tc>
          <w:tcPr>
            <w:tcW w:type="dxa" w:w="4320"/>
          </w:tcPr>
          <w:p>
            <w:r>
              <w:rPr>
                <w:rFonts w:ascii="Arial" w:hAnsi="Arial"/>
                <w:sz w:val="20"/>
              </w:rPr>
              <w:t>Visión nocturna</w:t>
            </w:r>
          </w:p>
        </w:tc>
        <w:tc>
          <w:tcPr>
            <w:tcW w:type="dxa" w:w="4320"/>
          </w:tcPr>
          <w:p>
            <w:r>
              <w:rPr>
                <w:rFonts w:ascii="Arial" w:hAnsi="Arial"/>
                <w:sz w:val="20"/>
              </w:rPr>
              <w:t>IR inteligente con alcance ≥ 100 m para cámaras exteriores</w:t>
            </w:r>
          </w:p>
        </w:tc>
      </w:tr>
      <w:tr>
        <w:tc>
          <w:tcPr>
            <w:tcW w:type="dxa" w:w="4320"/>
          </w:tcPr>
          <w:p>
            <w:r>
              <w:rPr>
                <w:rFonts w:ascii="Arial" w:hAnsi="Arial"/>
                <w:sz w:val="20"/>
              </w:rPr>
              <w:t>Protección ambiental</w:t>
            </w:r>
          </w:p>
        </w:tc>
        <w:tc>
          <w:tcPr>
            <w:tcW w:type="dxa" w:w="4320"/>
          </w:tcPr>
          <w:p>
            <w:r>
              <w:rPr>
                <w:rFonts w:ascii="Arial" w:hAnsi="Arial"/>
                <w:sz w:val="20"/>
              </w:rPr>
              <w:t>IP66/67 para equipos de exterior, IP54 para interior</w:t>
            </w:r>
          </w:p>
        </w:tc>
      </w:tr>
      <w:tr>
        <w:tc>
          <w:tcPr>
            <w:tcW w:type="dxa" w:w="4320"/>
          </w:tcPr>
          <w:p>
            <w:r>
              <w:rPr>
                <w:rFonts w:ascii="Arial" w:hAnsi="Arial"/>
                <w:sz w:val="20"/>
              </w:rPr>
              <w:t>Rango térmico operativo</w:t>
            </w:r>
          </w:p>
        </w:tc>
        <w:tc>
          <w:tcPr>
            <w:tcW w:type="dxa" w:w="4320"/>
          </w:tcPr>
          <w:p>
            <w:r>
              <w:rPr>
                <w:rFonts w:ascii="Arial" w:hAnsi="Arial"/>
                <w:sz w:val="20"/>
              </w:rPr>
              <w:t>-30°C a +60°C con funcionamiento continuo garantizado</w:t>
            </w:r>
          </w:p>
        </w:tc>
      </w:tr>
      <w:tr>
        <w:tc>
          <w:tcPr>
            <w:tcW w:type="dxa" w:w="4320"/>
          </w:tcPr>
          <w:p>
            <w:r>
              <w:rPr>
                <w:rFonts w:ascii="Arial" w:hAnsi="Arial"/>
                <w:sz w:val="20"/>
              </w:rPr>
              <w:t>Alimentación</w:t>
            </w:r>
          </w:p>
        </w:tc>
        <w:tc>
          <w:tcPr>
            <w:tcW w:type="dxa" w:w="4320"/>
          </w:tcPr>
          <w:p>
            <w:r>
              <w:rPr>
                <w:rFonts w:ascii="Arial" w:hAnsi="Arial"/>
                <w:sz w:val="20"/>
              </w:rPr>
              <w:t>PoE++ (IEEE 802.3bt, 60W) o 24VAC/24VDC con respaldo UPS</w:t>
            </w:r>
          </w:p>
        </w:tc>
      </w:tr>
      <w:tr>
        <w:tc>
          <w:tcPr>
            <w:tcW w:type="dxa" w:w="4320"/>
          </w:tcPr>
          <w:p>
            <w:r>
              <w:rPr>
                <w:rFonts w:ascii="Arial" w:hAnsi="Arial"/>
                <w:sz w:val="20"/>
              </w:rPr>
              <w:t>Capacidades PTZ</w:t>
            </w:r>
          </w:p>
        </w:tc>
        <w:tc>
          <w:tcPr>
            <w:tcW w:type="dxa" w:w="4320"/>
          </w:tcPr>
          <w:p>
            <w:r>
              <w:rPr>
                <w:rFonts w:ascii="Arial" w:hAnsi="Arial"/>
                <w:sz w:val="20"/>
              </w:rPr>
              <w:t>Pan 360°, Tilt ±90°, Zoom óptico ≥ 30x para cámaras motorizadas</w:t>
            </w:r>
          </w:p>
        </w:tc>
      </w:tr>
      <w:tr>
        <w:tc>
          <w:tcPr>
            <w:tcW w:type="dxa" w:w="4320"/>
          </w:tcPr>
          <w:p>
            <w:r>
              <w:rPr>
                <w:rFonts w:ascii="Arial" w:hAnsi="Arial"/>
                <w:sz w:val="20"/>
              </w:rPr>
              <w:t>Analítica integrada</w:t>
            </w:r>
          </w:p>
        </w:tc>
        <w:tc>
          <w:tcPr>
            <w:tcW w:type="dxa" w:w="4320"/>
          </w:tcPr>
          <w:p>
            <w:r>
              <w:rPr>
                <w:rFonts w:ascii="Arial" w:hAnsi="Arial"/>
                <w:sz w:val="20"/>
              </w:rPr>
              <w:t>Detección de intrusión, cruce de línea, permanencia, dirección</w:t>
            </w:r>
          </w:p>
        </w:tc>
      </w:tr>
      <w:tr>
        <w:tc>
          <w:tcPr>
            <w:tcW w:type="dxa" w:w="4320"/>
          </w:tcPr>
          <w:p>
            <w:r>
              <w:rPr>
                <w:rFonts w:ascii="Arial" w:hAnsi="Arial"/>
                <w:sz w:val="20"/>
              </w:rPr>
              <w:t>Protocolos de red</w:t>
            </w:r>
          </w:p>
        </w:tc>
        <w:tc>
          <w:tcPr>
            <w:tcW w:type="dxa" w:w="4320"/>
          </w:tcPr>
          <w:p>
            <w:r>
              <w:rPr>
                <w:rFonts w:ascii="Arial" w:hAnsi="Arial"/>
                <w:sz w:val="20"/>
              </w:rPr>
              <w:t>ONVIF Profile S/G, RTSP, RTMP, SIP para integraciones</w:t>
            </w:r>
          </w:p>
        </w:tc>
      </w:tr>
      <w:tr>
        <w:tc>
          <w:tcPr>
            <w:tcW w:type="dxa" w:w="4320"/>
          </w:tcPr>
          <w:p>
            <w:r>
              <w:rPr>
                <w:rFonts w:ascii="Arial" w:hAnsi="Arial"/>
                <w:sz w:val="20"/>
              </w:rPr>
              <w:t>Ciberseguridad</w:t>
            </w:r>
          </w:p>
        </w:tc>
        <w:tc>
          <w:tcPr>
            <w:tcW w:type="dxa" w:w="4320"/>
          </w:tcPr>
          <w:p>
            <w:r>
              <w:rPr>
                <w:rFonts w:ascii="Arial" w:hAnsi="Arial"/>
                <w:sz w:val="20"/>
              </w:rPr>
              <w:t>Cifrado TLS 1.3, autenticación IEEE 802.1X, certificados X.509</w:t>
            </w:r>
          </w:p>
        </w:tc>
      </w:tr>
      <w:tr>
        <w:tc>
          <w:tcPr>
            <w:tcW w:type="dxa" w:w="4320"/>
          </w:tcPr>
          <w:p>
            <w:r>
              <w:rPr>
                <w:rFonts w:ascii="Arial" w:hAnsi="Arial"/>
                <w:sz w:val="20"/>
              </w:rPr>
              <w:t>Almacenamiento local</w:t>
            </w:r>
          </w:p>
        </w:tc>
        <w:tc>
          <w:tcPr>
            <w:tcW w:type="dxa" w:w="4320"/>
          </w:tcPr>
          <w:p>
            <w:r>
              <w:rPr>
                <w:rFonts w:ascii="Arial" w:hAnsi="Arial"/>
                <w:sz w:val="20"/>
              </w:rPr>
              <w:t>Slot para microSD ≥ 256 GB como respaldo ante falla de red</w:t>
            </w:r>
          </w:p>
        </w:tc>
      </w:tr>
      <w:tr>
        <w:tc>
          <w:tcPr>
            <w:tcW w:type="dxa" w:w="4320"/>
          </w:tcPr>
          <w:p>
            <w:r>
              <w:rPr>
                <w:rFonts w:ascii="Arial" w:hAnsi="Arial"/>
                <w:sz w:val="20"/>
              </w:rPr>
              <w:t>Gestión de VMS</w:t>
            </w:r>
          </w:p>
        </w:tc>
        <w:tc>
          <w:tcPr>
            <w:tcW w:type="dxa" w:w="4320"/>
          </w:tcPr>
          <w:p>
            <w:r>
              <w:rPr>
                <w:rFonts w:ascii="Arial" w:hAnsi="Arial"/>
                <w:sz w:val="20"/>
              </w:rPr>
              <w:t>Compatible con plataformas Milestone, Genetec, Honeywell, o VMS propio</w:t>
            </w:r>
          </w:p>
        </w:tc>
      </w:tr>
      <w:tr>
        <w:tc>
          <w:tcPr>
            <w:tcW w:type="dxa" w:w="4320"/>
          </w:tcPr>
          <w:p>
            <w:r>
              <w:rPr>
                <w:rFonts w:ascii="Arial" w:hAnsi="Arial"/>
                <w:sz w:val="20"/>
              </w:rPr>
              <w:t>Tasa de cuadros</w:t>
            </w:r>
          </w:p>
        </w:tc>
        <w:tc>
          <w:tcPr>
            <w:tcW w:type="dxa" w:w="4320"/>
          </w:tcPr>
          <w:p>
            <w:r>
              <w:rPr>
                <w:rFonts w:ascii="Arial" w:hAnsi="Arial"/>
                <w:sz w:val="20"/>
              </w:rPr>
              <w:t>30 fps configurable, con modo 60 fps para cámaras de alta velocidad</w:t>
            </w:r>
          </w:p>
        </w:tc>
      </w:tr>
      <w:tr>
        <w:tc>
          <w:tcPr>
            <w:tcW w:type="dxa" w:w="4320"/>
          </w:tcPr>
          <w:p>
            <w:r>
              <w:rPr>
                <w:rFonts w:ascii="Arial" w:hAnsi="Arial"/>
                <w:sz w:val="20"/>
              </w:rPr>
              <w:t>Campo visual</w:t>
            </w:r>
          </w:p>
        </w:tc>
        <w:tc>
          <w:tcPr>
            <w:tcW w:type="dxa" w:w="4320"/>
          </w:tcPr>
          <w:p>
            <w:r>
              <w:rPr>
                <w:rFonts w:ascii="Arial" w:hAnsi="Arial"/>
                <w:sz w:val="20"/>
              </w:rPr>
              <w:t>≥ 90° horizontal para cámaras fijas de cobertura general</w:t>
            </w:r>
          </w:p>
        </w:tc>
      </w:tr>
      <w:tr>
        <w:tc>
          <w:tcPr>
            <w:tcW w:type="dxa" w:w="4320"/>
          </w:tcPr>
          <w:p>
            <w:r>
              <w:rPr>
                <w:rFonts w:ascii="Arial" w:hAnsi="Arial"/>
                <w:sz w:val="20"/>
              </w:rPr>
              <w:t>Resistencia a impactos</w:t>
            </w:r>
          </w:p>
        </w:tc>
        <w:tc>
          <w:tcPr>
            <w:tcW w:type="dxa" w:w="4320"/>
          </w:tcPr>
          <w:p>
            <w:r>
              <w:rPr>
                <w:rFonts w:ascii="Arial" w:hAnsi="Arial"/>
                <w:sz w:val="20"/>
              </w:rPr>
              <w:t>IK10 para zonas vulnerables a vandalismo</w:t>
            </w:r>
          </w:p>
        </w:tc>
      </w:tr>
    </w:tbl>
    <w:p>
      <w:pPr>
        <w:pStyle w:val="Heading2"/>
      </w:pPr>
      <w:r>
        <w:t>8.1.4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 Funcional / Técnica</w:t>
            </w:r>
          </w:p>
        </w:tc>
        <w:tc>
          <w:tcPr>
            <w:tcW w:type="dxa" w:w="2160"/>
          </w:tcPr>
          <w:p>
            <w:r>
              <w:rPr>
                <w:rFonts w:ascii="Arial" w:hAnsi="Arial"/>
                <w:b/>
                <w:sz w:val="20"/>
              </w:rPr>
              <w:t>Justificación Estratégica</w:t>
            </w:r>
          </w:p>
        </w:tc>
      </w:tr>
      <w:tr>
        <w:tc>
          <w:tcPr>
            <w:tcW w:type="dxa" w:w="2160"/>
          </w:tcPr>
          <w:p>
            <w:r>
              <w:rPr>
                <w:rFonts w:ascii="Arial" w:hAnsi="Arial"/>
                <w:sz w:val="20"/>
              </w:rPr>
              <w:t>RF-02</w:t>
            </w:r>
          </w:p>
        </w:tc>
        <w:tc>
          <w:tcPr>
            <w:tcW w:type="dxa" w:w="2160"/>
          </w:tcPr>
          <w:p>
            <w:r>
              <w:rPr>
                <w:rFonts w:ascii="Arial" w:hAnsi="Arial"/>
                <w:sz w:val="20"/>
              </w:rPr>
              <w:t>Visualización Remota en el CCO</w:t>
            </w:r>
          </w:p>
        </w:tc>
        <w:tc>
          <w:tcPr>
            <w:tcW w:type="dxa" w:w="2160"/>
          </w:tcPr>
          <w:p>
            <w:r>
              <w:rPr>
                <w:rFonts w:ascii="Arial" w:hAnsi="Arial"/>
                <w:sz w:val="20"/>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20"/>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20"/>
              </w:rPr>
              <w:t>RF-03</w:t>
            </w:r>
          </w:p>
        </w:tc>
        <w:tc>
          <w:tcPr>
            <w:tcW w:type="dxa" w:w="2160"/>
          </w:tcPr>
          <w:p>
            <w:r>
              <w:rPr>
                <w:rFonts w:ascii="Arial" w:hAnsi="Arial"/>
                <w:sz w:val="20"/>
              </w:rPr>
              <w:t>Control PTZ Remoto</w:t>
            </w:r>
          </w:p>
        </w:tc>
        <w:tc>
          <w:tcPr>
            <w:tcW w:type="dxa" w:w="2160"/>
          </w:tcPr>
          <w:p>
            <w:r>
              <w:rPr>
                <w:rFonts w:ascii="Arial" w:hAnsi="Arial"/>
                <w:sz w:val="20"/>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20"/>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20"/>
              </w:rPr>
              <w:t>RF-04</w:t>
            </w:r>
          </w:p>
        </w:tc>
        <w:tc>
          <w:tcPr>
            <w:tcW w:type="dxa" w:w="2160"/>
          </w:tcPr>
          <w:p>
            <w:r>
              <w:rPr>
                <w:rFonts w:ascii="Arial" w:hAnsi="Arial"/>
                <w:sz w:val="20"/>
              </w:rPr>
              <w:t>Grabación Continua y por Evento</w:t>
            </w:r>
          </w:p>
        </w:tc>
        <w:tc>
          <w:tcPr>
            <w:tcW w:type="dxa" w:w="2160"/>
          </w:tcPr>
          <w:p>
            <w:r>
              <w:rPr>
                <w:rFonts w:ascii="Arial" w:hAnsi="Arial"/>
                <w:sz w:val="20"/>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20"/>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20"/>
              </w:rPr>
              <w:t>RF-05</w:t>
            </w:r>
          </w:p>
        </w:tc>
        <w:tc>
          <w:tcPr>
            <w:tcW w:type="dxa" w:w="2160"/>
          </w:tcPr>
          <w:p>
            <w:r>
              <w:rPr>
                <w:rFonts w:ascii="Arial" w:hAnsi="Arial"/>
                <w:sz w:val="20"/>
              </w:rPr>
              <w:t>Analítica de Video Integrada</w:t>
            </w:r>
          </w:p>
        </w:tc>
        <w:tc>
          <w:tcPr>
            <w:tcW w:type="dxa" w:w="2160"/>
          </w:tcPr>
          <w:p>
            <w:r>
              <w:rPr>
                <w:rFonts w:ascii="Arial" w:hAnsi="Arial"/>
                <w:sz w:val="20"/>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20"/>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20"/>
              </w:rPr>
              <w:t>RF-06</w:t>
            </w:r>
          </w:p>
        </w:tc>
        <w:tc>
          <w:tcPr>
            <w:tcW w:type="dxa" w:w="2160"/>
          </w:tcPr>
          <w:p>
            <w:r>
              <w:rPr>
                <w:rFonts w:ascii="Arial" w:hAnsi="Arial"/>
                <w:sz w:val="20"/>
              </w:rPr>
              <w:t>Integración con Subsistemas ITS</w:t>
            </w:r>
          </w:p>
        </w:tc>
        <w:tc>
          <w:tcPr>
            <w:tcW w:type="dxa" w:w="2160"/>
          </w:tcPr>
          <w:p>
            <w:r>
              <w:rPr>
                <w:rFonts w:ascii="Arial" w:hAnsi="Arial"/>
                <w:sz w:val="20"/>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20"/>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20"/>
              </w:rPr>
              <w:t>RF-07</w:t>
            </w:r>
          </w:p>
        </w:tc>
        <w:tc>
          <w:tcPr>
            <w:tcW w:type="dxa" w:w="2160"/>
          </w:tcPr>
          <w:p>
            <w:r>
              <w:rPr>
                <w:rFonts w:ascii="Arial" w:hAnsi="Arial"/>
                <w:sz w:val="20"/>
              </w:rPr>
              <w:t>Acceso Remoto Seguro</w:t>
            </w:r>
          </w:p>
        </w:tc>
        <w:tc>
          <w:tcPr>
            <w:tcW w:type="dxa" w:w="2160"/>
          </w:tcPr>
          <w:p>
            <w:r>
              <w:rPr>
                <w:rFonts w:ascii="Arial" w:hAnsi="Arial"/>
                <w:sz w:val="20"/>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20"/>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20"/>
              </w:rPr>
              <w:t>RF-08</w:t>
            </w:r>
          </w:p>
        </w:tc>
        <w:tc>
          <w:tcPr>
            <w:tcW w:type="dxa" w:w="2160"/>
          </w:tcPr>
          <w:p>
            <w:r>
              <w:rPr>
                <w:rFonts w:ascii="Arial" w:hAnsi="Arial"/>
                <w:sz w:val="20"/>
              </w:rPr>
              <w:t>Respaldo y Recuperación ante Fallas</w:t>
            </w:r>
          </w:p>
        </w:tc>
        <w:tc>
          <w:tcPr>
            <w:tcW w:type="dxa" w:w="2160"/>
          </w:tcPr>
          <w:p>
            <w:r>
              <w:rPr>
                <w:rFonts w:ascii="Arial" w:hAnsi="Arial"/>
                <w:sz w:val="20"/>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20"/>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20"/>
              </w:rPr>
              <w:t>RF-09</w:t>
            </w:r>
          </w:p>
        </w:tc>
        <w:tc>
          <w:tcPr>
            <w:tcW w:type="dxa" w:w="2160"/>
          </w:tcPr>
          <w:p>
            <w:r>
              <w:rPr>
                <w:rFonts w:ascii="Arial" w:hAnsi="Arial"/>
                <w:sz w:val="20"/>
              </w:rPr>
              <w:t>Gestión Centralizada del Sistema</w:t>
            </w:r>
          </w:p>
        </w:tc>
        <w:tc>
          <w:tcPr>
            <w:tcW w:type="dxa" w:w="2160"/>
          </w:tcPr>
          <w:p>
            <w:r>
              <w:rPr>
                <w:rFonts w:ascii="Arial" w:hAnsi="Arial"/>
                <w:sz w:val="20"/>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20"/>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20"/>
              </w:rPr>
              <w:t>RF-10</w:t>
            </w:r>
          </w:p>
        </w:tc>
        <w:tc>
          <w:tcPr>
            <w:tcW w:type="dxa" w:w="2160"/>
          </w:tcPr>
          <w:p>
            <w:r>
              <w:rPr>
                <w:rFonts w:ascii="Arial" w:hAnsi="Arial"/>
                <w:sz w:val="20"/>
              </w:rPr>
              <w:t>Cumplimiento Normativo y Forense</w:t>
            </w:r>
          </w:p>
        </w:tc>
        <w:tc>
          <w:tcPr>
            <w:tcW w:type="dxa" w:w="2160"/>
          </w:tcPr>
          <w:p>
            <w:r>
              <w:rPr>
                <w:rFonts w:ascii="Arial" w:hAnsi="Arial"/>
                <w:sz w:val="20"/>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20"/>
              </w:rPr>
              <w:t>El video de seguridad vial frecuentemente se requiere como evidencia en procesos judiciales. La cadena de custodia verificable y la integridad de timestamps son requisitos legales para que la evidencia sea admisible.</w:t>
            </w:r>
          </w:p>
        </w:tc>
      </w:tr>
    </w:tbl>
    <w:p>
      <w:pPr>
        <w:pStyle w:val="Heading2"/>
      </w:pPr>
      <w:r>
        <w:t>8.1.5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w:t>
            </w:r>
          </w:p>
        </w:tc>
        <w:tc>
          <w:tcPr>
            <w:tcW w:type="dxa" w:w="2160"/>
          </w:tcPr>
          <w:p>
            <w:r>
              <w:rPr>
                <w:rFonts w:ascii="Arial" w:hAnsi="Arial"/>
                <w:b/>
                <w:sz w:val="20"/>
              </w:rPr>
              <w:t>Justificación</w:t>
            </w:r>
          </w:p>
        </w:tc>
      </w:tr>
      <w:tr>
        <w:tc>
          <w:tcPr>
            <w:tcW w:type="dxa" w:w="2160"/>
          </w:tcPr>
          <w:p>
            <w:r>
              <w:rPr>
                <w:rFonts w:ascii="Arial" w:hAnsi="Arial"/>
                <w:sz w:val="20"/>
              </w:rPr>
              <w:t>RNF-02</w:t>
            </w:r>
          </w:p>
        </w:tc>
        <w:tc>
          <w:tcPr>
            <w:tcW w:type="dxa" w:w="2160"/>
          </w:tcPr>
          <w:p>
            <w:r>
              <w:rPr>
                <w:rFonts w:ascii="Arial" w:hAnsi="Arial"/>
                <w:sz w:val="20"/>
              </w:rPr>
              <w:t>Ciclo de Vida y Obsolescencia</w:t>
            </w:r>
          </w:p>
        </w:tc>
        <w:tc>
          <w:tcPr>
            <w:tcW w:type="dxa" w:w="2160"/>
          </w:tcPr>
          <w:p>
            <w:r>
              <w:rPr>
                <w:rFonts w:ascii="Arial" w:hAnsi="Arial"/>
                <w:sz w:val="20"/>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20"/>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20"/>
              </w:rPr>
              <w:t>RNF-03</w:t>
            </w:r>
          </w:p>
        </w:tc>
        <w:tc>
          <w:tcPr>
            <w:tcW w:type="dxa" w:w="2160"/>
          </w:tcPr>
          <w:p>
            <w:r>
              <w:rPr>
                <w:rFonts w:ascii="Arial" w:hAnsi="Arial"/>
                <w:sz w:val="20"/>
              </w:rPr>
              <w:t>Consumo Energético y Eficiencia</w:t>
            </w:r>
          </w:p>
        </w:tc>
        <w:tc>
          <w:tcPr>
            <w:tcW w:type="dxa" w:w="2160"/>
          </w:tcPr>
          <w:p>
            <w:r>
              <w:rPr>
                <w:rFonts w:ascii="Arial" w:hAnsi="Arial"/>
                <w:sz w:val="20"/>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20"/>
              </w:rPr>
              <w:t>Un corredor con 200+ cámaras puede consumir 5-10 kW continuos solo en videovigilancia. La eficiencia energética reduce costos operativos significativamente.</w:t>
            </w:r>
          </w:p>
        </w:tc>
      </w:tr>
      <w:tr>
        <w:tc>
          <w:tcPr>
            <w:tcW w:type="dxa" w:w="2160"/>
          </w:tcPr>
          <w:p>
            <w:r>
              <w:rPr>
                <w:rFonts w:ascii="Arial" w:hAnsi="Arial"/>
                <w:sz w:val="20"/>
              </w:rPr>
              <w:t>RNF-04</w:t>
            </w:r>
          </w:p>
        </w:tc>
        <w:tc>
          <w:tcPr>
            <w:tcW w:type="dxa" w:w="2160"/>
          </w:tcPr>
          <w:p>
            <w:r>
              <w:rPr>
                <w:rFonts w:ascii="Arial" w:hAnsi="Arial"/>
                <w:sz w:val="20"/>
              </w:rPr>
              <w:t>Ciberseguridad End-to-End</w:t>
            </w:r>
          </w:p>
        </w:tc>
        <w:tc>
          <w:tcPr>
            <w:tcW w:type="dxa" w:w="2160"/>
          </w:tcPr>
          <w:p>
            <w:r>
              <w:rPr>
                <w:rFonts w:ascii="Arial" w:hAnsi="Arial"/>
                <w:sz w:val="20"/>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20"/>
              </w:rPr>
              <w:t>Las cámaras IoT son objetivos frecuentes de ciberataques. Un compromiso del sistema CCTV puede exponer información sensible de infraestructura crítica.</w:t>
            </w:r>
          </w:p>
        </w:tc>
      </w:tr>
      <w:tr>
        <w:tc>
          <w:tcPr>
            <w:tcW w:type="dxa" w:w="2160"/>
          </w:tcPr>
          <w:p>
            <w:r>
              <w:rPr>
                <w:rFonts w:ascii="Arial" w:hAnsi="Arial"/>
                <w:sz w:val="20"/>
              </w:rPr>
              <w:t>RNF-05</w:t>
            </w:r>
          </w:p>
        </w:tc>
        <w:tc>
          <w:tcPr>
            <w:tcW w:type="dxa" w:w="2160"/>
          </w:tcPr>
          <w:p>
            <w:r>
              <w:rPr>
                <w:rFonts w:ascii="Arial" w:hAnsi="Arial"/>
                <w:sz w:val="20"/>
              </w:rPr>
              <w:t>Escalabilidad Horizontal</w:t>
            </w:r>
          </w:p>
        </w:tc>
        <w:tc>
          <w:tcPr>
            <w:tcW w:type="dxa" w:w="2160"/>
          </w:tcPr>
          <w:p>
            <w:r>
              <w:rPr>
                <w:rFonts w:ascii="Arial" w:hAnsi="Arial"/>
                <w:sz w:val="20"/>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20"/>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20"/>
              </w:rPr>
              <w:t>RNF-06</w:t>
            </w:r>
          </w:p>
        </w:tc>
        <w:tc>
          <w:tcPr>
            <w:tcW w:type="dxa" w:w="2160"/>
          </w:tcPr>
          <w:p>
            <w:r>
              <w:rPr>
                <w:rFonts w:ascii="Arial" w:hAnsi="Arial"/>
                <w:sz w:val="20"/>
              </w:rPr>
              <w:t>Tolerancia a Condiciones Ambientales</w:t>
            </w:r>
          </w:p>
        </w:tc>
        <w:tc>
          <w:tcPr>
            <w:tcW w:type="dxa" w:w="2160"/>
          </w:tcPr>
          <w:p>
            <w:r>
              <w:rPr>
                <w:rFonts w:ascii="Arial" w:hAnsi="Arial"/>
                <w:sz w:val="20"/>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20"/>
              </w:rPr>
              <w:t>El corredor Chía–Girardot atraviesa zonas con condiciones climáticas diversas: altiplano con heladas, valles cálidos, y zonas de alta precipitación.</w:t>
            </w:r>
          </w:p>
        </w:tc>
      </w:tr>
      <w:tr>
        <w:tc>
          <w:tcPr>
            <w:tcW w:type="dxa" w:w="2160"/>
          </w:tcPr>
          <w:p>
            <w:r>
              <w:rPr>
                <w:rFonts w:ascii="Arial" w:hAnsi="Arial"/>
                <w:sz w:val="20"/>
              </w:rPr>
              <w:t>RNF-07</w:t>
            </w:r>
          </w:p>
        </w:tc>
        <w:tc>
          <w:tcPr>
            <w:tcW w:type="dxa" w:w="2160"/>
          </w:tcPr>
          <w:p>
            <w:r>
              <w:rPr>
                <w:rFonts w:ascii="Arial" w:hAnsi="Arial"/>
                <w:sz w:val="20"/>
              </w:rPr>
              <w:t>Cumplimiento Normativo Global</w:t>
            </w:r>
          </w:p>
        </w:tc>
        <w:tc>
          <w:tcPr>
            <w:tcW w:type="dxa" w:w="2160"/>
          </w:tcPr>
          <w:p>
            <w:r>
              <w:rPr>
                <w:rFonts w:ascii="Arial" w:hAnsi="Arial"/>
                <w:sz w:val="20"/>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20"/>
              </w:rPr>
              <w:t>El cumplimiento normativo es obligatorio para operación legal en Colombia. La falta de certificaciones puede impedir la aprobación de proyectos por entidades controladoras.</w:t>
            </w:r>
          </w:p>
        </w:tc>
      </w:tr>
    </w:tbl>
    <w:p>
      <w:pPr>
        <w:pStyle w:val="Heading2"/>
      </w:pPr>
      <w:r>
        <w:t>8.1.6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ID</w:t>
            </w:r>
          </w:p>
        </w:tc>
        <w:tc>
          <w:tcPr>
            <w:tcW w:type="dxa" w:w="1728"/>
          </w:tcPr>
          <w:p>
            <w:r>
              <w:rPr>
                <w:rFonts w:ascii="Arial" w:hAnsi="Arial"/>
                <w:b/>
                <w:sz w:val="20"/>
              </w:rPr>
              <w:t>Indicador</w:t>
            </w:r>
          </w:p>
        </w:tc>
        <w:tc>
          <w:tcPr>
            <w:tcW w:type="dxa" w:w="1728"/>
          </w:tcPr>
          <w:p>
            <w:r>
              <w:rPr>
                <w:rFonts w:ascii="Arial" w:hAnsi="Arial"/>
                <w:b/>
                <w:sz w:val="20"/>
              </w:rPr>
              <w:t>Descripción</w:t>
            </w:r>
          </w:p>
        </w:tc>
        <w:tc>
          <w:tcPr>
            <w:tcW w:type="dxa" w:w="1728"/>
          </w:tcPr>
          <w:p>
            <w:r>
              <w:rPr>
                <w:rFonts w:ascii="Arial" w:hAnsi="Arial"/>
                <w:b/>
                <w:sz w:val="20"/>
              </w:rPr>
              <w:t>Meta</w:t>
            </w:r>
          </w:p>
        </w:tc>
        <w:tc>
          <w:tcPr>
            <w:tcW w:type="dxa" w:w="1728"/>
          </w:tcPr>
          <w:p>
            <w:r>
              <w:rPr>
                <w:rFonts w:ascii="Arial" w:hAnsi="Arial"/>
                <w:b/>
                <w:sz w:val="20"/>
              </w:rPr>
              <w:t>Frecuencia</w:t>
            </w:r>
          </w:p>
        </w:tc>
      </w:tr>
      <w:tr>
        <w:tc>
          <w:tcPr>
            <w:tcW w:type="dxa" w:w="1728"/>
          </w:tcPr>
          <w:p>
            <w:r>
              <w:rPr>
                <w:rFonts w:ascii="Arial" w:hAnsi="Arial"/>
                <w:sz w:val="20"/>
              </w:rPr>
              <w:t>KPI-02</w:t>
            </w:r>
          </w:p>
        </w:tc>
        <w:tc>
          <w:tcPr>
            <w:tcW w:type="dxa" w:w="1728"/>
          </w:tcPr>
          <w:p>
            <w:r>
              <w:rPr>
                <w:rFonts w:ascii="Arial" w:hAnsi="Arial"/>
                <w:sz w:val="20"/>
              </w:rPr>
              <w:t>Latencia de Video</w:t>
            </w:r>
          </w:p>
        </w:tc>
        <w:tc>
          <w:tcPr>
            <w:tcW w:type="dxa" w:w="1728"/>
          </w:tcPr>
          <w:p>
            <w:r>
              <w:rPr>
                <w:rFonts w:ascii="Arial" w:hAnsi="Arial"/>
                <w:sz w:val="20"/>
              </w:rPr>
              <w:t>Tiempo desde captura hasta visualización CCO</w:t>
            </w:r>
          </w:p>
        </w:tc>
        <w:tc>
          <w:tcPr>
            <w:tcW w:type="dxa" w:w="1728"/>
          </w:tcPr>
          <w:p>
            <w:r>
              <w:rPr>
                <w:rFonts w:ascii="Arial" w:hAnsi="Arial"/>
                <w:sz w:val="20"/>
              </w:rPr>
              <w:t>&lt; 500 ms</w:t>
            </w:r>
          </w:p>
        </w:tc>
        <w:tc>
          <w:tcPr>
            <w:tcW w:type="dxa" w:w="1728"/>
          </w:tcPr>
          <w:p>
            <w:r>
              <w:rPr>
                <w:rFonts w:ascii="Arial" w:hAnsi="Arial"/>
                <w:sz w:val="20"/>
              </w:rPr>
              <w:t>Continua</w:t>
            </w:r>
          </w:p>
        </w:tc>
      </w:tr>
      <w:tr>
        <w:tc>
          <w:tcPr>
            <w:tcW w:type="dxa" w:w="1728"/>
          </w:tcPr>
          <w:p>
            <w:r>
              <w:rPr>
                <w:rFonts w:ascii="Arial" w:hAnsi="Arial"/>
                <w:sz w:val="20"/>
              </w:rPr>
              <w:t>KPI-03</w:t>
            </w:r>
          </w:p>
        </w:tc>
        <w:tc>
          <w:tcPr>
            <w:tcW w:type="dxa" w:w="1728"/>
          </w:tcPr>
          <w:p>
            <w:r>
              <w:rPr>
                <w:rFonts w:ascii="Arial" w:hAnsi="Arial"/>
                <w:sz w:val="20"/>
              </w:rPr>
              <w:t>Calidad de Imagen</w:t>
            </w:r>
          </w:p>
        </w:tc>
        <w:tc>
          <w:tcPr>
            <w:tcW w:type="dxa" w:w="1728"/>
          </w:tcPr>
          <w:p>
            <w:r>
              <w:rPr>
                <w:rFonts w:ascii="Arial" w:hAnsi="Arial"/>
                <w:sz w:val="20"/>
              </w:rPr>
              <w:t>Resolución efectiva sin degradación por compresión</w:t>
            </w:r>
          </w:p>
        </w:tc>
        <w:tc>
          <w:tcPr>
            <w:tcW w:type="dxa" w:w="1728"/>
          </w:tcPr>
          <w:p>
            <w:r>
              <w:rPr>
                <w:rFonts w:ascii="Arial" w:hAnsi="Arial"/>
                <w:sz w:val="20"/>
              </w:rPr>
              <w:t>≥ 95%</w:t>
            </w:r>
          </w:p>
        </w:tc>
        <w:tc>
          <w:tcPr>
            <w:tcW w:type="dxa" w:w="1728"/>
          </w:tcPr>
          <w:p>
            <w:r>
              <w:rPr>
                <w:rFonts w:ascii="Arial" w:hAnsi="Arial"/>
                <w:sz w:val="20"/>
              </w:rPr>
              <w:t>Trimestral</w:t>
            </w:r>
          </w:p>
        </w:tc>
      </w:tr>
      <w:tr>
        <w:tc>
          <w:tcPr>
            <w:tcW w:type="dxa" w:w="1728"/>
          </w:tcPr>
          <w:p>
            <w:r>
              <w:rPr>
                <w:rFonts w:ascii="Arial" w:hAnsi="Arial"/>
                <w:sz w:val="20"/>
              </w:rPr>
              <w:t>KPI-04</w:t>
            </w:r>
          </w:p>
        </w:tc>
        <w:tc>
          <w:tcPr>
            <w:tcW w:type="dxa" w:w="1728"/>
          </w:tcPr>
          <w:p>
            <w:r>
              <w:rPr>
                <w:rFonts w:ascii="Arial" w:hAnsi="Arial"/>
                <w:sz w:val="20"/>
              </w:rPr>
              <w:t>Tasa de Falsos Positivos</w:t>
            </w:r>
          </w:p>
        </w:tc>
        <w:tc>
          <w:tcPr>
            <w:tcW w:type="dxa" w:w="1728"/>
          </w:tcPr>
          <w:p>
            <w:r>
              <w:rPr>
                <w:rFonts w:ascii="Arial" w:hAnsi="Arial"/>
                <w:sz w:val="20"/>
              </w:rPr>
              <w:t>Alertas analíticas sin evento real</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Cobertura Operativa</w:t>
            </w:r>
          </w:p>
        </w:tc>
        <w:tc>
          <w:tcPr>
            <w:tcW w:type="dxa" w:w="1728"/>
          </w:tcPr>
          <w:p>
            <w:r>
              <w:rPr>
                <w:rFonts w:ascii="Arial" w:hAnsi="Arial"/>
                <w:sz w:val="20"/>
              </w:rPr>
              <w:t>Cámaras funcionando / Total instalado</w:t>
            </w:r>
          </w:p>
        </w:tc>
        <w:tc>
          <w:tcPr>
            <w:tcW w:type="dxa" w:w="1728"/>
          </w:tcPr>
          <w:p>
            <w:r>
              <w:rPr>
                <w:rFonts w:ascii="Arial" w:hAnsi="Arial"/>
                <w:sz w:val="20"/>
              </w:rPr>
              <w:t>≥ 98%</w:t>
            </w:r>
          </w:p>
        </w:tc>
        <w:tc>
          <w:tcPr>
            <w:tcW w:type="dxa" w:w="1728"/>
          </w:tcPr>
          <w:p>
            <w:r>
              <w:rPr>
                <w:rFonts w:ascii="Arial" w:hAnsi="Arial"/>
                <w:sz w:val="20"/>
              </w:rPr>
              <w:t>Diaria</w:t>
            </w:r>
          </w:p>
        </w:tc>
      </w:tr>
      <w:tr>
        <w:tc>
          <w:tcPr>
            <w:tcW w:type="dxa" w:w="1728"/>
          </w:tcPr>
          <w:p>
            <w:r>
              <w:rPr>
                <w:rFonts w:ascii="Arial" w:hAnsi="Arial"/>
                <w:sz w:val="20"/>
              </w:rPr>
              <w:t>KPI-06</w:t>
            </w:r>
          </w:p>
        </w:tc>
        <w:tc>
          <w:tcPr>
            <w:tcW w:type="dxa" w:w="1728"/>
          </w:tcPr>
          <w:p>
            <w:r>
              <w:rPr>
                <w:rFonts w:ascii="Arial" w:hAnsi="Arial"/>
                <w:sz w:val="20"/>
              </w:rPr>
              <w:t>Tiempo de Recuperación MTTR</w:t>
            </w:r>
          </w:p>
        </w:tc>
        <w:tc>
          <w:tcPr>
            <w:tcW w:type="dxa" w:w="1728"/>
          </w:tcPr>
          <w:p>
            <w:r>
              <w:rPr>
                <w:rFonts w:ascii="Arial" w:hAnsi="Arial"/>
                <w:sz w:val="20"/>
              </w:rPr>
              <w:t>Tiempo medio de reparación ante falla</w:t>
            </w:r>
          </w:p>
        </w:tc>
        <w:tc>
          <w:tcPr>
            <w:tcW w:type="dxa" w:w="1728"/>
          </w:tcPr>
          <w:p>
            <w:r>
              <w:rPr>
                <w:rFonts w:ascii="Arial" w:hAnsi="Arial"/>
                <w:sz w:val="20"/>
              </w:rPr>
              <w:t>&lt; 4 horas</w:t>
            </w:r>
          </w:p>
        </w:tc>
        <w:tc>
          <w:tcPr>
            <w:tcW w:type="dxa" w:w="1728"/>
          </w:tcPr>
          <w:p>
            <w:r>
              <w:rPr>
                <w:rFonts w:ascii="Arial" w:hAnsi="Arial"/>
                <w:sz w:val="20"/>
              </w:rPr>
              <w:t>Por incidente</w:t>
            </w:r>
          </w:p>
        </w:tc>
      </w:tr>
      <w:tr>
        <w:tc>
          <w:tcPr>
            <w:tcW w:type="dxa" w:w="1728"/>
          </w:tcPr>
          <w:p>
            <w:r>
              <w:rPr>
                <w:rFonts w:ascii="Arial" w:hAnsi="Arial"/>
                <w:sz w:val="20"/>
              </w:rPr>
              <w:t>KPI-07</w:t>
            </w:r>
          </w:p>
        </w:tc>
        <w:tc>
          <w:tcPr>
            <w:tcW w:type="dxa" w:w="1728"/>
          </w:tcPr>
          <w:p>
            <w:r>
              <w:rPr>
                <w:rFonts w:ascii="Arial" w:hAnsi="Arial"/>
                <w:sz w:val="20"/>
              </w:rPr>
              <w:t>Satisfacción de Usuario</w:t>
            </w:r>
          </w:p>
        </w:tc>
        <w:tc>
          <w:tcPr>
            <w:tcW w:type="dxa" w:w="1728"/>
          </w:tcPr>
          <w:p>
            <w:r>
              <w:rPr>
                <w:rFonts w:ascii="Arial" w:hAnsi="Arial"/>
                <w:sz w:val="20"/>
              </w:rPr>
              <w:t>Evaluación operadores del CCO</w:t>
            </w:r>
          </w:p>
        </w:tc>
        <w:tc>
          <w:tcPr>
            <w:tcW w:type="dxa" w:w="1728"/>
          </w:tcPr>
          <w:p>
            <w:r>
              <w:rPr>
                <w:rFonts w:ascii="Arial" w:hAnsi="Arial"/>
                <w:sz w:val="20"/>
              </w:rPr>
              <w:t>≥ 4.0/5.0</w:t>
            </w:r>
          </w:p>
        </w:tc>
        <w:tc>
          <w:tcPr>
            <w:tcW w:type="dxa" w:w="1728"/>
          </w:tcPr>
          <w:p>
            <w:r>
              <w:rPr>
                <w:rFonts w:ascii="Arial" w:hAnsi="Arial"/>
                <w:sz w:val="20"/>
              </w:rPr>
              <w:t>Semestral</w:t>
            </w:r>
          </w:p>
        </w:tc>
      </w:tr>
      <w:tr>
        <w:tc>
          <w:tcPr>
            <w:tcW w:type="dxa" w:w="1728"/>
          </w:tcPr>
          <w:p>
            <w:r>
              <w:rPr>
                <w:rFonts w:ascii="Arial" w:hAnsi="Arial"/>
                <w:sz w:val="20"/>
              </w:rPr>
              <w:t>KPI-08</w:t>
            </w:r>
          </w:p>
        </w:tc>
        <w:tc>
          <w:tcPr>
            <w:tcW w:type="dxa" w:w="1728"/>
          </w:tcPr>
          <w:p>
            <w:r>
              <w:rPr>
                <w:rFonts w:ascii="Arial" w:hAnsi="Arial"/>
                <w:sz w:val="20"/>
              </w:rPr>
              <w:t>Eficiencia Energética</w:t>
            </w:r>
          </w:p>
        </w:tc>
        <w:tc>
          <w:tcPr>
            <w:tcW w:type="dxa" w:w="1728"/>
          </w:tcPr>
          <w:p>
            <w:r>
              <w:rPr>
                <w:rFonts w:ascii="Arial" w:hAnsi="Arial"/>
                <w:sz w:val="20"/>
              </w:rPr>
              <w:t>Consumo promedio por cámara</w:t>
            </w:r>
          </w:p>
        </w:tc>
        <w:tc>
          <w:tcPr>
            <w:tcW w:type="dxa" w:w="1728"/>
          </w:tcPr>
          <w:p>
            <w:r>
              <w:rPr>
                <w:rFonts w:ascii="Arial" w:hAnsi="Arial"/>
                <w:sz w:val="20"/>
              </w:rPr>
              <w:t>&lt; 25W</w:t>
            </w:r>
          </w:p>
        </w:tc>
        <w:tc>
          <w:tcPr>
            <w:tcW w:type="dxa" w:w="1728"/>
          </w:tcPr>
          <w:p>
            <w:r>
              <w:rPr>
                <w:rFonts w:ascii="Arial" w:hAnsi="Arial"/>
                <w:sz w:val="20"/>
              </w:rPr>
              <w:t>Mensual</w:t>
            </w:r>
          </w:p>
        </w:tc>
      </w:tr>
    </w:tbl>
    <w:p>
      <w:pPr>
        <w:pStyle w:val="Heading2"/>
      </w:pPr>
      <w:r>
        <w:t>8.1.7 Principales Casos de Uso</w:t>
      </w:r>
    </w:p>
    <w:p>
      <w:r>
        <w:br w:type="page"/>
      </w:r>
    </w:p>
    <w:p>
      <w:pPr>
        <w:pStyle w:val="Heading1"/>
      </w:pPr>
      <w:r>
        <w:rPr>
          <w:rFonts w:ascii="Arial" w:hAnsi="Arial"/>
          <w:b/>
          <w:sz w:val="24"/>
        </w:rPr>
        <w:t>8.2 CC-02: AID (Detección de Incidentes)</w:t>
      </w:r>
    </w:p>
    <w:p>
      <w:pPr>
        <w:pStyle w:val="Heading2"/>
      </w:pPr>
      <w:r>
        <w:t>8.2.1 Descripción Funcional / Técnica</w:t>
      </w:r>
    </w:p>
    <w:p>
      <w:r>
        <w:rPr>
          <w:rFonts w:ascii="Arial" w:hAnsi="Arial"/>
          <w:sz w:val="22"/>
        </w:rPr>
        <w:br/>
        <w:t>El sistema AID comprende una red de sensores virtuales basados en análisis de video desplegados estratégicamente a lo largo del corredor. La solución integra diferentes tipologías de detección según los requerimientos específicos de cada ubicación: detección de vehículos detenidos para identificación de colisiones, detección de flujo contrario para prevención de accidentes frontales, detección de pérdida de carga, detección de peatones en calzada, y análisis de velocidad promedio para identificación de congestiones.</w:t>
        <w:br/>
        <w:br/>
        <w:t>El subsistema opera las 24 horas del día, los 7 días de la semana, analizando video en tiempo real con latencia inferior a 2 segundos desde la ocurrencia del evento hasta la generación de la alerta.</w:t>
        <w:br/>
        <w:br/>
        <w:t>---</w:t>
      </w:r>
    </w:p>
    <w:p>
      <w:pPr>
        <w:pStyle w:val="Heading2"/>
      </w:pPr>
      <w:r>
        <w:t>8.2.2 Justificación Estratégica</w:t>
      </w:r>
    </w:p>
    <w:p>
      <w:r>
        <w:rPr>
          <w:rFonts w:ascii="Arial" w:hAnsi="Arial"/>
          <w:sz w:val="22"/>
        </w:rPr>
        <w:t>La implementación de un sistema de detección automática de incidentes responde a la imposibilidad de mantener vigilancia humana continua sobre 306 km de corredor vial. La capacidad de detección automática permite identificar incidentes en segundos, reduciendo el tiempo de respuesta de minutos (con detección manual por operadores) a segundos (con detección automática).</w:t>
        <w:br/>
        <w:br/>
        <w:t>Estudios de seguridad vial demuestran que cada minuto de reducción en el tiempo de detección de un incidente reduce en un 3% la probabilidad de accidentes secundarios. En un corredor de alta velocidad como Chía-Girardot, la detección temprana es crítica para la seguridad operacional.</w:t>
        <w:br/>
        <w:br/>
        <w:t>---</w:t>
      </w:r>
    </w:p>
    <w:p>
      <w:pPr>
        <w:pStyle w:val="Heading2"/>
      </w:pPr>
      <w:r>
        <w:t>8.2.3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Tiempo de detección</w:t>
            </w:r>
          </w:p>
        </w:tc>
        <w:tc>
          <w:tcPr>
            <w:tcW w:type="dxa" w:w="4320"/>
          </w:tcPr>
          <w:p>
            <w:r>
              <w:rPr>
                <w:rFonts w:ascii="Arial" w:hAnsi="Arial"/>
                <w:sz w:val="20"/>
              </w:rPr>
              <w:t>&lt; 2 segundos desde ocurrencia hasta alerta</w:t>
            </w:r>
          </w:p>
        </w:tc>
      </w:tr>
      <w:tr>
        <w:tc>
          <w:tcPr>
            <w:tcW w:type="dxa" w:w="4320"/>
          </w:tcPr>
          <w:p>
            <w:r>
              <w:rPr>
                <w:rFonts w:ascii="Arial" w:hAnsi="Arial"/>
                <w:sz w:val="20"/>
              </w:rPr>
              <w:t>Tasa de detección</w:t>
            </w:r>
          </w:p>
        </w:tc>
        <w:tc>
          <w:tcPr>
            <w:tcW w:type="dxa" w:w="4320"/>
          </w:tcPr>
          <w:p>
            <w:r>
              <w:rPr>
                <w:rFonts w:ascii="Arial" w:hAnsi="Arial"/>
                <w:sz w:val="20"/>
              </w:rPr>
              <w:t>≥ 95% para incidentes críticos</w:t>
            </w:r>
          </w:p>
        </w:tc>
      </w:tr>
      <w:tr>
        <w:tc>
          <w:tcPr>
            <w:tcW w:type="dxa" w:w="4320"/>
          </w:tcPr>
          <w:p>
            <w:r>
              <w:rPr>
                <w:rFonts w:ascii="Arial" w:hAnsi="Arial"/>
                <w:sz w:val="20"/>
              </w:rPr>
              <w:t>Tasa de falsos positivos</w:t>
            </w:r>
          </w:p>
        </w:tc>
        <w:tc>
          <w:tcPr>
            <w:tcW w:type="dxa" w:w="4320"/>
          </w:tcPr>
          <w:p>
            <w:r>
              <w:rPr>
                <w:rFonts w:ascii="Arial" w:hAnsi="Arial"/>
                <w:sz w:val="20"/>
              </w:rPr>
              <w:t>&lt; 5%</w:t>
            </w:r>
          </w:p>
        </w:tc>
      </w:tr>
      <w:tr>
        <w:tc>
          <w:tcPr>
            <w:tcW w:type="dxa" w:w="4320"/>
          </w:tcPr>
          <w:p>
            <w:r>
              <w:rPr>
                <w:rFonts w:ascii="Arial" w:hAnsi="Arial"/>
                <w:sz w:val="20"/>
              </w:rPr>
              <w:t>Algoritmos</w:t>
            </w:r>
          </w:p>
        </w:tc>
        <w:tc>
          <w:tcPr>
            <w:tcW w:type="dxa" w:w="4320"/>
          </w:tcPr>
          <w:p>
            <w:r>
              <w:rPr>
                <w:rFonts w:ascii="Arial" w:hAnsi="Arial"/>
                <w:sz w:val="20"/>
              </w:rPr>
              <w:t>Deep Learning / CNN entrenados con datasets de tráfico vial</w:t>
            </w:r>
          </w:p>
        </w:tc>
      </w:tr>
      <w:tr>
        <w:tc>
          <w:tcPr>
            <w:tcW w:type="dxa" w:w="4320"/>
          </w:tcPr>
          <w:p>
            <w:r>
              <w:rPr>
                <w:rFonts w:ascii="Arial" w:hAnsi="Arial"/>
                <w:sz w:val="20"/>
              </w:rPr>
              <w:t>Procesamiento</w:t>
            </w:r>
          </w:p>
        </w:tc>
        <w:tc>
          <w:tcPr>
            <w:tcW w:type="dxa" w:w="4320"/>
          </w:tcPr>
          <w:p>
            <w:r>
              <w:rPr>
                <w:rFonts w:ascii="Arial" w:hAnsi="Arial"/>
                <w:sz w:val="20"/>
              </w:rPr>
              <w:t>Edge computing con aceleradores NVIDIA Jetson o similar</w:t>
            </w:r>
          </w:p>
        </w:tc>
      </w:tr>
      <w:tr>
        <w:tc>
          <w:tcPr>
            <w:tcW w:type="dxa" w:w="4320"/>
          </w:tcPr>
          <w:p>
            <w:r>
              <w:rPr>
                <w:rFonts w:ascii="Arial" w:hAnsi="Arial"/>
                <w:sz w:val="20"/>
              </w:rPr>
              <w:t>Entradas de video</w:t>
            </w:r>
          </w:p>
        </w:tc>
        <w:tc>
          <w:tcPr>
            <w:tcW w:type="dxa" w:w="4320"/>
          </w:tcPr>
          <w:p>
            <w:r>
              <w:rPr>
                <w:rFonts w:ascii="Arial" w:hAnsi="Arial"/>
                <w:sz w:val="20"/>
              </w:rPr>
              <w:t>Compatible con streams RTSP de cámaras CCTV CC-01</w:t>
            </w:r>
          </w:p>
        </w:tc>
      </w:tr>
      <w:tr>
        <w:tc>
          <w:tcPr>
            <w:tcW w:type="dxa" w:w="4320"/>
          </w:tcPr>
          <w:p>
            <w:r>
              <w:rPr>
                <w:rFonts w:ascii="Arial" w:hAnsi="Arial"/>
                <w:sz w:val="20"/>
              </w:rPr>
              <w:t>Resolución de entrada</w:t>
            </w:r>
          </w:p>
        </w:tc>
        <w:tc>
          <w:tcPr>
            <w:tcW w:type="dxa" w:w="4320"/>
          </w:tcPr>
          <w:p>
            <w:r>
              <w:rPr>
                <w:rFonts w:ascii="Arial" w:hAnsi="Arial"/>
                <w:sz w:val="20"/>
              </w:rPr>
              <w:t>1080p mínimo, 4K recomendado</w:t>
            </w:r>
          </w:p>
        </w:tc>
      </w:tr>
      <w:tr>
        <w:tc>
          <w:tcPr>
            <w:tcW w:type="dxa" w:w="4320"/>
          </w:tcPr>
          <w:p>
            <w:r>
              <w:rPr>
                <w:rFonts w:ascii="Arial" w:hAnsi="Arial"/>
                <w:sz w:val="20"/>
              </w:rPr>
              <w:t>Interfaces de salida</w:t>
            </w:r>
          </w:p>
        </w:tc>
        <w:tc>
          <w:tcPr>
            <w:tcW w:type="dxa" w:w="4320"/>
          </w:tcPr>
          <w:p>
            <w:r>
              <w:rPr>
                <w:rFonts w:ascii="Arial" w:hAnsi="Arial"/>
                <w:sz w:val="20"/>
              </w:rPr>
              <w:t>API REST, SNMP Traps, mensajería MQTT</w:t>
            </w:r>
          </w:p>
        </w:tc>
      </w:tr>
      <w:tr>
        <w:tc>
          <w:tcPr>
            <w:tcW w:type="dxa" w:w="4320"/>
          </w:tcPr>
          <w:p>
            <w:r>
              <w:rPr>
                <w:rFonts w:ascii="Arial" w:hAnsi="Arial"/>
                <w:sz w:val="20"/>
              </w:rPr>
              <w:t>Clasificación de severidad</w:t>
            </w:r>
          </w:p>
        </w:tc>
        <w:tc>
          <w:tcPr>
            <w:tcW w:type="dxa" w:w="4320"/>
          </w:tcPr>
          <w:p>
            <w:r>
              <w:rPr>
                <w:rFonts w:ascii="Arial" w:hAnsi="Arial"/>
                <w:sz w:val="20"/>
              </w:rPr>
              <w:t>Crítica, Mayor, Menor con umbrales configurables</w:t>
            </w:r>
          </w:p>
        </w:tc>
      </w:tr>
      <w:tr>
        <w:tc>
          <w:tcPr>
            <w:tcW w:type="dxa" w:w="4320"/>
          </w:tcPr>
          <w:p>
            <w:r>
              <w:rPr>
                <w:rFonts w:ascii="Arial" w:hAnsi="Arial"/>
                <w:sz w:val="20"/>
              </w:rPr>
              <w:t>Georeferenciación</w:t>
            </w:r>
          </w:p>
        </w:tc>
        <w:tc>
          <w:tcPr>
            <w:tcW w:type="dxa" w:w="4320"/>
          </w:tcPr>
          <w:p>
            <w:r>
              <w:rPr>
                <w:rFonts w:ascii="Arial" w:hAnsi="Arial"/>
                <w:sz w:val="20"/>
              </w:rPr>
              <w:t>Coordenadas GPS exactas del punto de detección</w:t>
            </w:r>
          </w:p>
        </w:tc>
      </w:tr>
      <w:tr>
        <w:tc>
          <w:tcPr>
            <w:tcW w:type="dxa" w:w="4320"/>
          </w:tcPr>
          <w:p>
            <w:r>
              <w:rPr>
                <w:rFonts w:ascii="Arial" w:hAnsi="Arial"/>
                <w:sz w:val="20"/>
              </w:rPr>
              <w:t>Metadatos de evento</w:t>
            </w:r>
          </w:p>
        </w:tc>
        <w:tc>
          <w:tcPr>
            <w:tcW w:type="dxa" w:w="4320"/>
          </w:tcPr>
          <w:p>
            <w:r>
              <w:rPr>
                <w:rFonts w:ascii="Arial" w:hAnsi="Arial"/>
                <w:sz w:val="20"/>
              </w:rPr>
              <w:t>Timestamp, tipo de incidente, confianza, imagen de evidencia</w:t>
            </w:r>
          </w:p>
        </w:tc>
      </w:tr>
      <w:tr>
        <w:tc>
          <w:tcPr>
            <w:tcW w:type="dxa" w:w="4320"/>
          </w:tcPr>
          <w:p>
            <w:r>
              <w:rPr>
                <w:rFonts w:ascii="Arial" w:hAnsi="Arial"/>
                <w:sz w:val="20"/>
              </w:rPr>
              <w:t>Capacidad de procesamiento</w:t>
            </w:r>
          </w:p>
        </w:tc>
        <w:tc>
          <w:tcPr>
            <w:tcW w:type="dxa" w:w="4320"/>
          </w:tcPr>
          <w:p>
            <w:r>
              <w:rPr>
                <w:rFonts w:ascii="Arial" w:hAnsi="Arial"/>
                <w:sz w:val="20"/>
              </w:rPr>
              <w:t>≥ 4 streams de video simultáneos por nodo de edge</w:t>
            </w:r>
          </w:p>
        </w:tc>
      </w:tr>
      <w:tr>
        <w:tc>
          <w:tcPr>
            <w:tcW w:type="dxa" w:w="4320"/>
          </w:tcPr>
          <w:p>
            <w:r>
              <w:rPr>
                <w:rFonts w:ascii="Arial" w:hAnsi="Arial"/>
                <w:sz w:val="20"/>
              </w:rPr>
              <w:t>Redundancia</w:t>
            </w:r>
          </w:p>
        </w:tc>
        <w:tc>
          <w:tcPr>
            <w:tcW w:type="dxa" w:w="4320"/>
          </w:tcPr>
          <w:p>
            <w:r>
              <w:rPr>
                <w:rFonts w:ascii="Arial" w:hAnsi="Arial"/>
                <w:sz w:val="20"/>
              </w:rPr>
              <w:t>Failover automático ante falla de nodo de procesamiento</w:t>
            </w:r>
          </w:p>
        </w:tc>
      </w:tr>
      <w:tr>
        <w:tc>
          <w:tcPr>
            <w:tcW w:type="dxa" w:w="4320"/>
          </w:tcPr>
          <w:p>
            <w:r>
              <w:rPr>
                <w:rFonts w:ascii="Arial" w:hAnsi="Arial"/>
                <w:sz w:val="20"/>
              </w:rPr>
              <w:t>Aprendizaje continuo</w:t>
            </w:r>
          </w:p>
        </w:tc>
        <w:tc>
          <w:tcPr>
            <w:tcW w:type="dxa" w:w="4320"/>
          </w:tcPr>
          <w:p>
            <w:r>
              <w:rPr>
                <w:rFonts w:ascii="Arial" w:hAnsi="Arial"/>
                <w:sz w:val="20"/>
              </w:rPr>
              <w:t>Capacidad de reentrenamiento con nuevos casos</w:t>
            </w:r>
          </w:p>
        </w:tc>
      </w:tr>
    </w:tbl>
    <w:p>
      <w:pPr>
        <w:pStyle w:val="Heading2"/>
      </w:pPr>
      <w:r>
        <w:t>8.2.4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 Funcional / Técnica</w:t>
            </w:r>
          </w:p>
        </w:tc>
        <w:tc>
          <w:tcPr>
            <w:tcW w:type="dxa" w:w="2160"/>
          </w:tcPr>
          <w:p>
            <w:r>
              <w:rPr>
                <w:rFonts w:ascii="Arial" w:hAnsi="Arial"/>
                <w:b/>
                <w:sz w:val="20"/>
              </w:rPr>
              <w:t>Justificación Estratégica</w:t>
            </w:r>
          </w:p>
        </w:tc>
      </w:tr>
      <w:tr>
        <w:tc>
          <w:tcPr>
            <w:tcW w:type="dxa" w:w="2160"/>
          </w:tcPr>
          <w:p>
            <w:r>
              <w:rPr>
                <w:rFonts w:ascii="Arial" w:hAnsi="Arial"/>
                <w:sz w:val="20"/>
              </w:rPr>
              <w:t>RF-02</w:t>
            </w:r>
          </w:p>
        </w:tc>
        <w:tc>
          <w:tcPr>
            <w:tcW w:type="dxa" w:w="2160"/>
          </w:tcPr>
          <w:p>
            <w:r>
              <w:rPr>
                <w:rFonts w:ascii="Arial" w:hAnsi="Arial"/>
                <w:sz w:val="20"/>
              </w:rPr>
              <w:t>Detección de Flujo Contrario</w:t>
            </w:r>
          </w:p>
        </w:tc>
        <w:tc>
          <w:tcPr>
            <w:tcW w:type="dxa" w:w="2160"/>
          </w:tcPr>
          <w:p>
            <w:r>
              <w:rPr>
                <w:rFonts w:ascii="Arial" w:hAnsi="Arial"/>
                <w:sz w:val="20"/>
              </w:rPr>
              <w:t>El sistema debe detectar vehículos circulando en sentido opuesto al flujo normal del tráfico, generando alerta crítica inmediata. La detección debe operar tanto de día como de noche.</w:t>
            </w:r>
          </w:p>
        </w:tc>
        <w:tc>
          <w:tcPr>
            <w:tcW w:type="dxa" w:w="2160"/>
          </w:tcPr>
          <w:p>
            <w:r>
              <w:rPr>
                <w:rFonts w:ascii="Arial" w:hAnsi="Arial"/>
                <w:sz w:val="20"/>
              </w:rPr>
              <w:t>El flujo contrario es uno de los incidentes más peligrosos en corredores de alta velocidad. La detección automática permite cerrar el tramo afectado en segundos, evitando colisiones frontales.</w:t>
            </w:r>
          </w:p>
        </w:tc>
      </w:tr>
      <w:tr>
        <w:tc>
          <w:tcPr>
            <w:tcW w:type="dxa" w:w="2160"/>
          </w:tcPr>
          <w:p>
            <w:r>
              <w:rPr>
                <w:rFonts w:ascii="Arial" w:hAnsi="Arial"/>
                <w:sz w:val="20"/>
              </w:rPr>
              <w:t>RF-03</w:t>
            </w:r>
          </w:p>
        </w:tc>
        <w:tc>
          <w:tcPr>
            <w:tcW w:type="dxa" w:w="2160"/>
          </w:tcPr>
          <w:p>
            <w:r>
              <w:rPr>
                <w:rFonts w:ascii="Arial" w:hAnsi="Arial"/>
                <w:sz w:val="20"/>
              </w:rPr>
              <w:t>Detección de Pérdida de Carga</w:t>
            </w:r>
          </w:p>
        </w:tc>
        <w:tc>
          <w:tcPr>
            <w:tcW w:type="dxa" w:w="2160"/>
          </w:tcPr>
          <w:p>
            <w:r>
              <w:rPr>
                <w:rFonts w:ascii="Arial" w:hAnsi="Arial"/>
                <w:sz w:val="20"/>
              </w:rPr>
              <w:t>El sistema debe detectar objetos caídos en calzada (carga, escombros, neumáticos) que representen riesgo para los vehículos. La detección debe identificar el tipo de objeto y su ubicación exacta.</w:t>
            </w:r>
          </w:p>
        </w:tc>
        <w:tc>
          <w:tcPr>
            <w:tcW w:type="dxa" w:w="2160"/>
          </w:tcPr>
          <w:p>
            <w:r>
              <w:rPr>
                <w:rFonts w:ascii="Arial" w:hAnsi="Arial"/>
                <w:sz w:val="20"/>
              </w:rPr>
              <w:t>La pérdida de carga es frecuente en corredores con alto tráfico de carga. La detección automática permite despachar unidades de limpieza antes de que se produzcan accidentes por evasión.</w:t>
            </w:r>
          </w:p>
        </w:tc>
      </w:tr>
      <w:tr>
        <w:tc>
          <w:tcPr>
            <w:tcW w:type="dxa" w:w="2160"/>
          </w:tcPr>
          <w:p>
            <w:r>
              <w:rPr>
                <w:rFonts w:ascii="Arial" w:hAnsi="Arial"/>
                <w:sz w:val="20"/>
              </w:rPr>
              <w:t>RF-04</w:t>
            </w:r>
          </w:p>
        </w:tc>
        <w:tc>
          <w:tcPr>
            <w:tcW w:type="dxa" w:w="2160"/>
          </w:tcPr>
          <w:p>
            <w:r>
              <w:rPr>
                <w:rFonts w:ascii="Arial" w:hAnsi="Arial"/>
                <w:sz w:val="20"/>
              </w:rPr>
              <w:t>Detección de Peatón en Calzada</w:t>
            </w:r>
          </w:p>
        </w:tc>
        <w:tc>
          <w:tcPr>
            <w:tcW w:type="dxa" w:w="2160"/>
          </w:tcPr>
          <w:p>
            <w:r>
              <w:rPr>
                <w:rFonts w:ascii="Arial" w:hAnsi="Arial"/>
                <w:sz w:val="20"/>
              </w:rPr>
              <w:t>El sistema debe detectar personas caminando en la calzada o en el hombro de la vía, generando alerta de seguridad. La detección debe distinguir entre peatones en zonas permitidas (áreas de servicio) versus zonas prohibidas (calzada).</w:t>
            </w:r>
          </w:p>
        </w:tc>
        <w:tc>
          <w:tcPr>
            <w:tcW w:type="dxa" w:w="2160"/>
          </w:tcPr>
          <w:p>
            <w:r>
              <w:rPr>
                <w:rFonts w:ascii="Arial" w:hAnsi="Arial"/>
                <w:sz w:val="20"/>
              </w:rPr>
              <w:t>Los peatones en calzada representan alto riesgo de fatalidad. La detección automática permite activar alertas a conductores cercanos y despachar unidades de seguridad vial.</w:t>
            </w:r>
          </w:p>
        </w:tc>
      </w:tr>
      <w:tr>
        <w:tc>
          <w:tcPr>
            <w:tcW w:type="dxa" w:w="2160"/>
          </w:tcPr>
          <w:p>
            <w:r>
              <w:rPr>
                <w:rFonts w:ascii="Arial" w:hAnsi="Arial"/>
                <w:sz w:val="20"/>
              </w:rPr>
              <w:t>RF-05</w:t>
            </w:r>
          </w:p>
        </w:tc>
        <w:tc>
          <w:tcPr>
            <w:tcW w:type="dxa" w:w="2160"/>
          </w:tcPr>
          <w:p>
            <w:r>
              <w:rPr>
                <w:rFonts w:ascii="Arial" w:hAnsi="Arial"/>
                <w:sz w:val="20"/>
              </w:rPr>
              <w:t>Detección de Congestión Repentina</w:t>
            </w:r>
          </w:p>
        </w:tc>
        <w:tc>
          <w:tcPr>
            <w:tcW w:type="dxa" w:w="2160"/>
          </w:tcPr>
          <w:p>
            <w:r>
              <w:rPr>
                <w:rFonts w:ascii="Arial" w:hAnsi="Arial"/>
                <w:sz w:val="20"/>
              </w:rPr>
              <w:t>El sistema debe detectar reducciones abruptas de velocidad promedio en un tramo (&lt; 30 km/h de caída en menos de 5 minutos), identificando la formación de cuellos de botella.</w:t>
            </w:r>
          </w:p>
        </w:tc>
        <w:tc>
          <w:tcPr>
            <w:tcW w:type="dxa" w:w="2160"/>
          </w:tcPr>
          <w:p>
            <w:r>
              <w:rPr>
                <w:rFonts w:ascii="Arial" w:hAnsi="Arial"/>
                <w:sz w:val="20"/>
              </w:rPr>
              <w:t>La congestión repentina es precursora de accidentes múltiples. La detección temprana permite activar señalización variable (VSL) para reducir la velocidad del tráfico aproximándose.</w:t>
            </w:r>
          </w:p>
        </w:tc>
      </w:tr>
      <w:tr>
        <w:tc>
          <w:tcPr>
            <w:tcW w:type="dxa" w:w="2160"/>
          </w:tcPr>
          <w:p>
            <w:r>
              <w:rPr>
                <w:rFonts w:ascii="Arial" w:hAnsi="Arial"/>
                <w:sz w:val="20"/>
              </w:rPr>
              <w:t>RF-06</w:t>
            </w:r>
          </w:p>
        </w:tc>
        <w:tc>
          <w:tcPr>
            <w:tcW w:type="dxa" w:w="2160"/>
          </w:tcPr>
          <w:p>
            <w:r>
              <w:rPr>
                <w:rFonts w:ascii="Arial" w:hAnsi="Arial"/>
                <w:sz w:val="20"/>
              </w:rPr>
              <w:t>Clasificación por Severidad</w:t>
            </w:r>
          </w:p>
        </w:tc>
        <w:tc>
          <w:tcPr>
            <w:tcW w:type="dxa" w:w="2160"/>
          </w:tcPr>
          <w:p>
            <w:r>
              <w:rPr>
                <w:rFonts w:ascii="Arial" w:hAnsi="Arial"/>
                <w:sz w:val="20"/>
              </w:rPr>
              <w:t>El sistema debe clasificar cada incidente detectado en categorías de severidad: Crítica (requiere cierre de tramo), Mayor (requiere despacho inmediato), Menor (requiere monitoreo). La clasificación debe basarse en tipo de incidente, ubicación y condiciones de tráfico.</w:t>
            </w:r>
          </w:p>
        </w:tc>
        <w:tc>
          <w:tcPr>
            <w:tcW w:type="dxa" w:w="2160"/>
          </w:tcPr>
          <w:p>
            <w:r>
              <w:rPr>
                <w:rFonts w:ascii="Arial" w:hAnsi="Arial"/>
                <w:sz w:val="20"/>
              </w:rPr>
              <w:t>La clasificación por severidad permite priorizar la respuesta de recursos limitados, asegurando que los incidentes críticos reciban atención inmediata mientras los menores se monitorean.</w:t>
            </w:r>
          </w:p>
        </w:tc>
      </w:tr>
      <w:tr>
        <w:tc>
          <w:tcPr>
            <w:tcW w:type="dxa" w:w="2160"/>
          </w:tcPr>
          <w:p>
            <w:r>
              <w:rPr>
                <w:rFonts w:ascii="Arial" w:hAnsi="Arial"/>
                <w:sz w:val="20"/>
              </w:rPr>
              <w:t>RF-07</w:t>
            </w:r>
          </w:p>
        </w:tc>
        <w:tc>
          <w:tcPr>
            <w:tcW w:type="dxa" w:w="2160"/>
          </w:tcPr>
          <w:p>
            <w:r>
              <w:rPr>
                <w:rFonts w:ascii="Arial" w:hAnsi="Arial"/>
                <w:sz w:val="20"/>
              </w:rPr>
              <w:t>Integración con CCTV</w:t>
            </w:r>
          </w:p>
        </w:tc>
        <w:tc>
          <w:tcPr>
            <w:tcW w:type="dxa" w:w="2160"/>
          </w:tcPr>
          <w:p>
            <w:r>
              <w:rPr>
                <w:rFonts w:ascii="Arial" w:hAnsi="Arial"/>
                <w:sz w:val="20"/>
              </w:rPr>
              <w:t>El sistema debe integrarse con el subsistema CCTV (CC-01) para presentar automáticamente el video del punto de detección ante alerta. La integración debe permitir al operador verificar visualmente el incidente antes de despachar recursos.</w:t>
            </w:r>
          </w:p>
        </w:tc>
        <w:tc>
          <w:tcPr>
            <w:tcW w:type="dxa" w:w="2160"/>
          </w:tcPr>
          <w:p>
            <w:r>
              <w:rPr>
                <w:rFonts w:ascii="Arial" w:hAnsi="Arial"/>
                <w:sz w:val="20"/>
              </w:rPr>
              <w:t>La integración con CCTV reduce falsos positivos y permite a los operadores confirmar la naturaleza del incidente antes de activar protocolos costosos de respuesta de emergencia.</w:t>
            </w:r>
          </w:p>
        </w:tc>
      </w:tr>
      <w:tr>
        <w:tc>
          <w:tcPr>
            <w:tcW w:type="dxa" w:w="2160"/>
          </w:tcPr>
          <w:p>
            <w:r>
              <w:rPr>
                <w:rFonts w:ascii="Arial" w:hAnsi="Arial"/>
                <w:sz w:val="20"/>
              </w:rPr>
              <w:t>RF-08</w:t>
            </w:r>
          </w:p>
        </w:tc>
        <w:tc>
          <w:tcPr>
            <w:tcW w:type="dxa" w:w="2160"/>
          </w:tcPr>
          <w:p>
            <w:r>
              <w:rPr>
                <w:rFonts w:ascii="Arial" w:hAnsi="Arial"/>
                <w:sz w:val="20"/>
              </w:rPr>
              <w:t>Georeferenciación Precisa</w:t>
            </w:r>
          </w:p>
        </w:tc>
        <w:tc>
          <w:tcPr>
            <w:tcW w:type="dxa" w:w="2160"/>
          </w:tcPr>
          <w:p>
            <w:r>
              <w:rPr>
                <w:rFonts w:ascii="Arial" w:hAnsi="Arial"/>
                <w:sz w:val="20"/>
              </w:rPr>
              <w:t>Cada alerta debe incluir coordenadas GPS exactas del incidente (precisión &lt; 10 metros), identificación del punto kilométrico más cercano, y cámara de referencia.</w:t>
            </w:r>
          </w:p>
        </w:tc>
        <w:tc>
          <w:tcPr>
            <w:tcW w:type="dxa" w:w="2160"/>
          </w:tcPr>
          <w:p>
            <w:r>
              <w:rPr>
                <w:rFonts w:ascii="Arial" w:hAnsi="Arial"/>
                <w:sz w:val="20"/>
              </w:rPr>
              <w:t>La georeferenciación precisa reduce el tiempo de llegada de unidades de emergencia, eliminando la búsqueda del punto del incidente en un corredor de 306 km.</w:t>
            </w:r>
          </w:p>
        </w:tc>
      </w:tr>
      <w:tr>
        <w:tc>
          <w:tcPr>
            <w:tcW w:type="dxa" w:w="2160"/>
          </w:tcPr>
          <w:p>
            <w:r>
              <w:rPr>
                <w:rFonts w:ascii="Arial" w:hAnsi="Arial"/>
                <w:sz w:val="20"/>
              </w:rPr>
              <w:t>RF-09</w:t>
            </w:r>
          </w:p>
        </w:tc>
        <w:tc>
          <w:tcPr>
            <w:tcW w:type="dxa" w:w="2160"/>
          </w:tcPr>
          <w:p>
            <w:r>
              <w:rPr>
                <w:rFonts w:ascii="Arial" w:hAnsi="Arial"/>
                <w:sz w:val="20"/>
              </w:rPr>
              <w:t>Evidencia Digital</w:t>
            </w:r>
          </w:p>
        </w:tc>
        <w:tc>
          <w:tcPr>
            <w:tcW w:type="dxa" w:w="2160"/>
          </w:tcPr>
          <w:p>
            <w:r>
              <w:rPr>
                <w:rFonts w:ascii="Arial" w:hAnsi="Arial"/>
                <w:sz w:val="20"/>
              </w:rPr>
              <w:t>El sistema debe capturar automáticamente imagen/video del incidente detectado, almacenándolo como evidencia. La evidencia debe incluir timestamp certificado, coordenadas GPS, y metadatos del evento.</w:t>
            </w:r>
          </w:p>
        </w:tc>
        <w:tc>
          <w:tcPr>
            <w:tcW w:type="dxa" w:w="2160"/>
          </w:tcPr>
          <w:p>
            <w:r>
              <w:rPr>
                <w:rFonts w:ascii="Arial" w:hAnsi="Arial"/>
                <w:sz w:val="20"/>
              </w:rPr>
              <w:t>La evidencia digital es fundamental para investigaciones posteriores de incidentes y para el entrenamiento continuo de los algoritmos de detección.</w:t>
            </w:r>
          </w:p>
        </w:tc>
      </w:tr>
      <w:tr>
        <w:tc>
          <w:tcPr>
            <w:tcW w:type="dxa" w:w="2160"/>
          </w:tcPr>
          <w:p>
            <w:r>
              <w:rPr>
                <w:rFonts w:ascii="Arial" w:hAnsi="Arial"/>
                <w:sz w:val="20"/>
              </w:rPr>
              <w:t>RF-10</w:t>
            </w:r>
          </w:p>
        </w:tc>
        <w:tc>
          <w:tcPr>
            <w:tcW w:type="dxa" w:w="2160"/>
          </w:tcPr>
          <w:p>
            <w:r>
              <w:rPr>
                <w:rFonts w:ascii="Arial" w:hAnsi="Arial"/>
                <w:sz w:val="20"/>
              </w:rPr>
              <w:t>Gestión de Falsos Positivos</w:t>
            </w:r>
          </w:p>
        </w:tc>
        <w:tc>
          <w:tcPr>
            <w:tcW w:type="dxa" w:w="2160"/>
          </w:tcPr>
          <w:p>
            <w:r>
              <w:rPr>
                <w:rFonts w:ascii="Arial" w:hAnsi="Arial"/>
                <w:sz w:val="20"/>
              </w:rPr>
              <w:t>El sistema debe incluir mecanismos de retroalimentación donde los operadores puedan marcar alertas como falsos positivos, alimentando el algoritmo de aprendizaje para reducir futuras detecciones erróneas.</w:t>
            </w:r>
          </w:p>
        </w:tc>
        <w:tc>
          <w:tcPr>
            <w:tcW w:type="dxa" w:w="2160"/>
          </w:tcPr>
          <w:p>
            <w:r>
              <w:rPr>
                <w:rFonts w:ascii="Arial" w:hAnsi="Arial"/>
                <w:sz w:val="20"/>
              </w:rPr>
              <w:t>La gestión activa de falsos positivos permite mejorar continuamente la precisión del sistema, reduciendo la fatiga de alertas en operadores y aumentando la confianza en el sistema.</w:t>
            </w:r>
          </w:p>
        </w:tc>
      </w:tr>
    </w:tbl>
    <w:p>
      <w:pPr>
        <w:pStyle w:val="Heading2"/>
      </w:pPr>
      <w:r>
        <w:t>8.2.5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w:t>
            </w:r>
          </w:p>
        </w:tc>
        <w:tc>
          <w:tcPr>
            <w:tcW w:type="dxa" w:w="2160"/>
          </w:tcPr>
          <w:p>
            <w:r>
              <w:rPr>
                <w:rFonts w:ascii="Arial" w:hAnsi="Arial"/>
                <w:b/>
                <w:sz w:val="20"/>
              </w:rPr>
              <w:t>Justificación</w:t>
            </w:r>
          </w:p>
        </w:tc>
      </w:tr>
      <w:tr>
        <w:tc>
          <w:tcPr>
            <w:tcW w:type="dxa" w:w="2160"/>
          </w:tcPr>
          <w:p>
            <w:r>
              <w:rPr>
                <w:rFonts w:ascii="Arial" w:hAnsi="Arial"/>
                <w:sz w:val="20"/>
              </w:rPr>
              <w:t>RNF-02</w:t>
            </w:r>
          </w:p>
        </w:tc>
        <w:tc>
          <w:tcPr>
            <w:tcW w:type="dxa" w:w="2160"/>
          </w:tcPr>
          <w:p>
            <w:r>
              <w:rPr>
                <w:rFonts w:ascii="Arial" w:hAnsi="Arial"/>
                <w:sz w:val="20"/>
              </w:rPr>
              <w:t>Latencia de Procesamiento</w:t>
            </w:r>
          </w:p>
        </w:tc>
        <w:tc>
          <w:tcPr>
            <w:tcW w:type="dxa" w:w="2160"/>
          </w:tcPr>
          <w:p>
            <w:r>
              <w:rPr>
                <w:rFonts w:ascii="Arial" w:hAnsi="Arial"/>
                <w:sz w:val="20"/>
              </w:rPr>
              <w:t>El tiempo desde la ocurrencia del incidente hasta la generación de la alerta debe ser &lt; 2 segundos en condiciones normales de red.</w:t>
            </w:r>
          </w:p>
        </w:tc>
        <w:tc>
          <w:tcPr>
            <w:tcW w:type="dxa" w:w="2160"/>
          </w:tcPr>
          <w:p>
            <w:r>
              <w:rPr>
                <w:rFonts w:ascii="Arial" w:hAnsi="Arial"/>
                <w:sz w:val="20"/>
              </w:rPr>
              <w:t>La latencia es crítica en incidentes de flujo contrario donde cada segundo cuenta para evitar colisiones frontales.</w:t>
            </w:r>
          </w:p>
        </w:tc>
      </w:tr>
      <w:tr>
        <w:tc>
          <w:tcPr>
            <w:tcW w:type="dxa" w:w="2160"/>
          </w:tcPr>
          <w:p>
            <w:r>
              <w:rPr>
                <w:rFonts w:ascii="Arial" w:hAnsi="Arial"/>
                <w:sz w:val="20"/>
              </w:rPr>
              <w:t>RNF-03</w:t>
            </w:r>
          </w:p>
        </w:tc>
        <w:tc>
          <w:tcPr>
            <w:tcW w:type="dxa" w:w="2160"/>
          </w:tcPr>
          <w:p>
            <w:r>
              <w:rPr>
                <w:rFonts w:ascii="Arial" w:hAnsi="Arial"/>
                <w:sz w:val="20"/>
              </w:rPr>
              <w:t>Disponibilidad</w:t>
            </w:r>
          </w:p>
        </w:tc>
        <w:tc>
          <w:tcPr>
            <w:tcW w:type="dxa" w:w="2160"/>
          </w:tcPr>
          <w:p>
            <w:r>
              <w:rPr>
                <w:rFonts w:ascii="Arial" w:hAnsi="Arial"/>
                <w:sz w:val="20"/>
              </w:rPr>
              <w:t>El sistema debe mantener disponibilidad ≥ 99.5%, excluyendo mantenimientos programados notificados con 48 horas de anticipación.</w:t>
            </w:r>
          </w:p>
        </w:tc>
        <w:tc>
          <w:tcPr>
            <w:tcW w:type="dxa" w:w="2160"/>
          </w:tcPr>
          <w:p>
            <w:r>
              <w:rPr>
                <w:rFonts w:ascii="Arial" w:hAnsi="Arial"/>
                <w:sz w:val="20"/>
              </w:rPr>
              <w:t>La disponibilidad asegura que el corredor esté protegido permanentemente. Una caída del sistema AID durante un incidente podría tener consecuencias fatales.</w:t>
            </w:r>
          </w:p>
        </w:tc>
      </w:tr>
      <w:tr>
        <w:tc>
          <w:tcPr>
            <w:tcW w:type="dxa" w:w="2160"/>
          </w:tcPr>
          <w:p>
            <w:r>
              <w:rPr>
                <w:rFonts w:ascii="Arial" w:hAnsi="Arial"/>
                <w:sz w:val="20"/>
              </w:rPr>
              <w:t>RNF-04</w:t>
            </w:r>
          </w:p>
        </w:tc>
        <w:tc>
          <w:tcPr>
            <w:tcW w:type="dxa" w:w="2160"/>
          </w:tcPr>
          <w:p>
            <w:r>
              <w:rPr>
                <w:rFonts w:ascii="Arial" w:hAnsi="Arial"/>
                <w:sz w:val="20"/>
              </w:rPr>
              <w:t>Capacidad de Escalabilidad</w:t>
            </w:r>
          </w:p>
        </w:tc>
        <w:tc>
          <w:tcPr>
            <w:tcW w:type="dxa" w:w="2160"/>
          </w:tcPr>
          <w:p>
            <w:r>
              <w:rPr>
                <w:rFonts w:ascii="Arial" w:hAnsi="Arial"/>
                <w:sz w:val="20"/>
              </w:rPr>
              <w:t>La arquitectura debe permitir adición de nuevos puntos de detección sin degradación del rendimiento existente, soportando ≥ 100 nodos de análisis en configuración final.</w:t>
            </w:r>
          </w:p>
        </w:tc>
        <w:tc>
          <w:tcPr>
            <w:tcW w:type="dxa" w:w="2160"/>
          </w:tcPr>
          <w:p>
            <w:r>
              <w:rPr>
                <w:rFonts w:ascii="Arial" w:hAnsi="Arial"/>
                <w:sz w:val="20"/>
              </w:rPr>
              <w:t>El corredor puede requerir mayor densidad de detección en el futuro. La escalabilidad garantiza que la inversión inicial no requiera reemplazo ante crecimiento.</w:t>
            </w:r>
          </w:p>
        </w:tc>
      </w:tr>
      <w:tr>
        <w:tc>
          <w:tcPr>
            <w:tcW w:type="dxa" w:w="2160"/>
          </w:tcPr>
          <w:p>
            <w:r>
              <w:rPr>
                <w:rFonts w:ascii="Arial" w:hAnsi="Arial"/>
                <w:sz w:val="20"/>
              </w:rPr>
              <w:t>RNF-05</w:t>
            </w:r>
          </w:p>
        </w:tc>
        <w:tc>
          <w:tcPr>
            <w:tcW w:type="dxa" w:w="2160"/>
          </w:tcPr>
          <w:p>
            <w:r>
              <w:rPr>
                <w:rFonts w:ascii="Arial" w:hAnsi="Arial"/>
                <w:sz w:val="20"/>
              </w:rPr>
              <w:t>Ciberseguridad</w:t>
            </w:r>
          </w:p>
        </w:tc>
        <w:tc>
          <w:tcPr>
            <w:tcW w:type="dxa" w:w="2160"/>
          </w:tcPr>
          <w:p>
            <w:r>
              <w:rPr>
                <w:rFonts w:ascii="Arial" w:hAnsi="Arial"/>
                <w:sz w:val="20"/>
              </w:rPr>
              <w:t>El sistema debe implementar cifrado TLS 1.3 para comunicaciones, autenticación de dispositivos, y segmentación de red para prevenir accesos no autorizados a los motores de análisis.</w:t>
            </w:r>
          </w:p>
        </w:tc>
        <w:tc>
          <w:tcPr>
            <w:tcW w:type="dxa" w:w="2160"/>
          </w:tcPr>
          <w:p>
            <w:r>
              <w:rPr>
                <w:rFonts w:ascii="Arial" w:hAnsi="Arial"/>
                <w:sz w:val="20"/>
              </w:rPr>
              <w:t>Los motores de análisis de video son componentes críticos. Un compromiso podría desactivar la detección de incidentes o generar falsas alertas masivas.</w:t>
            </w:r>
          </w:p>
        </w:tc>
      </w:tr>
      <w:tr>
        <w:tc>
          <w:tcPr>
            <w:tcW w:type="dxa" w:w="2160"/>
          </w:tcPr>
          <w:p>
            <w:r>
              <w:rPr>
                <w:rFonts w:ascii="Arial" w:hAnsi="Arial"/>
                <w:sz w:val="20"/>
              </w:rPr>
              <w:t>RNF-06</w:t>
            </w:r>
          </w:p>
        </w:tc>
        <w:tc>
          <w:tcPr>
            <w:tcW w:type="dxa" w:w="2160"/>
          </w:tcPr>
          <w:p>
            <w:r>
              <w:rPr>
                <w:rFonts w:ascii="Arial" w:hAnsi="Arial"/>
                <w:sz w:val="20"/>
              </w:rPr>
              <w:t>Tolerancia Ambiental</w:t>
            </w:r>
          </w:p>
        </w:tc>
        <w:tc>
          <w:tcPr>
            <w:tcW w:type="dxa" w:w="2160"/>
          </w:tcPr>
          <w:p>
            <w:r>
              <w:rPr>
                <w:rFonts w:ascii="Arial" w:hAnsi="Arial"/>
                <w:sz w:val="20"/>
              </w:rPr>
              <w:t>Los nodos de edge deben operar en rango térmico -20°C a +60°C con IP65 de protección.</w:t>
            </w:r>
          </w:p>
        </w:tc>
        <w:tc>
          <w:tcPr>
            <w:tcW w:type="dxa" w:w="2160"/>
          </w:tcPr>
          <w:p>
            <w:r>
              <w:rPr>
                <w:rFonts w:ascii="Arial" w:hAnsi="Arial"/>
                <w:sz w:val="20"/>
              </w:rPr>
              <w:t>El corredor atraviesa zonas con condiciones climáticas diversas. Los nodos de edge deben operar confiablemente en todas las condiciones.</w:t>
            </w:r>
          </w:p>
        </w:tc>
      </w:tr>
      <w:tr>
        <w:tc>
          <w:tcPr>
            <w:tcW w:type="dxa" w:w="2160"/>
          </w:tcPr>
          <w:p>
            <w:r>
              <w:rPr>
                <w:rFonts w:ascii="Arial" w:hAnsi="Arial"/>
                <w:sz w:val="20"/>
              </w:rPr>
              <w:t>RNF-07</w:t>
            </w:r>
          </w:p>
        </w:tc>
        <w:tc>
          <w:tcPr>
            <w:tcW w:type="dxa" w:w="2160"/>
          </w:tcPr>
          <w:p>
            <w:r>
              <w:rPr>
                <w:rFonts w:ascii="Arial" w:hAnsi="Arial"/>
                <w:sz w:val="20"/>
              </w:rPr>
              <w:t>Privacidad y Protección de Datos</w:t>
            </w:r>
          </w:p>
        </w:tc>
        <w:tc>
          <w:tcPr>
            <w:tcW w:type="dxa" w:w="2160"/>
          </w:tcPr>
          <w:p>
            <w:r>
              <w:rPr>
                <w:rFonts w:ascii="Arial" w:hAnsi="Arial"/>
                <w:sz w:val="20"/>
              </w:rPr>
              <w:t>El sistema debe cumplir Ley 1581 de 2012, anonimizando rostros de conductores y peatones en las imágenes de evidencia almacenadas.</w:t>
            </w:r>
          </w:p>
        </w:tc>
        <w:tc>
          <w:tcPr>
            <w:tcW w:type="dxa" w:w="2160"/>
          </w:tcPr>
          <w:p>
            <w:r>
              <w:rPr>
                <w:rFonts w:ascii="Arial" w:hAnsi="Arial"/>
                <w:sz w:val="20"/>
              </w:rPr>
              <w:t>El cumplimiento normativo es obligatorio. La detección de incidentes no debe comprometer la privacidad de los usuarios de la vía.</w:t>
            </w:r>
          </w:p>
        </w:tc>
      </w:tr>
    </w:tbl>
    <w:p>
      <w:pPr>
        <w:pStyle w:val="Heading2"/>
      </w:pPr>
      <w:r>
        <w:t>8.2.6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ID</w:t>
            </w:r>
          </w:p>
        </w:tc>
        <w:tc>
          <w:tcPr>
            <w:tcW w:type="dxa" w:w="1728"/>
          </w:tcPr>
          <w:p>
            <w:r>
              <w:rPr>
                <w:rFonts w:ascii="Arial" w:hAnsi="Arial"/>
                <w:b/>
                <w:sz w:val="20"/>
              </w:rPr>
              <w:t>Indicador</w:t>
            </w:r>
          </w:p>
        </w:tc>
        <w:tc>
          <w:tcPr>
            <w:tcW w:type="dxa" w:w="1728"/>
          </w:tcPr>
          <w:p>
            <w:r>
              <w:rPr>
                <w:rFonts w:ascii="Arial" w:hAnsi="Arial"/>
                <w:b/>
                <w:sz w:val="20"/>
              </w:rPr>
              <w:t>Descripción</w:t>
            </w:r>
          </w:p>
        </w:tc>
        <w:tc>
          <w:tcPr>
            <w:tcW w:type="dxa" w:w="1728"/>
          </w:tcPr>
          <w:p>
            <w:r>
              <w:rPr>
                <w:rFonts w:ascii="Arial" w:hAnsi="Arial"/>
                <w:b/>
                <w:sz w:val="20"/>
              </w:rPr>
              <w:t>Meta</w:t>
            </w:r>
          </w:p>
        </w:tc>
        <w:tc>
          <w:tcPr>
            <w:tcW w:type="dxa" w:w="1728"/>
          </w:tcPr>
          <w:p>
            <w:r>
              <w:rPr>
                <w:rFonts w:ascii="Arial" w:hAnsi="Arial"/>
                <w:b/>
                <w:sz w:val="20"/>
              </w:rPr>
              <w:t>Frecuencia</w:t>
            </w:r>
          </w:p>
        </w:tc>
      </w:tr>
      <w:tr>
        <w:tc>
          <w:tcPr>
            <w:tcW w:type="dxa" w:w="1728"/>
          </w:tcPr>
          <w:p>
            <w:r>
              <w:rPr>
                <w:rFonts w:ascii="Arial" w:hAnsi="Arial"/>
                <w:sz w:val="20"/>
              </w:rPr>
              <w:t>KPI-02</w:t>
            </w:r>
          </w:p>
        </w:tc>
        <w:tc>
          <w:tcPr>
            <w:tcW w:type="dxa" w:w="1728"/>
          </w:tcPr>
          <w:p>
            <w:r>
              <w:rPr>
                <w:rFonts w:ascii="Arial" w:hAnsi="Arial"/>
                <w:sz w:val="20"/>
              </w:rPr>
              <w:t>Tasa de Falsos Positivos</w:t>
            </w:r>
          </w:p>
        </w:tc>
        <w:tc>
          <w:tcPr>
            <w:tcW w:type="dxa" w:w="1728"/>
          </w:tcPr>
          <w:p>
            <w:r>
              <w:rPr>
                <w:rFonts w:ascii="Arial" w:hAnsi="Arial"/>
                <w:sz w:val="20"/>
              </w:rPr>
              <w:t>Alertas sin incidente real / Total alertas</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KPI-03</w:t>
            </w:r>
          </w:p>
        </w:tc>
        <w:tc>
          <w:tcPr>
            <w:tcW w:type="dxa" w:w="1728"/>
          </w:tcPr>
          <w:p>
            <w:r>
              <w:rPr>
                <w:rFonts w:ascii="Arial" w:hAnsi="Arial"/>
                <w:sz w:val="20"/>
              </w:rPr>
              <w:t>Latencia Promedio</w:t>
            </w:r>
          </w:p>
        </w:tc>
        <w:tc>
          <w:tcPr>
            <w:tcW w:type="dxa" w:w="1728"/>
          </w:tcPr>
          <w:p>
            <w:r>
              <w:rPr>
                <w:rFonts w:ascii="Arial" w:hAnsi="Arial"/>
                <w:sz w:val="20"/>
              </w:rPr>
              <w:t>Tiempo detección a alerta</w:t>
            </w:r>
          </w:p>
        </w:tc>
        <w:tc>
          <w:tcPr>
            <w:tcW w:type="dxa" w:w="1728"/>
          </w:tcPr>
          <w:p>
            <w:r>
              <w:rPr>
                <w:rFonts w:ascii="Arial" w:hAnsi="Arial"/>
                <w:sz w:val="20"/>
              </w:rPr>
              <w:t>&lt; 2 segundos</w:t>
            </w:r>
          </w:p>
        </w:tc>
        <w:tc>
          <w:tcPr>
            <w:tcW w:type="dxa" w:w="1728"/>
          </w:tcPr>
          <w:p>
            <w:r>
              <w:rPr>
                <w:rFonts w:ascii="Arial" w:hAnsi="Arial"/>
                <w:sz w:val="20"/>
              </w:rPr>
              <w:t>Continua</w:t>
            </w:r>
          </w:p>
        </w:tc>
      </w:tr>
      <w:tr>
        <w:tc>
          <w:tcPr>
            <w:tcW w:type="dxa" w:w="1728"/>
          </w:tcPr>
          <w:p>
            <w:r>
              <w:rPr>
                <w:rFonts w:ascii="Arial" w:hAnsi="Arial"/>
                <w:sz w:val="20"/>
              </w:rPr>
              <w:t>KPI-04</w:t>
            </w:r>
          </w:p>
        </w:tc>
        <w:tc>
          <w:tcPr>
            <w:tcW w:type="dxa" w:w="1728"/>
          </w:tcPr>
          <w:p>
            <w:r>
              <w:rPr>
                <w:rFonts w:ascii="Arial" w:hAnsi="Arial"/>
                <w:sz w:val="20"/>
              </w:rPr>
              <w:t>Disponibilidad del Sistema</w:t>
            </w:r>
          </w:p>
        </w:tc>
        <w:tc>
          <w:tcPr>
            <w:tcW w:type="dxa" w:w="1728"/>
          </w:tcPr>
          <w:p>
            <w:r>
              <w:rPr>
                <w:rFonts w:ascii="Arial" w:hAnsi="Arial"/>
                <w:sz w:val="20"/>
              </w:rPr>
              <w:t>Tiempo operativo del sistema AID</w:t>
            </w:r>
          </w:p>
        </w:tc>
        <w:tc>
          <w:tcPr>
            <w:tcW w:type="dxa" w:w="1728"/>
          </w:tcPr>
          <w:p>
            <w:r>
              <w:rPr>
                <w:rFonts w:ascii="Arial" w:hAnsi="Arial"/>
                <w:sz w:val="20"/>
              </w:rPr>
              <w:t>≥ 99.5%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Precisión Geográfica</w:t>
            </w:r>
          </w:p>
        </w:tc>
        <w:tc>
          <w:tcPr>
            <w:tcW w:type="dxa" w:w="1728"/>
          </w:tcPr>
          <w:p>
            <w:r>
              <w:rPr>
                <w:rFonts w:ascii="Arial" w:hAnsi="Arial"/>
                <w:sz w:val="20"/>
              </w:rPr>
              <w:t>Distancia entre detección y ubicación real</w:t>
            </w:r>
          </w:p>
        </w:tc>
        <w:tc>
          <w:tcPr>
            <w:tcW w:type="dxa" w:w="1728"/>
          </w:tcPr>
          <w:p>
            <w:r>
              <w:rPr>
                <w:rFonts w:ascii="Arial" w:hAnsi="Arial"/>
                <w:sz w:val="20"/>
              </w:rPr>
              <w:t>&lt; 10 metros</w:t>
            </w:r>
          </w:p>
        </w:tc>
        <w:tc>
          <w:tcPr>
            <w:tcW w:type="dxa" w:w="1728"/>
          </w:tcPr>
          <w:p>
            <w:r>
              <w:rPr>
                <w:rFonts w:ascii="Arial" w:hAnsi="Arial"/>
                <w:sz w:val="20"/>
              </w:rPr>
              <w:t>Trimestral</w:t>
            </w:r>
          </w:p>
        </w:tc>
      </w:tr>
      <w:tr>
        <w:tc>
          <w:tcPr>
            <w:tcW w:type="dxa" w:w="1728"/>
          </w:tcPr>
          <w:p>
            <w:r>
              <w:rPr>
                <w:rFonts w:ascii="Arial" w:hAnsi="Arial"/>
                <w:sz w:val="20"/>
              </w:rPr>
              <w:t>KPI-06</w:t>
            </w:r>
          </w:p>
        </w:tc>
        <w:tc>
          <w:tcPr>
            <w:tcW w:type="dxa" w:w="1728"/>
          </w:tcPr>
          <w:p>
            <w:r>
              <w:rPr>
                <w:rFonts w:ascii="Arial" w:hAnsi="Arial"/>
                <w:sz w:val="20"/>
              </w:rPr>
              <w:t>Tiempo de Respuesta CCO</w:t>
            </w:r>
          </w:p>
        </w:tc>
        <w:tc>
          <w:tcPr>
            <w:tcW w:type="dxa" w:w="1728"/>
          </w:tcPr>
          <w:p>
            <w:r>
              <w:rPr>
                <w:rFonts w:ascii="Arial" w:hAnsi="Arial"/>
                <w:sz w:val="20"/>
              </w:rPr>
              <w:t>Tiempo desde alerta hasta acción del operador</w:t>
            </w:r>
          </w:p>
        </w:tc>
        <w:tc>
          <w:tcPr>
            <w:tcW w:type="dxa" w:w="1728"/>
          </w:tcPr>
          <w:p>
            <w:r>
              <w:rPr>
                <w:rFonts w:ascii="Arial" w:hAnsi="Arial"/>
                <w:sz w:val="20"/>
              </w:rPr>
              <w:t>&lt; 30 segundos</w:t>
            </w:r>
          </w:p>
        </w:tc>
        <w:tc>
          <w:tcPr>
            <w:tcW w:type="dxa" w:w="1728"/>
          </w:tcPr>
          <w:p>
            <w:r>
              <w:rPr>
                <w:rFonts w:ascii="Arial" w:hAnsi="Arial"/>
                <w:sz w:val="20"/>
              </w:rPr>
              <w:t>Mensual</w:t>
            </w:r>
          </w:p>
        </w:tc>
      </w:tr>
      <w:tr>
        <w:tc>
          <w:tcPr>
            <w:tcW w:type="dxa" w:w="1728"/>
          </w:tcPr>
          <w:p>
            <w:r>
              <w:rPr>
                <w:rFonts w:ascii="Arial" w:hAnsi="Arial"/>
                <w:sz w:val="20"/>
              </w:rPr>
              <w:t>KPI-07</w:t>
            </w:r>
          </w:p>
        </w:tc>
        <w:tc>
          <w:tcPr>
            <w:tcW w:type="dxa" w:w="1728"/>
          </w:tcPr>
          <w:p>
            <w:r>
              <w:rPr>
                <w:rFonts w:ascii="Arial" w:hAnsi="Arial"/>
                <w:sz w:val="20"/>
              </w:rPr>
              <w:t>Reducción de Accidentes Secundarios</w:t>
            </w:r>
          </w:p>
        </w:tc>
        <w:tc>
          <w:tcPr>
            <w:tcW w:type="dxa" w:w="1728"/>
          </w:tcPr>
          <w:p>
            <w:r>
              <w:rPr>
                <w:rFonts w:ascii="Arial" w:hAnsi="Arial"/>
                <w:sz w:val="20"/>
              </w:rPr>
              <w:t>Comparación año a año en tramos con AID</w:t>
            </w:r>
          </w:p>
        </w:tc>
        <w:tc>
          <w:tcPr>
            <w:tcW w:type="dxa" w:w="1728"/>
          </w:tcPr>
          <w:p>
            <w:r>
              <w:rPr>
                <w:rFonts w:ascii="Arial" w:hAnsi="Arial"/>
                <w:sz w:val="20"/>
              </w:rPr>
              <w:t>≥ 15%</w:t>
            </w:r>
          </w:p>
        </w:tc>
        <w:tc>
          <w:tcPr>
            <w:tcW w:type="dxa" w:w="1728"/>
          </w:tcPr>
          <w:p>
            <w:r>
              <w:rPr>
                <w:rFonts w:ascii="Arial" w:hAnsi="Arial"/>
                <w:sz w:val="20"/>
              </w:rPr>
              <w:t>Anual</w:t>
            </w:r>
          </w:p>
        </w:tc>
      </w:tr>
      <w:tr>
        <w:tc>
          <w:tcPr>
            <w:tcW w:type="dxa" w:w="1728"/>
          </w:tcPr>
          <w:p>
            <w:r>
              <w:rPr>
                <w:rFonts w:ascii="Arial" w:hAnsi="Arial"/>
                <w:sz w:val="20"/>
              </w:rPr>
              <w:t>KPI-08</w:t>
            </w:r>
          </w:p>
        </w:tc>
        <w:tc>
          <w:tcPr>
            <w:tcW w:type="dxa" w:w="1728"/>
          </w:tcPr>
          <w:p>
            <w:r>
              <w:rPr>
                <w:rFonts w:ascii="Arial" w:hAnsi="Arial"/>
                <w:sz w:val="20"/>
              </w:rPr>
              <w:t>Satisfacción de Operadores</w:t>
            </w:r>
          </w:p>
        </w:tc>
        <w:tc>
          <w:tcPr>
            <w:tcW w:type="dxa" w:w="1728"/>
          </w:tcPr>
          <w:p>
            <w:r>
              <w:rPr>
                <w:rFonts w:ascii="Arial" w:hAnsi="Arial"/>
                <w:sz w:val="20"/>
              </w:rPr>
              <w:t>Evaluación de utilidad del sistema</w:t>
            </w:r>
          </w:p>
        </w:tc>
        <w:tc>
          <w:tcPr>
            <w:tcW w:type="dxa" w:w="1728"/>
          </w:tcPr>
          <w:p>
            <w:r>
              <w:rPr>
                <w:rFonts w:ascii="Arial" w:hAnsi="Arial"/>
                <w:sz w:val="20"/>
              </w:rPr>
              <w:t>≥ 4.0/5.0</w:t>
            </w:r>
          </w:p>
        </w:tc>
        <w:tc>
          <w:tcPr>
            <w:tcW w:type="dxa" w:w="1728"/>
          </w:tcPr>
          <w:p>
            <w:r>
              <w:rPr>
                <w:rFonts w:ascii="Arial" w:hAnsi="Arial"/>
                <w:sz w:val="20"/>
              </w:rPr>
              <w:t>Semestral</w:t>
            </w:r>
          </w:p>
        </w:tc>
      </w:tr>
    </w:tbl>
    <w:p>
      <w:pPr>
        <w:pStyle w:val="Heading2"/>
      </w:pPr>
      <w:r>
        <w:t>8.2.7 Principales Casos de Uso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