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b/>
          <w:sz w:val="28"/>
        </w:rPr>
        <w:t>8.1 CC-01: CCTV (Vigilancia por Video)</w:t>
      </w:r>
    </w:p>
    <w:p>
      <w:pPr>
        <w:pStyle w:val="Heading1"/>
      </w:pPr>
      <w:r>
        <w:t>8.1 Resumen Ejecutivo</w:t>
      </w:r>
    </w:p>
    <w:p>
      <w:r>
        <w:rPr>
          <w:rFonts w:ascii="Arial" w:hAnsi="Arial"/>
          <w:sz w:val="22"/>
        </w:rPr>
        <w:t>El componente **CC-01 CCTV** constituye el sistema de percepción visual del corredor vial Chía–Girardot, proporcionando cobertura videográfica continua de alta definición para monitoreo, detección y verificación de eventos en tiempo real. Este subsistema fundamental habilita la capacidad de observación remota del estado de la infraestructura vial, el comportamiento del tráfico y la ocurrencia de incidentes que requieren atención del Centro de Control y Operaciones (CCO).</w:t>
        <w:br/>
        <w:br/>
        <w:t>La videovigilancia inteligente representa la capa base de percepción sobre la cual se construyen capacidades analíticas avanzadas, permitiendo a los operadores visualizar cualquier punto del corredor bajo demanda, verificar alertas generadas por otros subsistemas ITS, y recolectar evidencia objetiva para análisis forense y toma de decisiones.</w:t>
        <w:br/>
        <w:br/>
        <w:t>El sistema CC-01 se despliega estratégicamente a lo largo de los 306 km del corredor, cubriendo zonas críticas como intersecciones, puentes, viaductos, zonas de riesgo geotécnico y puntos de alta accidentalidad.</w:t>
        <w:br/>
        <w:br/>
        <w:t>---</w:t>
      </w:r>
    </w:p>
    <w:p>
      <w:pPr>
        <w:pStyle w:val="Heading1"/>
      </w:pPr>
      <w:r>
        <w:t>8.2 Descripción Funcional / Técnica</w:t>
      </w:r>
    </w:p>
    <w:p>
      <w:r>
        <w:rPr>
          <w:rFonts w:ascii="Arial" w:hAnsi="Arial"/>
          <w:sz w:val="22"/>
        </w:rPr>
        <w:br/>
        <w:t>El sistema CCTV comprende una red de cámaras de video desplegadas estratégicamente a lo largo del corredor, operando bajo una arquitectura de transmisión IP que transporta flujos de video hacia el Centro de Control y Operaciones. La solución integra diferentes tipologías de cámaras según los requerimientos específicos de cada ubicación: cámaras PTZ (Pan-Tilt-Zoom) para cobertura adaptable y seguimiento, cámaras fijas para vigilancia permanente de zonas específicas, y cámaras con capacidades analíticas integradas para detección inteligente.</w:t>
        <w:br/>
        <w:br/>
        <w:t>El subsistema opera las 24 horas del día, los 7 días de la semana, capturando video en resolución 4K (3840×2160) a 30 fps con compresión eficiente (H.265/HEVC) que optimiza el uso del ancho de banda sin degradación perceptible de calidad.</w:t>
        <w:br/>
        <w:br/>
        <w:t>---</w:t>
      </w:r>
    </w:p>
    <w:p>
      <w:pPr>
        <w:pStyle w:val="Heading1"/>
      </w:pPr>
      <w:r>
        <w:t>8.3 Justificación Estratégica</w:t>
      </w:r>
    </w:p>
    <w:p>
      <w:r>
        <w:rPr>
          <w:rFonts w:ascii="Arial" w:hAnsi="Arial"/>
          <w:sz w:val="22"/>
        </w:rPr>
        <w:t>La implementación de un sistema de videovigilancia robusto responde a la imposibilidad física de mantener presencia humana continua a lo largo de 306 km de corredor vial. La capacidad de observación remota permite que un número reducido de operadores en el CCO mantenga vigilancia visual sobre múltiples puntos simultáneamente, optimizando recursos humanos mientras maximiza la cobertura espacial.</w:t>
        <w:br/>
        <w:br/>
        <w:t>La videovigilancia habilita respuestas informadas ante incidentes: cuando un subsistema automático genera una alerta, el operador puede verificar visualmente la situación antes de despachar recursos de emergencia, evitando despliegues innecesarios por falsas alarmas.</w:t>
        <w:br/>
        <w:br/>
        <w:t>---</w:t>
      </w:r>
    </w:p>
    <w:p>
      <w:pPr>
        <w:pStyle w:val="Heading1"/>
      </w:pPr>
      <w:r>
        <w:t>8.4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b/>
                <w:sz w:val="20"/>
              </w:rPr>
              <w:t>Parámetro</w:t>
            </w:r>
          </w:p>
        </w:tc>
        <w:tc>
          <w:tcPr>
            <w:tcW w:type="dxa" w:w="4320"/>
          </w:tcPr>
          <w:p>
            <w:r>
              <w:rPr>
                <w:rFonts w:ascii="Arial" w:hAnsi="Arial"/>
                <w:b/>
                <w:sz w:val="20"/>
              </w:rPr>
              <w:t>Especificación Mínima</w:t>
            </w:r>
          </w:p>
        </w:tc>
      </w:tr>
      <w:tr>
        <w:tc>
          <w:tcPr>
            <w:tcW w:type="dxa" w:w="4320"/>
          </w:tcPr>
          <w:p>
            <w:r>
              <w:rPr>
                <w:rFonts w:ascii="Arial" w:hAnsi="Arial"/>
                <w:sz w:val="20"/>
              </w:rPr>
              <w:t>Resolución mínima aceptable</w:t>
            </w:r>
          </w:p>
        </w:tc>
        <w:tc>
          <w:tcPr>
            <w:tcW w:type="dxa" w:w="4320"/>
          </w:tcPr>
          <w:p>
            <w:r>
              <w:rPr>
                <w:rFonts w:ascii="Arial" w:hAnsi="Arial"/>
                <w:sz w:val="20"/>
              </w:rPr>
              <w:t>2K (2560×1440) @ 30 fps para cámaras secundarias</w:t>
            </w:r>
          </w:p>
        </w:tc>
      </w:tr>
      <w:tr>
        <w:tc>
          <w:tcPr>
            <w:tcW w:type="dxa" w:w="4320"/>
          </w:tcPr>
          <w:p>
            <w:r>
              <w:rPr>
                <w:rFonts w:ascii="Arial" w:hAnsi="Arial"/>
                <w:sz w:val="20"/>
              </w:rPr>
              <w:t>Formato de compresión</w:t>
            </w:r>
          </w:p>
        </w:tc>
        <w:tc>
          <w:tcPr>
            <w:tcW w:type="dxa" w:w="4320"/>
          </w:tcPr>
          <w:p>
            <w:r>
              <w:rPr>
                <w:rFonts w:ascii="Arial" w:hAnsi="Arial"/>
                <w:sz w:val="20"/>
              </w:rPr>
              <w:t>H.265/HEVC primario, H.264/AVC secundario</w:t>
            </w:r>
          </w:p>
        </w:tc>
      </w:tr>
      <w:tr>
        <w:tc>
          <w:tcPr>
            <w:tcW w:type="dxa" w:w="4320"/>
          </w:tcPr>
          <w:p>
            <w:r>
              <w:rPr>
                <w:rFonts w:ascii="Arial" w:hAnsi="Arial"/>
                <w:sz w:val="20"/>
              </w:rPr>
              <w:t>Tasa de bits por cámara</w:t>
            </w:r>
          </w:p>
        </w:tc>
        <w:tc>
          <w:tcPr>
            <w:tcW w:type="dxa" w:w="4320"/>
          </w:tcPr>
          <w:p>
            <w:r>
              <w:rPr>
                <w:rFonts w:ascii="Arial" w:hAnsi="Arial"/>
                <w:sz w:val="20"/>
              </w:rPr>
              <w:t>8-25 Mbps según resolución y nivel de actividad</w:t>
            </w:r>
          </w:p>
        </w:tc>
      </w:tr>
      <w:tr>
        <w:tc>
          <w:tcPr>
            <w:tcW w:type="dxa" w:w="4320"/>
          </w:tcPr>
          <w:p>
            <w:r>
              <w:rPr>
                <w:rFonts w:ascii="Arial" w:hAnsi="Arial"/>
                <w:sz w:val="20"/>
              </w:rPr>
              <w:t>Latencia de transmisión</w:t>
            </w:r>
          </w:p>
        </w:tc>
        <w:tc>
          <w:tcPr>
            <w:tcW w:type="dxa" w:w="4320"/>
          </w:tcPr>
          <w:p>
            <w:r>
              <w:rPr>
                <w:rFonts w:ascii="Arial" w:hAnsi="Arial"/>
                <w:sz w:val="20"/>
              </w:rPr>
              <w:t>&lt; 500 ms desde captura hasta visualización en CCO</w:t>
            </w:r>
          </w:p>
        </w:tc>
      </w:tr>
      <w:tr>
        <w:tc>
          <w:tcPr>
            <w:tcW w:type="dxa" w:w="4320"/>
          </w:tcPr>
          <w:p>
            <w:r>
              <w:rPr>
                <w:rFonts w:ascii="Arial" w:hAnsi="Arial"/>
                <w:sz w:val="20"/>
              </w:rPr>
              <w:t>Rango dinámico</w:t>
            </w:r>
          </w:p>
        </w:tc>
        <w:tc>
          <w:tcPr>
            <w:tcW w:type="dxa" w:w="4320"/>
          </w:tcPr>
          <w:p>
            <w:r>
              <w:rPr>
                <w:rFonts w:ascii="Arial" w:hAnsi="Arial"/>
                <w:sz w:val="20"/>
              </w:rPr>
              <w:t>HDR/WDR ≥ 120 dB para condiciones de contraluz extremo</w:t>
            </w:r>
          </w:p>
        </w:tc>
      </w:tr>
      <w:tr>
        <w:tc>
          <w:tcPr>
            <w:tcW w:type="dxa" w:w="4320"/>
          </w:tcPr>
          <w:p>
            <w:r>
              <w:rPr>
                <w:rFonts w:ascii="Arial" w:hAnsi="Arial"/>
                <w:sz w:val="20"/>
              </w:rPr>
              <w:t>Visión nocturna</w:t>
            </w:r>
          </w:p>
        </w:tc>
        <w:tc>
          <w:tcPr>
            <w:tcW w:type="dxa" w:w="4320"/>
          </w:tcPr>
          <w:p>
            <w:r>
              <w:rPr>
                <w:rFonts w:ascii="Arial" w:hAnsi="Arial"/>
                <w:sz w:val="20"/>
              </w:rPr>
              <w:t>IR inteligente con alcance ≥ 100 m para cámaras exteriores</w:t>
            </w:r>
          </w:p>
        </w:tc>
      </w:tr>
      <w:tr>
        <w:tc>
          <w:tcPr>
            <w:tcW w:type="dxa" w:w="4320"/>
          </w:tcPr>
          <w:p>
            <w:r>
              <w:rPr>
                <w:rFonts w:ascii="Arial" w:hAnsi="Arial"/>
                <w:sz w:val="20"/>
              </w:rPr>
              <w:t>Protección ambiental</w:t>
            </w:r>
          </w:p>
        </w:tc>
        <w:tc>
          <w:tcPr>
            <w:tcW w:type="dxa" w:w="4320"/>
          </w:tcPr>
          <w:p>
            <w:r>
              <w:rPr>
                <w:rFonts w:ascii="Arial" w:hAnsi="Arial"/>
                <w:sz w:val="20"/>
              </w:rPr>
              <w:t>IP66/67 para equipos de exterior, IP54 para interior</w:t>
            </w:r>
          </w:p>
        </w:tc>
      </w:tr>
      <w:tr>
        <w:tc>
          <w:tcPr>
            <w:tcW w:type="dxa" w:w="4320"/>
          </w:tcPr>
          <w:p>
            <w:r>
              <w:rPr>
                <w:rFonts w:ascii="Arial" w:hAnsi="Arial"/>
                <w:sz w:val="20"/>
              </w:rPr>
              <w:t>Rango térmico operativo</w:t>
            </w:r>
          </w:p>
        </w:tc>
        <w:tc>
          <w:tcPr>
            <w:tcW w:type="dxa" w:w="4320"/>
          </w:tcPr>
          <w:p>
            <w:r>
              <w:rPr>
                <w:rFonts w:ascii="Arial" w:hAnsi="Arial"/>
                <w:sz w:val="20"/>
              </w:rPr>
              <w:t>-30°C a +60°C con funcionamiento continuo garantizado</w:t>
            </w:r>
          </w:p>
        </w:tc>
      </w:tr>
      <w:tr>
        <w:tc>
          <w:tcPr>
            <w:tcW w:type="dxa" w:w="4320"/>
          </w:tcPr>
          <w:p>
            <w:r>
              <w:rPr>
                <w:rFonts w:ascii="Arial" w:hAnsi="Arial"/>
                <w:sz w:val="20"/>
              </w:rPr>
              <w:t>Alimentación</w:t>
            </w:r>
          </w:p>
        </w:tc>
        <w:tc>
          <w:tcPr>
            <w:tcW w:type="dxa" w:w="4320"/>
          </w:tcPr>
          <w:p>
            <w:r>
              <w:rPr>
                <w:rFonts w:ascii="Arial" w:hAnsi="Arial"/>
                <w:sz w:val="20"/>
              </w:rPr>
              <w:t>PoE++ (IEEE 802.3bt, 60W) o 24VAC/24VDC con respaldo UPS</w:t>
            </w:r>
          </w:p>
        </w:tc>
      </w:tr>
      <w:tr>
        <w:tc>
          <w:tcPr>
            <w:tcW w:type="dxa" w:w="4320"/>
          </w:tcPr>
          <w:p>
            <w:r>
              <w:rPr>
                <w:rFonts w:ascii="Arial" w:hAnsi="Arial"/>
                <w:sz w:val="20"/>
              </w:rPr>
              <w:t>Capacidades PTZ</w:t>
            </w:r>
          </w:p>
        </w:tc>
        <w:tc>
          <w:tcPr>
            <w:tcW w:type="dxa" w:w="4320"/>
          </w:tcPr>
          <w:p>
            <w:r>
              <w:rPr>
                <w:rFonts w:ascii="Arial" w:hAnsi="Arial"/>
                <w:sz w:val="20"/>
              </w:rPr>
              <w:t>Pan 360°, Tilt ±90°, Zoom óptico ≥ 30x para cámaras motorizadas</w:t>
            </w:r>
          </w:p>
        </w:tc>
      </w:tr>
      <w:tr>
        <w:tc>
          <w:tcPr>
            <w:tcW w:type="dxa" w:w="4320"/>
          </w:tcPr>
          <w:p>
            <w:r>
              <w:rPr>
                <w:rFonts w:ascii="Arial" w:hAnsi="Arial"/>
                <w:sz w:val="20"/>
              </w:rPr>
              <w:t>Analítica integrada</w:t>
            </w:r>
          </w:p>
        </w:tc>
        <w:tc>
          <w:tcPr>
            <w:tcW w:type="dxa" w:w="4320"/>
          </w:tcPr>
          <w:p>
            <w:r>
              <w:rPr>
                <w:rFonts w:ascii="Arial" w:hAnsi="Arial"/>
                <w:sz w:val="20"/>
              </w:rPr>
              <w:t>Detección de intrusión, cruce de línea, permanencia, dirección</w:t>
            </w:r>
          </w:p>
        </w:tc>
      </w:tr>
      <w:tr>
        <w:tc>
          <w:tcPr>
            <w:tcW w:type="dxa" w:w="4320"/>
          </w:tcPr>
          <w:p>
            <w:r>
              <w:rPr>
                <w:rFonts w:ascii="Arial" w:hAnsi="Arial"/>
                <w:sz w:val="20"/>
              </w:rPr>
              <w:t>Protocolos de red</w:t>
            </w:r>
          </w:p>
        </w:tc>
        <w:tc>
          <w:tcPr>
            <w:tcW w:type="dxa" w:w="4320"/>
          </w:tcPr>
          <w:p>
            <w:r>
              <w:rPr>
                <w:rFonts w:ascii="Arial" w:hAnsi="Arial"/>
                <w:sz w:val="20"/>
              </w:rPr>
              <w:t>ONVIF Profile S/G, RTSP, RTMP, SIP para integraciones</w:t>
            </w:r>
          </w:p>
        </w:tc>
      </w:tr>
      <w:tr>
        <w:tc>
          <w:tcPr>
            <w:tcW w:type="dxa" w:w="4320"/>
          </w:tcPr>
          <w:p>
            <w:r>
              <w:rPr>
                <w:rFonts w:ascii="Arial" w:hAnsi="Arial"/>
                <w:sz w:val="20"/>
              </w:rPr>
              <w:t>Ciberseguridad</w:t>
            </w:r>
          </w:p>
        </w:tc>
        <w:tc>
          <w:tcPr>
            <w:tcW w:type="dxa" w:w="4320"/>
          </w:tcPr>
          <w:p>
            <w:r>
              <w:rPr>
                <w:rFonts w:ascii="Arial" w:hAnsi="Arial"/>
                <w:sz w:val="20"/>
              </w:rPr>
              <w:t>Cifrado TLS 1.3, autenticación IEEE 802.1X, certificados X.509</w:t>
            </w:r>
          </w:p>
        </w:tc>
      </w:tr>
      <w:tr>
        <w:tc>
          <w:tcPr>
            <w:tcW w:type="dxa" w:w="4320"/>
          </w:tcPr>
          <w:p>
            <w:r>
              <w:rPr>
                <w:rFonts w:ascii="Arial" w:hAnsi="Arial"/>
                <w:sz w:val="20"/>
              </w:rPr>
              <w:t>Almacenamiento local</w:t>
            </w:r>
          </w:p>
        </w:tc>
        <w:tc>
          <w:tcPr>
            <w:tcW w:type="dxa" w:w="4320"/>
          </w:tcPr>
          <w:p>
            <w:r>
              <w:rPr>
                <w:rFonts w:ascii="Arial" w:hAnsi="Arial"/>
                <w:sz w:val="20"/>
              </w:rPr>
              <w:t>Slot para microSD ≥ 256 GB como respaldo ante falla de red</w:t>
            </w:r>
          </w:p>
        </w:tc>
      </w:tr>
      <w:tr>
        <w:tc>
          <w:tcPr>
            <w:tcW w:type="dxa" w:w="4320"/>
          </w:tcPr>
          <w:p>
            <w:r>
              <w:rPr>
                <w:rFonts w:ascii="Arial" w:hAnsi="Arial"/>
                <w:sz w:val="20"/>
              </w:rPr>
              <w:t>Gestión de VMS</w:t>
            </w:r>
          </w:p>
        </w:tc>
        <w:tc>
          <w:tcPr>
            <w:tcW w:type="dxa" w:w="4320"/>
          </w:tcPr>
          <w:p>
            <w:r>
              <w:rPr>
                <w:rFonts w:ascii="Arial" w:hAnsi="Arial"/>
                <w:sz w:val="20"/>
              </w:rPr>
              <w:t>Compatible con plataformas Milestone, Genetec, Honeywell, o VMS propio</w:t>
            </w:r>
          </w:p>
        </w:tc>
      </w:tr>
      <w:tr>
        <w:tc>
          <w:tcPr>
            <w:tcW w:type="dxa" w:w="4320"/>
          </w:tcPr>
          <w:p>
            <w:r>
              <w:rPr>
                <w:rFonts w:ascii="Arial" w:hAnsi="Arial"/>
                <w:sz w:val="20"/>
              </w:rPr>
              <w:t>Tasa de cuadros</w:t>
            </w:r>
          </w:p>
        </w:tc>
        <w:tc>
          <w:tcPr>
            <w:tcW w:type="dxa" w:w="4320"/>
          </w:tcPr>
          <w:p>
            <w:r>
              <w:rPr>
                <w:rFonts w:ascii="Arial" w:hAnsi="Arial"/>
                <w:sz w:val="20"/>
              </w:rPr>
              <w:t>30 fps configurable, con modo 60 fps para cámaras de alta velocidad</w:t>
            </w:r>
          </w:p>
        </w:tc>
      </w:tr>
      <w:tr>
        <w:tc>
          <w:tcPr>
            <w:tcW w:type="dxa" w:w="4320"/>
          </w:tcPr>
          <w:p>
            <w:r>
              <w:rPr>
                <w:rFonts w:ascii="Arial" w:hAnsi="Arial"/>
                <w:sz w:val="20"/>
              </w:rPr>
              <w:t>Campo visual</w:t>
            </w:r>
          </w:p>
        </w:tc>
        <w:tc>
          <w:tcPr>
            <w:tcW w:type="dxa" w:w="4320"/>
          </w:tcPr>
          <w:p>
            <w:r>
              <w:rPr>
                <w:rFonts w:ascii="Arial" w:hAnsi="Arial"/>
                <w:sz w:val="20"/>
              </w:rPr>
              <w:t>≥ 90° horizontal para cámaras fijas de cobertura general</w:t>
            </w:r>
          </w:p>
        </w:tc>
      </w:tr>
      <w:tr>
        <w:tc>
          <w:tcPr>
            <w:tcW w:type="dxa" w:w="4320"/>
          </w:tcPr>
          <w:p>
            <w:r>
              <w:rPr>
                <w:rFonts w:ascii="Arial" w:hAnsi="Arial"/>
                <w:sz w:val="20"/>
              </w:rPr>
              <w:t>Resistencia a impactos</w:t>
            </w:r>
          </w:p>
        </w:tc>
        <w:tc>
          <w:tcPr>
            <w:tcW w:type="dxa" w:w="4320"/>
          </w:tcPr>
          <w:p>
            <w:r>
              <w:rPr>
                <w:rFonts w:ascii="Arial" w:hAnsi="Arial"/>
                <w:sz w:val="20"/>
              </w:rPr>
              <w:t>IK10 para zonas vulnerables a vandalismo</w:t>
            </w:r>
          </w:p>
        </w:tc>
      </w:tr>
    </w:tbl>
    <w:p>
      <w:pPr>
        <w:pStyle w:val="Heading1"/>
      </w:pPr>
      <w:r>
        <w:t>8.5 Requerimientos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b/>
                <w:sz w:val="20"/>
              </w:rPr>
              <w:t>ID</w:t>
            </w:r>
          </w:p>
        </w:tc>
        <w:tc>
          <w:tcPr>
            <w:tcW w:type="dxa" w:w="2160"/>
          </w:tcPr>
          <w:p>
            <w:r>
              <w:rPr>
                <w:rFonts w:ascii="Arial" w:hAnsi="Arial"/>
                <w:b/>
                <w:sz w:val="20"/>
              </w:rPr>
              <w:t>Nombre</w:t>
            </w:r>
          </w:p>
        </w:tc>
        <w:tc>
          <w:tcPr>
            <w:tcW w:type="dxa" w:w="2160"/>
          </w:tcPr>
          <w:p>
            <w:r>
              <w:rPr>
                <w:rFonts w:ascii="Arial" w:hAnsi="Arial"/>
                <w:b/>
                <w:sz w:val="20"/>
              </w:rPr>
              <w:t>Descripción Funcional / Técnica</w:t>
            </w:r>
          </w:p>
        </w:tc>
        <w:tc>
          <w:tcPr>
            <w:tcW w:type="dxa" w:w="2160"/>
          </w:tcPr>
          <w:p>
            <w:r>
              <w:rPr>
                <w:rFonts w:ascii="Arial" w:hAnsi="Arial"/>
                <w:b/>
                <w:sz w:val="20"/>
              </w:rPr>
              <w:t>Justificación Estratégica</w:t>
            </w:r>
          </w:p>
        </w:tc>
      </w:tr>
      <w:tr>
        <w:tc>
          <w:tcPr>
            <w:tcW w:type="dxa" w:w="2160"/>
          </w:tcPr>
          <w:p>
            <w:r>
              <w:rPr>
                <w:rFonts w:ascii="Arial" w:hAnsi="Arial"/>
                <w:sz w:val="20"/>
              </w:rPr>
              <w:t>RF-02</w:t>
            </w:r>
          </w:p>
        </w:tc>
        <w:tc>
          <w:tcPr>
            <w:tcW w:type="dxa" w:w="2160"/>
          </w:tcPr>
          <w:p>
            <w:r>
              <w:rPr>
                <w:rFonts w:ascii="Arial" w:hAnsi="Arial"/>
                <w:sz w:val="20"/>
              </w:rPr>
              <w:t>Visualización Remota en el CCO</w:t>
            </w:r>
          </w:p>
        </w:tc>
        <w:tc>
          <w:tcPr>
            <w:tcW w:type="dxa" w:w="2160"/>
          </w:tcPr>
          <w:p>
            <w:r>
              <w:rPr>
                <w:rFonts w:ascii="Arial" w:hAnsi="Arial"/>
                <w:sz w:val="20"/>
              </w:rPr>
              <w:t>Los operadores del CCO deben poder visualizar cualquier cámara del corredor bajo demanda mediante interfaz gráfica intuitiva. La interfaz debe permitir visualización individual, mosaicos configurables (1x1, 2x2, 3x3, 4x4), y modos de patrullaje automático que roten entre cámaras predefinidas. La selección de cámaras debe ser posible mediante mapa interactivo del corredor, lista jerárquica por segmento, o búsqueda por ID.</w:t>
            </w:r>
          </w:p>
        </w:tc>
        <w:tc>
          <w:tcPr>
            <w:tcW w:type="dxa" w:w="2160"/>
          </w:tcPr>
          <w:p>
            <w:r>
              <w:rPr>
                <w:rFonts w:ascii="Arial" w:hAnsi="Arial"/>
                <w:sz w:val="20"/>
              </w:rPr>
              <w:t>La capacidad de visualización flexible permite que los operadores adapten la interfaz a diferentes escenarios operativos: monitoreo general con múltiples cámaras simultáneas, o atención focalizada a un incidente específico con visualización full-screen.</w:t>
            </w:r>
          </w:p>
        </w:tc>
      </w:tr>
      <w:tr>
        <w:tc>
          <w:tcPr>
            <w:tcW w:type="dxa" w:w="2160"/>
          </w:tcPr>
          <w:p>
            <w:r>
              <w:rPr>
                <w:rFonts w:ascii="Arial" w:hAnsi="Arial"/>
                <w:sz w:val="20"/>
              </w:rPr>
              <w:t>RF-03</w:t>
            </w:r>
          </w:p>
        </w:tc>
        <w:tc>
          <w:tcPr>
            <w:tcW w:type="dxa" w:w="2160"/>
          </w:tcPr>
          <w:p>
            <w:r>
              <w:rPr>
                <w:rFonts w:ascii="Arial" w:hAnsi="Arial"/>
                <w:sz w:val="20"/>
              </w:rPr>
              <w:t>Control PTZ Remoto</w:t>
            </w:r>
          </w:p>
        </w:tc>
        <w:tc>
          <w:tcPr>
            <w:tcW w:type="dxa" w:w="2160"/>
          </w:tcPr>
          <w:p>
            <w:r>
              <w:rPr>
                <w:rFonts w:ascii="Arial" w:hAnsi="Arial"/>
                <w:sz w:val="20"/>
              </w:rPr>
              <w:t>Las cámaras PTZ deben ser controlables remotamente desde el CCO con precisión de 0.1° en movimientos pan/tilt. El control debe incluir funciones de zoom óptico, enfoque automático/manual, ajuste de iris, y activación de iluminación IR. El sistema debe soportar guarda-tours programables y funciones de presets.</w:t>
            </w:r>
          </w:p>
        </w:tc>
        <w:tc>
          <w:tcPr>
            <w:tcW w:type="dxa" w:w="2160"/>
          </w:tcPr>
          <w:p>
            <w:r>
              <w:rPr>
                <w:rFonts w:ascii="Arial" w:hAnsi="Arial"/>
                <w:sz w:val="20"/>
              </w:rPr>
              <w:t>El control PTZ remoto multiplica la efectividad de cada cámara al permitir cobertura adaptativa. Un operador puede seguir visualmente un vehículo sospechoso a lo largo del corredor saltando entre cámaras.</w:t>
            </w:r>
          </w:p>
        </w:tc>
      </w:tr>
      <w:tr>
        <w:tc>
          <w:tcPr>
            <w:tcW w:type="dxa" w:w="2160"/>
          </w:tcPr>
          <w:p>
            <w:r>
              <w:rPr>
                <w:rFonts w:ascii="Arial" w:hAnsi="Arial"/>
                <w:sz w:val="20"/>
              </w:rPr>
              <w:t>RF-04</w:t>
            </w:r>
          </w:p>
        </w:tc>
        <w:tc>
          <w:tcPr>
            <w:tcW w:type="dxa" w:w="2160"/>
          </w:tcPr>
          <w:p>
            <w:r>
              <w:rPr>
                <w:rFonts w:ascii="Arial" w:hAnsi="Arial"/>
                <w:sz w:val="20"/>
              </w:rPr>
              <w:t>Grabación Continua y por Evento</w:t>
            </w:r>
          </w:p>
        </w:tc>
        <w:tc>
          <w:tcPr>
            <w:tcW w:type="dxa" w:w="2160"/>
          </w:tcPr>
          <w:p>
            <w:r>
              <w:rPr>
                <w:rFonts w:ascii="Arial" w:hAnsi="Arial"/>
                <w:sz w:val="20"/>
              </w:rPr>
              <w:t>El sistema debe grabar video continuamente de todas las cámaras con retención mínima de 30 días. Adicionalmente, debe soportar grabación por evento con pre-alarm (5-10 segundos antes del evento) y post-alarm (tiempo configurable). Los eventos que activan grabación prioritaria incluyen: detecciones de AID (CC-02), activación de botones SOS (CC-04), alarmas de sensores ambientales (CC-06), y comandos manuales del operador.</w:t>
            </w:r>
          </w:p>
        </w:tc>
        <w:tc>
          <w:tcPr>
            <w:tcW w:type="dxa" w:w="2160"/>
          </w:tcPr>
          <w:p>
            <w:r>
              <w:rPr>
                <w:rFonts w:ascii="Arial" w:hAnsi="Arial"/>
                <w:sz w:val="20"/>
              </w:rPr>
              <w:t>La grabación continua proporciona contexto histórico completo para investigaciones, mientras que la grabación por evento optimiza el almacenamiento y facilita la búsqueda de momentos críticos. La capacidad de pre-alarm es esencial porque captura el desarrollo del evento desde su inicio, no solo desde la detección.</w:t>
            </w:r>
          </w:p>
        </w:tc>
      </w:tr>
      <w:tr>
        <w:tc>
          <w:tcPr>
            <w:tcW w:type="dxa" w:w="2160"/>
          </w:tcPr>
          <w:p>
            <w:r>
              <w:rPr>
                <w:rFonts w:ascii="Arial" w:hAnsi="Arial"/>
                <w:sz w:val="20"/>
              </w:rPr>
              <w:t>RF-05</w:t>
            </w:r>
          </w:p>
        </w:tc>
        <w:tc>
          <w:tcPr>
            <w:tcW w:type="dxa" w:w="2160"/>
          </w:tcPr>
          <w:p>
            <w:r>
              <w:rPr>
                <w:rFonts w:ascii="Arial" w:hAnsi="Arial"/>
                <w:sz w:val="20"/>
              </w:rPr>
              <w:t>Analítica de Video Integrada</w:t>
            </w:r>
          </w:p>
        </w:tc>
        <w:tc>
          <w:tcPr>
            <w:tcW w:type="dxa" w:w="2160"/>
          </w:tcPr>
          <w:p>
            <w:r>
              <w:rPr>
                <w:rFonts w:ascii="Arial" w:hAnsi="Arial"/>
                <w:sz w:val="20"/>
              </w:rPr>
              <w:t>Las cámaras o el VMS deben incluir capacidades analíticas de video para detección de intrusión en zonas delimitadas, cruce de líneas virtuales, detección de permanencia en áreas restringidas, detección de dirección de flujo contraria, y detección de objetos abandonados. Las analíticas deben ser configurables por cámara con umbrales de sensibilidad ajustables y zonas de detección definibles mediante polígonos.</w:t>
            </w:r>
          </w:p>
        </w:tc>
        <w:tc>
          <w:tcPr>
            <w:tcW w:type="dxa" w:w="2160"/>
          </w:tcPr>
          <w:p>
            <w:r>
              <w:rPr>
                <w:rFonts w:ascii="Arial" w:hAnsi="Arial"/>
                <w:sz w:val="20"/>
              </w:rPr>
              <w:t>Las analíticas integradas proporcionan capacidad de detección básica sin requerir el subsistema AID completo, ofreciendo redundancia y permitiendo detección en ubicaciones donde el análisis mediante IA de edge no es viable económicamente.</w:t>
            </w:r>
          </w:p>
        </w:tc>
      </w:tr>
      <w:tr>
        <w:tc>
          <w:tcPr>
            <w:tcW w:type="dxa" w:w="2160"/>
          </w:tcPr>
          <w:p>
            <w:r>
              <w:rPr>
                <w:rFonts w:ascii="Arial" w:hAnsi="Arial"/>
                <w:sz w:val="20"/>
              </w:rPr>
              <w:t>RF-06</w:t>
            </w:r>
          </w:p>
        </w:tc>
        <w:tc>
          <w:tcPr>
            <w:tcW w:type="dxa" w:w="2160"/>
          </w:tcPr>
          <w:p>
            <w:r>
              <w:rPr>
                <w:rFonts w:ascii="Arial" w:hAnsi="Arial"/>
                <w:sz w:val="20"/>
              </w:rPr>
              <w:t>Integración con Subsistemas ITS</w:t>
            </w:r>
          </w:p>
        </w:tc>
        <w:tc>
          <w:tcPr>
            <w:tcW w:type="dxa" w:w="2160"/>
          </w:tcPr>
          <w:p>
            <w:r>
              <w:rPr>
                <w:rFonts w:ascii="Arial" w:hAnsi="Arial"/>
                <w:sz w:val="20"/>
              </w:rPr>
              <w:t>El sistema CCTV debe integrarse nativamente con los subsistemas AID (CC-02) para análisis inteligente, DMS/VMS (CC-03) para presentación unificada, y el CCO (CC-19) para gestión centralizada. La integración debe permitir: visualización automática de cámara cercana ante alerta de otro subsistema, control bidireccional de comandos, y correlación temporal de eventos entre sistemas mediante timestamps sincronizados vía NTP.</w:t>
            </w:r>
          </w:p>
        </w:tc>
        <w:tc>
          <w:tcPr>
            <w:tcW w:type="dxa" w:w="2160"/>
          </w:tcPr>
          <w:p>
            <w:r>
              <w:rPr>
                <w:rFonts w:ascii="Arial" w:hAnsi="Arial"/>
                <w:sz w:val="20"/>
              </w:rPr>
              <w:t>La operación del corredor como sistema integrado requiere que los subsistemas trabajen coordinadamente. Cuando AID detecta un incidente, CCTV debe presentar automáticamente la cámara correspondiente sin intervención manual.</w:t>
            </w:r>
          </w:p>
        </w:tc>
      </w:tr>
      <w:tr>
        <w:tc>
          <w:tcPr>
            <w:tcW w:type="dxa" w:w="2160"/>
          </w:tcPr>
          <w:p>
            <w:r>
              <w:rPr>
                <w:rFonts w:ascii="Arial" w:hAnsi="Arial"/>
                <w:sz w:val="20"/>
              </w:rPr>
              <w:t>RF-07</w:t>
            </w:r>
          </w:p>
        </w:tc>
        <w:tc>
          <w:tcPr>
            <w:tcW w:type="dxa" w:w="2160"/>
          </w:tcPr>
          <w:p>
            <w:r>
              <w:rPr>
                <w:rFonts w:ascii="Arial" w:hAnsi="Arial"/>
                <w:sz w:val="20"/>
              </w:rPr>
              <w:t>Acceso Remoto Seguro</w:t>
            </w:r>
          </w:p>
        </w:tc>
        <w:tc>
          <w:tcPr>
            <w:tcW w:type="dxa" w:w="2160"/>
          </w:tcPr>
          <w:p>
            <w:r>
              <w:rPr>
                <w:rFonts w:ascii="Arial" w:hAnsi="Arial"/>
                <w:sz w:val="20"/>
              </w:rPr>
              <w:t>El sistema debe proporcionar capacidad de acceso remoto seguro para usuarios autorizados fuera del CCO, incluyendo: aplicación móvil para personal de campo, portal web para autoridades de tránsito, y API para integración con sistemas de emergencia. El acceso remoto debe implementar autenticación multifactor (MFA), control de acceso basado en roles (RBAC), y logging completo de sesiones.</w:t>
            </w:r>
          </w:p>
        </w:tc>
        <w:tc>
          <w:tcPr>
            <w:tcW w:type="dxa" w:w="2160"/>
          </w:tcPr>
          <w:p>
            <w:r>
              <w:rPr>
                <w:rFonts w:ascii="Arial" w:hAnsi="Arial"/>
                <w:sz w:val="20"/>
              </w:rPr>
              <w:t>El acceso remoto habilita que personal de campo verifique situaciones en ubicaciones específicas antes de llegar físicamente, y permite que autoridades externas visualicen la escena durante despacho.</w:t>
            </w:r>
          </w:p>
        </w:tc>
      </w:tr>
      <w:tr>
        <w:tc>
          <w:tcPr>
            <w:tcW w:type="dxa" w:w="2160"/>
          </w:tcPr>
          <w:p>
            <w:r>
              <w:rPr>
                <w:rFonts w:ascii="Arial" w:hAnsi="Arial"/>
                <w:sz w:val="20"/>
              </w:rPr>
              <w:t>RF-08</w:t>
            </w:r>
          </w:p>
        </w:tc>
        <w:tc>
          <w:tcPr>
            <w:tcW w:type="dxa" w:w="2160"/>
          </w:tcPr>
          <w:p>
            <w:r>
              <w:rPr>
                <w:rFonts w:ascii="Arial" w:hAnsi="Arial"/>
                <w:sz w:val="20"/>
              </w:rPr>
              <w:t>Respaldo y Recuperación ante Fallas</w:t>
            </w:r>
          </w:p>
        </w:tc>
        <w:tc>
          <w:tcPr>
            <w:tcW w:type="dxa" w:w="2160"/>
          </w:tcPr>
          <w:p>
            <w:r>
              <w:rPr>
                <w:rFonts w:ascii="Arial" w:hAnsi="Arial"/>
                <w:sz w:val="20"/>
              </w:rPr>
              <w:t>El sistema debe implementar redundancia en todos los componentes críticos: almacenamiento RAID con hot-spare, rutas de red diversas (fibra primaria, radio/celular backup), y alimentación con respaldo UPS + generador. Ante falla de transmisión al CCO, las cámaras deben almacenar localmente en microSD y sincronizar automáticamente al restablecerse la conectividad.</w:t>
            </w:r>
          </w:p>
        </w:tc>
        <w:tc>
          <w:tcPr>
            <w:tcW w:type="dxa" w:w="2160"/>
          </w:tcPr>
          <w:p>
            <w:r>
              <w:rPr>
                <w:rFonts w:ascii="Arial" w:hAnsi="Arial"/>
                <w:sz w:val="20"/>
              </w:rPr>
              <w:t>La disponibilidad 24/7 es crítica para seguridad vial. Un sistema de videovigilancia fuera de servicio durante un incidente representa riesgo operativo y potencial responsabilidad legal.</w:t>
            </w:r>
          </w:p>
        </w:tc>
      </w:tr>
      <w:tr>
        <w:tc>
          <w:tcPr>
            <w:tcW w:type="dxa" w:w="2160"/>
          </w:tcPr>
          <w:p>
            <w:r>
              <w:rPr>
                <w:rFonts w:ascii="Arial" w:hAnsi="Arial"/>
                <w:sz w:val="20"/>
              </w:rPr>
              <w:t>RF-09</w:t>
            </w:r>
          </w:p>
        </w:tc>
        <w:tc>
          <w:tcPr>
            <w:tcW w:type="dxa" w:w="2160"/>
          </w:tcPr>
          <w:p>
            <w:r>
              <w:rPr>
                <w:rFonts w:ascii="Arial" w:hAnsi="Arial"/>
                <w:sz w:val="20"/>
              </w:rPr>
              <w:t>Gestión Centralizada del Sistema</w:t>
            </w:r>
          </w:p>
        </w:tc>
        <w:tc>
          <w:tcPr>
            <w:tcW w:type="dxa" w:w="2160"/>
          </w:tcPr>
          <w:p>
            <w:r>
              <w:rPr>
                <w:rFonts w:ascii="Arial" w:hAnsi="Arial"/>
                <w:sz w:val="20"/>
              </w:rPr>
              <w:t>El VMS debe proporcionar capacidades de gestión centralizada: inventario automático de cámaras, monitoreo de estado operativo (health monitoring), gestión remota de configuraciones (firmware, parámetros de imagen, analíticas), y generación de reportes de disponibilidad. Las actualizaciones de firmware deben ser desplegables de forma remota y programable por lotes.</w:t>
            </w:r>
          </w:p>
        </w:tc>
        <w:tc>
          <w:tcPr>
            <w:tcW w:type="dxa" w:w="2160"/>
          </w:tcPr>
          <w:p>
            <w:r>
              <w:rPr>
                <w:rFonts w:ascii="Arial" w:hAnsi="Arial"/>
                <w:sz w:val="20"/>
              </w:rPr>
              <w:t>Un corredor de 306 km puede tener cientos de cámaras. La gestión individual de cada dispositivo sería inviable operativamente. La gestión centralizada reduce costos de mantenimiento.</w:t>
            </w:r>
          </w:p>
        </w:tc>
      </w:tr>
      <w:tr>
        <w:tc>
          <w:tcPr>
            <w:tcW w:type="dxa" w:w="2160"/>
          </w:tcPr>
          <w:p>
            <w:r>
              <w:rPr>
                <w:rFonts w:ascii="Arial" w:hAnsi="Arial"/>
                <w:sz w:val="20"/>
              </w:rPr>
              <w:t>RF-10</w:t>
            </w:r>
          </w:p>
        </w:tc>
        <w:tc>
          <w:tcPr>
            <w:tcW w:type="dxa" w:w="2160"/>
          </w:tcPr>
          <w:p>
            <w:r>
              <w:rPr>
                <w:rFonts w:ascii="Arial" w:hAnsi="Arial"/>
                <w:sz w:val="20"/>
              </w:rPr>
              <w:t>Cumplimiento Normativo y Forense</w:t>
            </w:r>
          </w:p>
        </w:tc>
        <w:tc>
          <w:tcPr>
            <w:tcW w:type="dxa" w:w="2160"/>
          </w:tcPr>
          <w:p>
            <w:r>
              <w:rPr>
                <w:rFonts w:ascii="Arial" w:hAnsi="Arial"/>
                <w:sz w:val="20"/>
              </w:rPr>
              <w:t>El sistema debe garantizar integridad de evidencia video mediante: timestamps certificados con fuente de tiempo segura (GNSS/NTP stratum 1), cadena de custodia digital para video exportado (hash criptográfico), y almacenamiento inmutable ante modificaciones. La exportación de video debe incluir metadatos completos.</w:t>
            </w:r>
          </w:p>
        </w:tc>
        <w:tc>
          <w:tcPr>
            <w:tcW w:type="dxa" w:w="2160"/>
          </w:tcPr>
          <w:p>
            <w:r>
              <w:rPr>
                <w:rFonts w:ascii="Arial" w:hAnsi="Arial"/>
                <w:sz w:val="20"/>
              </w:rPr>
              <w:t>El video de seguridad vial frecuentemente se requiere como evidencia en procesos judiciales. La cadena de custodia verificable y la integridad de timestamps son requisitos legales para que la evidencia sea admisible.</w:t>
            </w:r>
          </w:p>
        </w:tc>
      </w:tr>
    </w:tbl>
    <w:p>
      <w:pPr>
        <w:pStyle w:val="Heading1"/>
      </w:pPr>
      <w:r>
        <w:t>8.6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b/>
                <w:sz w:val="20"/>
              </w:rPr>
              <w:t>ID</w:t>
            </w:r>
          </w:p>
        </w:tc>
        <w:tc>
          <w:tcPr>
            <w:tcW w:type="dxa" w:w="2160"/>
          </w:tcPr>
          <w:p>
            <w:r>
              <w:rPr>
                <w:rFonts w:ascii="Arial" w:hAnsi="Arial"/>
                <w:b/>
                <w:sz w:val="20"/>
              </w:rPr>
              <w:t>Nombre</w:t>
            </w:r>
          </w:p>
        </w:tc>
        <w:tc>
          <w:tcPr>
            <w:tcW w:type="dxa" w:w="2160"/>
          </w:tcPr>
          <w:p>
            <w:r>
              <w:rPr>
                <w:rFonts w:ascii="Arial" w:hAnsi="Arial"/>
                <w:b/>
                <w:sz w:val="20"/>
              </w:rPr>
              <w:t>Descripción</w:t>
            </w:r>
          </w:p>
        </w:tc>
        <w:tc>
          <w:tcPr>
            <w:tcW w:type="dxa" w:w="2160"/>
          </w:tcPr>
          <w:p>
            <w:r>
              <w:rPr>
                <w:rFonts w:ascii="Arial" w:hAnsi="Arial"/>
                <w:b/>
                <w:sz w:val="20"/>
              </w:rPr>
              <w:t>Justificación</w:t>
            </w:r>
          </w:p>
        </w:tc>
      </w:tr>
      <w:tr>
        <w:tc>
          <w:tcPr>
            <w:tcW w:type="dxa" w:w="2160"/>
          </w:tcPr>
          <w:p>
            <w:r>
              <w:rPr>
                <w:rFonts w:ascii="Arial" w:hAnsi="Arial"/>
                <w:sz w:val="20"/>
              </w:rPr>
              <w:t>RNF-02</w:t>
            </w:r>
          </w:p>
        </w:tc>
        <w:tc>
          <w:tcPr>
            <w:tcW w:type="dxa" w:w="2160"/>
          </w:tcPr>
          <w:p>
            <w:r>
              <w:rPr>
                <w:rFonts w:ascii="Arial" w:hAnsi="Arial"/>
                <w:sz w:val="20"/>
              </w:rPr>
              <w:t>Ciclo de Vida y Obsolescencia</w:t>
            </w:r>
          </w:p>
        </w:tc>
        <w:tc>
          <w:tcPr>
            <w:tcW w:type="dxa" w:w="2160"/>
          </w:tcPr>
          <w:p>
            <w:r>
              <w:rPr>
                <w:rFonts w:ascii="Arial" w:hAnsi="Arial"/>
                <w:sz w:val="20"/>
              </w:rPr>
              <w:t>Los componentes del sistema (cámaras, switches, VMS) deben tener ciclo de vida útil ≥ 10 años con soporte técnico y repuestos garantizados por el fabricante durante ese período. El diseño debe considerar obsolescencia tecnológica permitiendo actualización de capacidades sin reemplazo completo de infraestructura.</w:t>
            </w:r>
          </w:p>
        </w:tc>
        <w:tc>
          <w:tcPr>
            <w:tcW w:type="dxa" w:w="2160"/>
          </w:tcPr>
          <w:p>
            <w:r>
              <w:rPr>
                <w:rFonts w:ascii="Arial" w:hAnsi="Arial"/>
                <w:sz w:val="20"/>
              </w:rPr>
              <w:t>La infraestructura de videovigilancia representa inversión significativa que debe amortizarse adecuadamente. Un ciclo de 10 años permite recuperación de inversión.</w:t>
            </w:r>
          </w:p>
        </w:tc>
      </w:tr>
      <w:tr>
        <w:tc>
          <w:tcPr>
            <w:tcW w:type="dxa" w:w="2160"/>
          </w:tcPr>
          <w:p>
            <w:r>
              <w:rPr>
                <w:rFonts w:ascii="Arial" w:hAnsi="Arial"/>
                <w:sz w:val="20"/>
              </w:rPr>
              <w:t>RNF-03</w:t>
            </w:r>
          </w:p>
        </w:tc>
        <w:tc>
          <w:tcPr>
            <w:tcW w:type="dxa" w:w="2160"/>
          </w:tcPr>
          <w:p>
            <w:r>
              <w:rPr>
                <w:rFonts w:ascii="Arial" w:hAnsi="Arial"/>
                <w:sz w:val="20"/>
              </w:rPr>
              <w:t>Consumo Energético y Eficiencia</w:t>
            </w:r>
          </w:p>
        </w:tc>
        <w:tc>
          <w:tcPr>
            <w:tcW w:type="dxa" w:w="2160"/>
          </w:tcPr>
          <w:p>
            <w:r>
              <w:rPr>
                <w:rFonts w:ascii="Arial" w:hAnsi="Arial"/>
                <w:sz w:val="20"/>
              </w:rPr>
              <w:t>Las cámaras deben operar con consumo ≤ 25W promedio en condiciones normales (sin IR), y ≤ 50W máximo con IR activado y PTZ en movimiento continuo. El diseño del sistema debe considerar eficiencia energética en todos los componentes.</w:t>
            </w:r>
          </w:p>
        </w:tc>
        <w:tc>
          <w:tcPr>
            <w:tcW w:type="dxa" w:w="2160"/>
          </w:tcPr>
          <w:p>
            <w:r>
              <w:rPr>
                <w:rFonts w:ascii="Arial" w:hAnsi="Arial"/>
                <w:sz w:val="20"/>
              </w:rPr>
              <w:t>Un corredor con 200+ cámaras puede consumir 5-10 kW continuos solo en videovigilancia. La eficiencia energética reduce costos operativos significativamente.</w:t>
            </w:r>
          </w:p>
        </w:tc>
      </w:tr>
      <w:tr>
        <w:tc>
          <w:tcPr>
            <w:tcW w:type="dxa" w:w="2160"/>
          </w:tcPr>
          <w:p>
            <w:r>
              <w:rPr>
                <w:rFonts w:ascii="Arial" w:hAnsi="Arial"/>
                <w:sz w:val="20"/>
              </w:rPr>
              <w:t>RNF-04</w:t>
            </w:r>
          </w:p>
        </w:tc>
        <w:tc>
          <w:tcPr>
            <w:tcW w:type="dxa" w:w="2160"/>
          </w:tcPr>
          <w:p>
            <w:r>
              <w:rPr>
                <w:rFonts w:ascii="Arial" w:hAnsi="Arial"/>
                <w:sz w:val="20"/>
              </w:rPr>
              <w:t>Ciberseguridad End-to-End</w:t>
            </w:r>
          </w:p>
        </w:tc>
        <w:tc>
          <w:tcPr>
            <w:tcW w:type="dxa" w:w="2160"/>
          </w:tcPr>
          <w:p>
            <w:r>
              <w:rPr>
                <w:rFonts w:ascii="Arial" w:hAnsi="Arial"/>
                <w:sz w:val="20"/>
              </w:rPr>
              <w:t>El sistema debe implementar defensa en profundidad: cámaras con firmware firmado digitalmente y verificación de integridad en boot, transmisión cifrada TLS 1.3, segmentación de red mediante VLANs y microsegmentación, autenticación 802.1X para dispositivos, y monitoreo continuo de anomalías de seguridad.</w:t>
            </w:r>
          </w:p>
        </w:tc>
        <w:tc>
          <w:tcPr>
            <w:tcW w:type="dxa" w:w="2160"/>
          </w:tcPr>
          <w:p>
            <w:r>
              <w:rPr>
                <w:rFonts w:ascii="Arial" w:hAnsi="Arial"/>
                <w:sz w:val="20"/>
              </w:rPr>
              <w:t>Las cámaras IoT son objetivos frecuentes de ciberataques. Un compromiso del sistema CCTV puede exponer información sensible de infraestructura crítica.</w:t>
            </w:r>
          </w:p>
        </w:tc>
      </w:tr>
      <w:tr>
        <w:tc>
          <w:tcPr>
            <w:tcW w:type="dxa" w:w="2160"/>
          </w:tcPr>
          <w:p>
            <w:r>
              <w:rPr>
                <w:rFonts w:ascii="Arial" w:hAnsi="Arial"/>
                <w:sz w:val="20"/>
              </w:rPr>
              <w:t>RNF-05</w:t>
            </w:r>
          </w:p>
        </w:tc>
        <w:tc>
          <w:tcPr>
            <w:tcW w:type="dxa" w:w="2160"/>
          </w:tcPr>
          <w:p>
            <w:r>
              <w:rPr>
                <w:rFonts w:ascii="Arial" w:hAnsi="Arial"/>
                <w:sz w:val="20"/>
              </w:rPr>
              <w:t>Escalabilidad Horizontal</w:t>
            </w:r>
          </w:p>
        </w:tc>
        <w:tc>
          <w:tcPr>
            <w:tcW w:type="dxa" w:w="2160"/>
          </w:tcPr>
          <w:p>
            <w:r>
              <w:rPr>
                <w:rFonts w:ascii="Arial" w:hAnsi="Arial"/>
                <w:sz w:val="20"/>
              </w:rPr>
              <w:t>La arquitectura debe permitir adición de nuevas cámaras sin degradación del sistema existente. El VMS debe soportar ≥ 500 cámaras en configuración final del corredor, con capacidad de distribución en múltiples servidores si es necesario.</w:t>
            </w:r>
          </w:p>
        </w:tc>
        <w:tc>
          <w:tcPr>
            <w:tcW w:type="dxa" w:w="2160"/>
          </w:tcPr>
          <w:p>
            <w:r>
              <w:rPr>
                <w:rFonts w:ascii="Arial" w:hAnsi="Arial"/>
                <w:sz w:val="20"/>
              </w:rPr>
              <w:t>El corredor puede expandirse o requerir mayor densidad de cobertura videográfica en el futuro. La escalabilidad horizontal garantiza que inversiones iniciales no requieran reemplazo ante crecimiento.</w:t>
            </w:r>
          </w:p>
        </w:tc>
      </w:tr>
      <w:tr>
        <w:tc>
          <w:tcPr>
            <w:tcW w:type="dxa" w:w="2160"/>
          </w:tcPr>
          <w:p>
            <w:r>
              <w:rPr>
                <w:rFonts w:ascii="Arial" w:hAnsi="Arial"/>
                <w:sz w:val="20"/>
              </w:rPr>
              <w:t>RNF-06</w:t>
            </w:r>
          </w:p>
        </w:tc>
        <w:tc>
          <w:tcPr>
            <w:tcW w:type="dxa" w:w="2160"/>
          </w:tcPr>
          <w:p>
            <w:r>
              <w:rPr>
                <w:rFonts w:ascii="Arial" w:hAnsi="Arial"/>
                <w:sz w:val="20"/>
              </w:rPr>
              <w:t>Tolerancia a Condiciones Ambientales</w:t>
            </w:r>
          </w:p>
        </w:tc>
        <w:tc>
          <w:tcPr>
            <w:tcW w:type="dxa" w:w="2160"/>
          </w:tcPr>
          <w:p>
            <w:r>
              <w:rPr>
                <w:rFonts w:ascii="Arial" w:hAnsi="Arial"/>
                <w:sz w:val="20"/>
              </w:rPr>
              <w:t>Las cámaras de exterior deben operar en rango térmico -30°C a +60°C con humedad relativa hasta 95% sin condensación interna. Deben resistir vibraciones de tráfico pesado, vientos sostenidos de 150 km/h, y lluvia horizontal intensa.</w:t>
            </w:r>
          </w:p>
        </w:tc>
        <w:tc>
          <w:tcPr>
            <w:tcW w:type="dxa" w:w="2160"/>
          </w:tcPr>
          <w:p>
            <w:r>
              <w:rPr>
                <w:rFonts w:ascii="Arial" w:hAnsi="Arial"/>
                <w:sz w:val="20"/>
              </w:rPr>
              <w:t>El corredor Chía–Girardot atraviesa zonas con condiciones climáticas diversas: altiplano con heladas, valles cálidos, y zonas de alta precipitación.</w:t>
            </w:r>
          </w:p>
        </w:tc>
      </w:tr>
      <w:tr>
        <w:tc>
          <w:tcPr>
            <w:tcW w:type="dxa" w:w="2160"/>
          </w:tcPr>
          <w:p>
            <w:r>
              <w:rPr>
                <w:rFonts w:ascii="Arial" w:hAnsi="Arial"/>
                <w:sz w:val="20"/>
              </w:rPr>
              <w:t>RNF-07</w:t>
            </w:r>
          </w:p>
        </w:tc>
        <w:tc>
          <w:tcPr>
            <w:tcW w:type="dxa" w:w="2160"/>
          </w:tcPr>
          <w:p>
            <w:r>
              <w:rPr>
                <w:rFonts w:ascii="Arial" w:hAnsi="Arial"/>
                <w:sz w:val="20"/>
              </w:rPr>
              <w:t>Cumplimiento Normativo Global</w:t>
            </w:r>
          </w:p>
        </w:tc>
        <w:tc>
          <w:tcPr>
            <w:tcW w:type="dxa" w:w="2160"/>
          </w:tcPr>
          <w:p>
            <w:r>
              <w:rPr>
                <w:rFonts w:ascii="Arial" w:hAnsi="Arial"/>
                <w:sz w:val="20"/>
              </w:rPr>
              <w:t>El sistema debe cumplir: Resolución 1090 de 2020 (Colombia - Sistemas ITS), Ley 1581 de 2012 (Protección de datos personales en video), estándares IEEE 802.3 para redes, y normas eléctricas RETIE. Las cámaras deben contar con certificación FCC (USA) o CE (Europa).</w:t>
            </w:r>
          </w:p>
        </w:tc>
        <w:tc>
          <w:tcPr>
            <w:tcW w:type="dxa" w:w="2160"/>
          </w:tcPr>
          <w:p>
            <w:r>
              <w:rPr>
                <w:rFonts w:ascii="Arial" w:hAnsi="Arial"/>
                <w:sz w:val="20"/>
              </w:rPr>
              <w:t>El cumplimiento normativo es obligatorio para operación legal en Colombia. La falta de certificaciones puede impedir la aprobación de proyectos por entidades controladoras.</w:t>
            </w:r>
          </w:p>
        </w:tc>
      </w:tr>
    </w:tbl>
    <w:p>
      <w:pPr>
        <w:pStyle w:val="Heading1"/>
      </w:pPr>
      <w:r>
        <w:t>8.7 Indicadores Clave De Rendimiento (KPIs)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b/>
                <w:sz w:val="20"/>
              </w:rPr>
              <w:t>ID</w:t>
            </w:r>
          </w:p>
        </w:tc>
        <w:tc>
          <w:tcPr>
            <w:tcW w:type="dxa" w:w="1728"/>
          </w:tcPr>
          <w:p>
            <w:r>
              <w:rPr>
                <w:rFonts w:ascii="Arial" w:hAnsi="Arial"/>
                <w:b/>
                <w:sz w:val="20"/>
              </w:rPr>
              <w:t>Indicador</w:t>
            </w:r>
          </w:p>
        </w:tc>
        <w:tc>
          <w:tcPr>
            <w:tcW w:type="dxa" w:w="1728"/>
          </w:tcPr>
          <w:p>
            <w:r>
              <w:rPr>
                <w:rFonts w:ascii="Arial" w:hAnsi="Arial"/>
                <w:b/>
                <w:sz w:val="20"/>
              </w:rPr>
              <w:t>Descripción</w:t>
            </w:r>
          </w:p>
        </w:tc>
        <w:tc>
          <w:tcPr>
            <w:tcW w:type="dxa" w:w="1728"/>
          </w:tcPr>
          <w:p>
            <w:r>
              <w:rPr>
                <w:rFonts w:ascii="Arial" w:hAnsi="Arial"/>
                <w:b/>
                <w:sz w:val="20"/>
              </w:rPr>
              <w:t>Meta</w:t>
            </w:r>
          </w:p>
        </w:tc>
        <w:tc>
          <w:tcPr>
            <w:tcW w:type="dxa" w:w="1728"/>
          </w:tcPr>
          <w:p>
            <w:r>
              <w:rPr>
                <w:rFonts w:ascii="Arial" w:hAnsi="Arial"/>
                <w:b/>
                <w:sz w:val="20"/>
              </w:rPr>
              <w:t>Frecuencia</w:t>
            </w:r>
          </w:p>
        </w:tc>
      </w:tr>
      <w:tr>
        <w:tc>
          <w:tcPr>
            <w:tcW w:type="dxa" w:w="1728"/>
          </w:tcPr>
          <w:p>
            <w:r>
              <w:rPr>
                <w:rFonts w:ascii="Arial" w:hAnsi="Arial"/>
                <w:sz w:val="20"/>
              </w:rPr>
              <w:t>KPI-02</w:t>
            </w:r>
          </w:p>
        </w:tc>
        <w:tc>
          <w:tcPr>
            <w:tcW w:type="dxa" w:w="1728"/>
          </w:tcPr>
          <w:p>
            <w:r>
              <w:rPr>
                <w:rFonts w:ascii="Arial" w:hAnsi="Arial"/>
                <w:sz w:val="20"/>
              </w:rPr>
              <w:t>Latencia de Video</w:t>
            </w:r>
          </w:p>
        </w:tc>
        <w:tc>
          <w:tcPr>
            <w:tcW w:type="dxa" w:w="1728"/>
          </w:tcPr>
          <w:p>
            <w:r>
              <w:rPr>
                <w:rFonts w:ascii="Arial" w:hAnsi="Arial"/>
                <w:sz w:val="20"/>
              </w:rPr>
              <w:t>Tiempo desde captura hasta visualización CCO</w:t>
            </w:r>
          </w:p>
        </w:tc>
        <w:tc>
          <w:tcPr>
            <w:tcW w:type="dxa" w:w="1728"/>
          </w:tcPr>
          <w:p>
            <w:r>
              <w:rPr>
                <w:rFonts w:ascii="Arial" w:hAnsi="Arial"/>
                <w:sz w:val="20"/>
              </w:rPr>
              <w:t>&lt; 500 ms</w:t>
            </w:r>
          </w:p>
        </w:tc>
        <w:tc>
          <w:tcPr>
            <w:tcW w:type="dxa" w:w="1728"/>
          </w:tcPr>
          <w:p>
            <w:r>
              <w:rPr>
                <w:rFonts w:ascii="Arial" w:hAnsi="Arial"/>
                <w:sz w:val="20"/>
              </w:rPr>
              <w:t>Continua</w:t>
            </w:r>
          </w:p>
        </w:tc>
      </w:tr>
      <w:tr>
        <w:tc>
          <w:tcPr>
            <w:tcW w:type="dxa" w:w="1728"/>
          </w:tcPr>
          <w:p>
            <w:r>
              <w:rPr>
                <w:rFonts w:ascii="Arial" w:hAnsi="Arial"/>
                <w:sz w:val="20"/>
              </w:rPr>
              <w:t>KPI-03</w:t>
            </w:r>
          </w:p>
        </w:tc>
        <w:tc>
          <w:tcPr>
            <w:tcW w:type="dxa" w:w="1728"/>
          </w:tcPr>
          <w:p>
            <w:r>
              <w:rPr>
                <w:rFonts w:ascii="Arial" w:hAnsi="Arial"/>
                <w:sz w:val="20"/>
              </w:rPr>
              <w:t>Calidad de Imagen</w:t>
            </w:r>
          </w:p>
        </w:tc>
        <w:tc>
          <w:tcPr>
            <w:tcW w:type="dxa" w:w="1728"/>
          </w:tcPr>
          <w:p>
            <w:r>
              <w:rPr>
                <w:rFonts w:ascii="Arial" w:hAnsi="Arial"/>
                <w:sz w:val="20"/>
              </w:rPr>
              <w:t>Resolución efectiva sin degradación por compresión</w:t>
            </w:r>
          </w:p>
        </w:tc>
        <w:tc>
          <w:tcPr>
            <w:tcW w:type="dxa" w:w="1728"/>
          </w:tcPr>
          <w:p>
            <w:r>
              <w:rPr>
                <w:rFonts w:ascii="Arial" w:hAnsi="Arial"/>
                <w:sz w:val="20"/>
              </w:rPr>
              <w:t>≥ 95%</w:t>
            </w:r>
          </w:p>
        </w:tc>
        <w:tc>
          <w:tcPr>
            <w:tcW w:type="dxa" w:w="1728"/>
          </w:tcPr>
          <w:p>
            <w:r>
              <w:rPr>
                <w:rFonts w:ascii="Arial" w:hAnsi="Arial"/>
                <w:sz w:val="20"/>
              </w:rPr>
              <w:t>Trimestral</w:t>
            </w:r>
          </w:p>
        </w:tc>
      </w:tr>
      <w:tr>
        <w:tc>
          <w:tcPr>
            <w:tcW w:type="dxa" w:w="1728"/>
          </w:tcPr>
          <w:p>
            <w:r>
              <w:rPr>
                <w:rFonts w:ascii="Arial" w:hAnsi="Arial"/>
                <w:sz w:val="20"/>
              </w:rPr>
              <w:t>KPI-04</w:t>
            </w:r>
          </w:p>
        </w:tc>
        <w:tc>
          <w:tcPr>
            <w:tcW w:type="dxa" w:w="1728"/>
          </w:tcPr>
          <w:p>
            <w:r>
              <w:rPr>
                <w:rFonts w:ascii="Arial" w:hAnsi="Arial"/>
                <w:sz w:val="20"/>
              </w:rPr>
              <w:t>Tasa de Falsos Positivos</w:t>
            </w:r>
          </w:p>
        </w:tc>
        <w:tc>
          <w:tcPr>
            <w:tcW w:type="dxa" w:w="1728"/>
          </w:tcPr>
          <w:p>
            <w:r>
              <w:rPr>
                <w:rFonts w:ascii="Arial" w:hAnsi="Arial"/>
                <w:sz w:val="20"/>
              </w:rPr>
              <w:t>Alertas analíticas sin evento real</w:t>
            </w:r>
          </w:p>
        </w:tc>
        <w:tc>
          <w:tcPr>
            <w:tcW w:type="dxa" w:w="1728"/>
          </w:tcPr>
          <w:p>
            <w:r>
              <w:rPr>
                <w:rFonts w:ascii="Arial" w:hAnsi="Arial"/>
                <w:sz w:val="20"/>
              </w:rPr>
              <w:t>&lt; 5%</w:t>
            </w:r>
          </w:p>
        </w:tc>
        <w:tc>
          <w:tcPr>
            <w:tcW w:type="dxa" w:w="1728"/>
          </w:tcPr>
          <w:p>
            <w:r>
              <w:rPr>
                <w:rFonts w:ascii="Arial" w:hAnsi="Arial"/>
                <w:sz w:val="20"/>
              </w:rPr>
              <w:t>Mensual</w:t>
            </w:r>
          </w:p>
        </w:tc>
      </w:tr>
      <w:tr>
        <w:tc>
          <w:tcPr>
            <w:tcW w:type="dxa" w:w="1728"/>
          </w:tcPr>
          <w:p>
            <w:r>
              <w:rPr>
                <w:rFonts w:ascii="Arial" w:hAnsi="Arial"/>
                <w:sz w:val="20"/>
              </w:rPr>
              <w:t>KPI-05</w:t>
            </w:r>
          </w:p>
        </w:tc>
        <w:tc>
          <w:tcPr>
            <w:tcW w:type="dxa" w:w="1728"/>
          </w:tcPr>
          <w:p>
            <w:r>
              <w:rPr>
                <w:rFonts w:ascii="Arial" w:hAnsi="Arial"/>
                <w:sz w:val="20"/>
              </w:rPr>
              <w:t>Cobertura Operativa</w:t>
            </w:r>
          </w:p>
        </w:tc>
        <w:tc>
          <w:tcPr>
            <w:tcW w:type="dxa" w:w="1728"/>
          </w:tcPr>
          <w:p>
            <w:r>
              <w:rPr>
                <w:rFonts w:ascii="Arial" w:hAnsi="Arial"/>
                <w:sz w:val="20"/>
              </w:rPr>
              <w:t>Cámaras funcionando / Total instalado</w:t>
            </w:r>
          </w:p>
        </w:tc>
        <w:tc>
          <w:tcPr>
            <w:tcW w:type="dxa" w:w="1728"/>
          </w:tcPr>
          <w:p>
            <w:r>
              <w:rPr>
                <w:rFonts w:ascii="Arial" w:hAnsi="Arial"/>
                <w:sz w:val="20"/>
              </w:rPr>
              <w:t>≥ 98%</w:t>
            </w:r>
          </w:p>
        </w:tc>
        <w:tc>
          <w:tcPr>
            <w:tcW w:type="dxa" w:w="1728"/>
          </w:tcPr>
          <w:p>
            <w:r>
              <w:rPr>
                <w:rFonts w:ascii="Arial" w:hAnsi="Arial"/>
                <w:sz w:val="20"/>
              </w:rPr>
              <w:t>Diaria</w:t>
            </w:r>
          </w:p>
        </w:tc>
      </w:tr>
      <w:tr>
        <w:tc>
          <w:tcPr>
            <w:tcW w:type="dxa" w:w="1728"/>
          </w:tcPr>
          <w:p>
            <w:r>
              <w:rPr>
                <w:rFonts w:ascii="Arial" w:hAnsi="Arial"/>
                <w:sz w:val="20"/>
              </w:rPr>
              <w:t>KPI-06</w:t>
            </w:r>
          </w:p>
        </w:tc>
        <w:tc>
          <w:tcPr>
            <w:tcW w:type="dxa" w:w="1728"/>
          </w:tcPr>
          <w:p>
            <w:r>
              <w:rPr>
                <w:rFonts w:ascii="Arial" w:hAnsi="Arial"/>
                <w:sz w:val="20"/>
              </w:rPr>
              <w:t>Tiempo de Recuperación MTTR</w:t>
            </w:r>
          </w:p>
        </w:tc>
        <w:tc>
          <w:tcPr>
            <w:tcW w:type="dxa" w:w="1728"/>
          </w:tcPr>
          <w:p>
            <w:r>
              <w:rPr>
                <w:rFonts w:ascii="Arial" w:hAnsi="Arial"/>
                <w:sz w:val="20"/>
              </w:rPr>
              <w:t>Tiempo medio de reparación ante falla</w:t>
            </w:r>
          </w:p>
        </w:tc>
        <w:tc>
          <w:tcPr>
            <w:tcW w:type="dxa" w:w="1728"/>
          </w:tcPr>
          <w:p>
            <w:r>
              <w:rPr>
                <w:rFonts w:ascii="Arial" w:hAnsi="Arial"/>
                <w:sz w:val="20"/>
              </w:rPr>
              <w:t>&lt; 4 horas</w:t>
            </w:r>
          </w:p>
        </w:tc>
        <w:tc>
          <w:tcPr>
            <w:tcW w:type="dxa" w:w="1728"/>
          </w:tcPr>
          <w:p>
            <w:r>
              <w:rPr>
                <w:rFonts w:ascii="Arial" w:hAnsi="Arial"/>
                <w:sz w:val="20"/>
              </w:rPr>
              <w:t>Por incidente</w:t>
            </w:r>
          </w:p>
        </w:tc>
      </w:tr>
      <w:tr>
        <w:tc>
          <w:tcPr>
            <w:tcW w:type="dxa" w:w="1728"/>
          </w:tcPr>
          <w:p>
            <w:r>
              <w:rPr>
                <w:rFonts w:ascii="Arial" w:hAnsi="Arial"/>
                <w:sz w:val="20"/>
              </w:rPr>
              <w:t>KPI-07</w:t>
            </w:r>
          </w:p>
        </w:tc>
        <w:tc>
          <w:tcPr>
            <w:tcW w:type="dxa" w:w="1728"/>
          </w:tcPr>
          <w:p>
            <w:r>
              <w:rPr>
                <w:rFonts w:ascii="Arial" w:hAnsi="Arial"/>
                <w:sz w:val="20"/>
              </w:rPr>
              <w:t>Satisfacción de Usuario</w:t>
            </w:r>
          </w:p>
        </w:tc>
        <w:tc>
          <w:tcPr>
            <w:tcW w:type="dxa" w:w="1728"/>
          </w:tcPr>
          <w:p>
            <w:r>
              <w:rPr>
                <w:rFonts w:ascii="Arial" w:hAnsi="Arial"/>
                <w:sz w:val="20"/>
              </w:rPr>
              <w:t>Evaluación operadores del CCO</w:t>
            </w:r>
          </w:p>
        </w:tc>
        <w:tc>
          <w:tcPr>
            <w:tcW w:type="dxa" w:w="1728"/>
          </w:tcPr>
          <w:p>
            <w:r>
              <w:rPr>
                <w:rFonts w:ascii="Arial" w:hAnsi="Arial"/>
                <w:sz w:val="20"/>
              </w:rPr>
              <w:t>≥ 4.0/5.0</w:t>
            </w:r>
          </w:p>
        </w:tc>
        <w:tc>
          <w:tcPr>
            <w:tcW w:type="dxa" w:w="1728"/>
          </w:tcPr>
          <w:p>
            <w:r>
              <w:rPr>
                <w:rFonts w:ascii="Arial" w:hAnsi="Arial"/>
                <w:sz w:val="20"/>
              </w:rPr>
              <w:t>Semestral</w:t>
            </w:r>
          </w:p>
        </w:tc>
      </w:tr>
      <w:tr>
        <w:tc>
          <w:tcPr>
            <w:tcW w:type="dxa" w:w="1728"/>
          </w:tcPr>
          <w:p>
            <w:r>
              <w:rPr>
                <w:rFonts w:ascii="Arial" w:hAnsi="Arial"/>
                <w:sz w:val="20"/>
              </w:rPr>
              <w:t>KPI-08</w:t>
            </w:r>
          </w:p>
        </w:tc>
        <w:tc>
          <w:tcPr>
            <w:tcW w:type="dxa" w:w="1728"/>
          </w:tcPr>
          <w:p>
            <w:r>
              <w:rPr>
                <w:rFonts w:ascii="Arial" w:hAnsi="Arial"/>
                <w:sz w:val="20"/>
              </w:rPr>
              <w:t>Eficiencia Energética</w:t>
            </w:r>
          </w:p>
        </w:tc>
        <w:tc>
          <w:tcPr>
            <w:tcW w:type="dxa" w:w="1728"/>
          </w:tcPr>
          <w:p>
            <w:r>
              <w:rPr>
                <w:rFonts w:ascii="Arial" w:hAnsi="Arial"/>
                <w:sz w:val="20"/>
              </w:rPr>
              <w:t>Consumo promedio por cámara</w:t>
            </w:r>
          </w:p>
        </w:tc>
        <w:tc>
          <w:tcPr>
            <w:tcW w:type="dxa" w:w="1728"/>
          </w:tcPr>
          <w:p>
            <w:r>
              <w:rPr>
                <w:rFonts w:ascii="Arial" w:hAnsi="Arial"/>
                <w:sz w:val="20"/>
              </w:rPr>
              <w:t>&lt; 25W</w:t>
            </w:r>
          </w:p>
        </w:tc>
        <w:tc>
          <w:tcPr>
            <w:tcW w:type="dxa" w:w="1728"/>
          </w:tcPr>
          <w:p>
            <w:r>
              <w:rPr>
                <w:rFonts w:ascii="Arial" w:hAnsi="Arial"/>
                <w:sz w:val="20"/>
              </w:rPr>
              <w:t>Mensual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