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REQUERIMIENTOS FUNCIONALES Y NO FUNCIONALES</w:t>
      </w:r>
    </w:p>
    <w:p>
      <w:pPr>
        <w:pStyle w:val="Heading1"/>
      </w:pPr>
      <w:r>
        <w:rPr>
          <w:rFonts w:ascii="Arial" w:hAnsi="Arial"/>
          <w:b/>
          <w:sz w:val="24"/>
        </w:rPr>
        <w:t>CC-01 - CCTV</w:t>
      </w:r>
    </w:p>
    <w:p>
      <w:r>
        <w:rPr>
          <w:rFonts w:ascii="Arial" w:hAnsi="Arial"/>
          <w:sz w:val="22"/>
        </w:rPr>
        <w:t>El componente CC-01 CCTV constituye el sistema de percepción visual del corredor vial Chía–Girardot, proporcionando cobertura videográfica continua de alta definición para monitoreo, detección y verificación de eventos en tiempo real. Este subsistema fundamental habilita la capacidad de observación remota del estado de la infraestructura vial, el comportamiento del tráfico y la ocurrencia de incidentes que requieren atención del Centro de Control y Operaciones (CCO).</w:t>
      </w:r>
    </w:p>
    <w:p>
      <w:pPr>
        <w:pStyle w:val="Heading2"/>
      </w:pPr>
      <w:r>
        <w:t>Descripción Funcional / Técnica</w:t>
      </w:r>
    </w:p>
    <w:p>
      <w:r>
        <w:rPr>
          <w:rFonts w:ascii="Arial" w:hAnsi="Arial"/>
          <w:sz w:val="22"/>
        </w:rP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r>
    </w:p>
    <w:p>
      <w:r>
        <w:rPr>
          <w:rFonts w:ascii="Arial" w:hAnsi="Arial"/>
          <w:sz w:val="22"/>
        </w:rPr>
        <w:t>El subsistema opera las 24 horas del día, los 7 días de la semana, capturando video en resolución 4K (3840×2160) a 30 fps con compresión eficiente (H.265/HEVC) que optimiza el uso del ancho de banda sin degradación perceptible de calidad.</w:t>
      </w:r>
    </w:p>
    <w:p>
      <w:pPr>
        <w:pStyle w:val="Heading2"/>
      </w:pPr>
      <w:r>
        <w:t>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r>
    </w:p>
    <w:p>
      <w:r>
        <w:rPr>
          <w:rFonts w:ascii="Arial" w:hAnsi="Arial"/>
          <w:sz w:val="22"/>
        </w:rPr>
        <w:t>La videovigilancia habilita respuestas informadas ante incidentes: cuando un subsistema automático genera una alerta, el operador puede verificar visualmente la situación antes de despachar recursos de emergencia, evitando despliegues innecesarios por falsas alarmas.</w:t>
      </w:r>
    </w:p>
    <w:p>
      <w:pPr>
        <w:pStyle w:val="Heading2"/>
      </w:pPr>
      <w:r>
        <w:t>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0"/>
              </w:rPr>
              <w:t>ID</w:t>
            </w:r>
          </w:p>
        </w:tc>
        <w:tc>
          <w:tcPr>
            <w:tcW w:type="dxa" w:w="2160"/>
          </w:tcPr>
          <w:p>
            <w:r>
              <w:rPr>
                <w:rFonts w:ascii="Arial" w:hAnsi="Arial"/>
                <w:sz w:val="20"/>
              </w:rPr>
              <w:t>Nombre</w:t>
            </w:r>
          </w:p>
        </w:tc>
        <w:tc>
          <w:tcPr>
            <w:tcW w:type="dxa" w:w="2160"/>
          </w:tcPr>
          <w:p>
            <w:r>
              <w:rPr>
                <w:rFonts w:ascii="Arial" w:hAnsi="Arial"/>
                <w:sz w:val="20"/>
              </w:rPr>
              <w:t>Descripción Funcional / Técnica</w:t>
            </w:r>
          </w:p>
        </w:tc>
        <w:tc>
          <w:tcPr>
            <w:tcW w:type="dxa" w:w="2160"/>
          </w:tcPr>
          <w:p>
            <w:r>
              <w:rPr>
                <w:rFonts w:ascii="Arial" w:hAnsi="Arial"/>
                <w:sz w:val="20"/>
              </w:rPr>
              <w:t>Justificación</w:t>
            </w:r>
          </w:p>
        </w:tc>
      </w:tr>
      <w:tr>
        <w:tc>
          <w:tcPr>
            <w:tcW w:type="dxa" w:w="2160"/>
          </w:tcPr>
          <w:p>
            <w:r>
              <w:rPr>
                <w:rFonts w:ascii="Arial" w:hAnsi="Arial"/>
                <w:sz w:val="20"/>
              </w:rPr>
              <w:t>RF-01</w:t>
            </w:r>
          </w:p>
        </w:tc>
        <w:tc>
          <w:tcPr>
            <w:tcW w:type="dxa" w:w="2160"/>
          </w:tcPr>
          <w:p>
            <w:r>
              <w:rPr>
                <w:rFonts w:ascii="Arial" w:hAnsi="Arial"/>
                <w:sz w:val="20"/>
              </w:rPr>
              <w:t>Captura y Transmisión de Video en Tiempo Real</w:t>
            </w:r>
          </w:p>
        </w:tc>
        <w:tc>
          <w:tcPr>
            <w:tcW w:type="dxa" w:w="2160"/>
          </w:tcPr>
          <w:p>
            <w:r>
              <w:rPr>
                <w:rFonts w:ascii="Arial" w:hAnsi="Arial"/>
                <w:sz w:val="20"/>
              </w:rPr>
              <w:t>El sistema debe capturar video continuo en resolución 4K a 30 fps y transmitirlo al CCO con latencia inferior a 500 ms. La transmisión debe mantenerse estable ante fluctuaciones de red mediante buffers adaptativos y recuperación de paquetes. Cada cámara debe generar múltiples streams simultáneos: uno principal en alta resolución para grabación, uno secundario en resolución reducida para visualización multi-pantalla, y uno terciario para transmisión móvil.</w:t>
            </w:r>
          </w:p>
        </w:tc>
        <w:tc>
          <w:tcPr>
            <w:tcW w:type="dxa" w:w="2160"/>
          </w:tcPr>
          <w:p>
            <w:r>
              <w:rPr>
                <w:rFonts w:ascii="Arial" w:hAnsi="Arial"/>
                <w:sz w:val="20"/>
              </w:rPr>
              <w:t>La captura en tiempo real es fundamental para operaciones de monitoreo y respuesta a incidentes. Las cámaras que operan con latencias superiores a 1 segundo dificultan la coordinación de respuestas en emergencias. La generación de múltiples streams optimiza el uso del ancho de banda permitiendo visualización eficiente sin sacrificar calidad de grabación.</w:t>
            </w:r>
          </w:p>
        </w:tc>
      </w:tr>
      <w:tr>
        <w:tc>
          <w:tcPr>
            <w:tcW w:type="dxa" w:w="2160"/>
          </w:tcPr>
          <w:p>
            <w:r>
              <w:rPr>
                <w:rFonts w:ascii="Arial" w:hAnsi="Arial"/>
                <w:sz w:val="20"/>
              </w:rPr>
              <w:t>RF-02</w:t>
            </w:r>
          </w:p>
        </w:tc>
        <w:tc>
          <w:tcPr>
            <w:tcW w:type="dxa" w:w="2160"/>
          </w:tcPr>
          <w:p>
            <w:r>
              <w:rPr>
                <w:rFonts w:ascii="Arial" w:hAnsi="Arial"/>
                <w:sz w:val="20"/>
              </w:rPr>
              <w:t>Visualización Remota en el CCO</w:t>
            </w:r>
          </w:p>
        </w:tc>
        <w:tc>
          <w:tcPr>
            <w:tcW w:type="dxa" w:w="2160"/>
          </w:tcPr>
          <w:p>
            <w:r>
              <w:rPr>
                <w:rFonts w:ascii="Arial" w:hAnsi="Arial"/>
                <w:sz w:val="20"/>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20"/>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20"/>
              </w:rPr>
              <w:t>RF-03</w:t>
            </w:r>
          </w:p>
        </w:tc>
        <w:tc>
          <w:tcPr>
            <w:tcW w:type="dxa" w:w="2160"/>
          </w:tcPr>
          <w:p>
            <w:r>
              <w:rPr>
                <w:rFonts w:ascii="Arial" w:hAnsi="Arial"/>
                <w:sz w:val="20"/>
              </w:rPr>
              <w:t>Control PTZ Remoto</w:t>
            </w:r>
          </w:p>
        </w:tc>
        <w:tc>
          <w:tcPr>
            <w:tcW w:type="dxa" w:w="2160"/>
          </w:tcPr>
          <w:p>
            <w:r>
              <w:rPr>
                <w:rFonts w:ascii="Arial" w:hAnsi="Arial"/>
                <w:sz w:val="20"/>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20"/>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20"/>
              </w:rPr>
              <w:t>RF-04</w:t>
            </w:r>
          </w:p>
        </w:tc>
        <w:tc>
          <w:tcPr>
            <w:tcW w:type="dxa" w:w="2160"/>
          </w:tcPr>
          <w:p>
            <w:r>
              <w:rPr>
                <w:rFonts w:ascii="Arial" w:hAnsi="Arial"/>
                <w:sz w:val="20"/>
              </w:rPr>
              <w:t>Grabación Continua y por Evento</w:t>
            </w:r>
          </w:p>
        </w:tc>
        <w:tc>
          <w:tcPr>
            <w:tcW w:type="dxa" w:w="2160"/>
          </w:tcPr>
          <w:p>
            <w:r>
              <w:rPr>
                <w:rFonts w:ascii="Arial" w:hAnsi="Arial"/>
                <w:sz w:val="20"/>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20"/>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20"/>
              </w:rPr>
              <w:t>RF-05</w:t>
            </w:r>
          </w:p>
        </w:tc>
        <w:tc>
          <w:tcPr>
            <w:tcW w:type="dxa" w:w="2160"/>
          </w:tcPr>
          <w:p>
            <w:r>
              <w:rPr>
                <w:rFonts w:ascii="Arial" w:hAnsi="Arial"/>
                <w:sz w:val="20"/>
              </w:rPr>
              <w:t>Analítica de Video Integrada</w:t>
            </w:r>
          </w:p>
        </w:tc>
        <w:tc>
          <w:tcPr>
            <w:tcW w:type="dxa" w:w="2160"/>
          </w:tcPr>
          <w:p>
            <w:r>
              <w:rPr>
                <w:rFonts w:ascii="Arial" w:hAnsi="Arial"/>
                <w:sz w:val="20"/>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20"/>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20"/>
              </w:rPr>
              <w:t>RF-06</w:t>
            </w:r>
          </w:p>
        </w:tc>
        <w:tc>
          <w:tcPr>
            <w:tcW w:type="dxa" w:w="2160"/>
          </w:tcPr>
          <w:p>
            <w:r>
              <w:rPr>
                <w:rFonts w:ascii="Arial" w:hAnsi="Arial"/>
                <w:sz w:val="20"/>
              </w:rPr>
              <w:t>Integración con Subsistemas ITS</w:t>
            </w:r>
          </w:p>
        </w:tc>
        <w:tc>
          <w:tcPr>
            <w:tcW w:type="dxa" w:w="2160"/>
          </w:tcPr>
          <w:p>
            <w:r>
              <w:rPr>
                <w:rFonts w:ascii="Arial" w:hAnsi="Arial"/>
                <w:sz w:val="20"/>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20"/>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20"/>
              </w:rPr>
              <w:t>RF-07</w:t>
            </w:r>
          </w:p>
        </w:tc>
        <w:tc>
          <w:tcPr>
            <w:tcW w:type="dxa" w:w="2160"/>
          </w:tcPr>
          <w:p>
            <w:r>
              <w:rPr>
                <w:rFonts w:ascii="Arial" w:hAnsi="Arial"/>
                <w:sz w:val="20"/>
              </w:rPr>
              <w:t>Acceso Remoto Seguro</w:t>
            </w:r>
          </w:p>
        </w:tc>
        <w:tc>
          <w:tcPr>
            <w:tcW w:type="dxa" w:w="2160"/>
          </w:tcPr>
          <w:p>
            <w:r>
              <w:rPr>
                <w:rFonts w:ascii="Arial" w:hAnsi="Arial"/>
                <w:sz w:val="20"/>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20"/>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20"/>
              </w:rPr>
              <w:t>RF-08</w:t>
            </w:r>
          </w:p>
        </w:tc>
        <w:tc>
          <w:tcPr>
            <w:tcW w:type="dxa" w:w="2160"/>
          </w:tcPr>
          <w:p>
            <w:r>
              <w:rPr>
                <w:rFonts w:ascii="Arial" w:hAnsi="Arial"/>
                <w:sz w:val="20"/>
              </w:rPr>
              <w:t>Respaldo y Recuperación ante Fallas</w:t>
            </w:r>
          </w:p>
        </w:tc>
        <w:tc>
          <w:tcPr>
            <w:tcW w:type="dxa" w:w="2160"/>
          </w:tcPr>
          <w:p>
            <w:r>
              <w:rPr>
                <w:rFonts w:ascii="Arial" w:hAnsi="Arial"/>
                <w:sz w:val="20"/>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20"/>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20"/>
              </w:rPr>
              <w:t>RF-09</w:t>
            </w:r>
          </w:p>
        </w:tc>
        <w:tc>
          <w:tcPr>
            <w:tcW w:type="dxa" w:w="2160"/>
          </w:tcPr>
          <w:p>
            <w:r>
              <w:rPr>
                <w:rFonts w:ascii="Arial" w:hAnsi="Arial"/>
                <w:sz w:val="20"/>
              </w:rPr>
              <w:t>Gestión Centralizada del Sistema</w:t>
            </w:r>
          </w:p>
        </w:tc>
        <w:tc>
          <w:tcPr>
            <w:tcW w:type="dxa" w:w="2160"/>
          </w:tcPr>
          <w:p>
            <w:r>
              <w:rPr>
                <w:rFonts w:ascii="Arial" w:hAnsi="Arial"/>
                <w:sz w:val="20"/>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20"/>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20"/>
              </w:rPr>
              <w:t>RF-10</w:t>
            </w:r>
          </w:p>
        </w:tc>
        <w:tc>
          <w:tcPr>
            <w:tcW w:type="dxa" w:w="2160"/>
          </w:tcPr>
          <w:p>
            <w:r>
              <w:rPr>
                <w:rFonts w:ascii="Arial" w:hAnsi="Arial"/>
                <w:sz w:val="20"/>
              </w:rPr>
              <w:t>Cumplimiento Normativo y Forense</w:t>
            </w:r>
          </w:p>
        </w:tc>
        <w:tc>
          <w:tcPr>
            <w:tcW w:type="dxa" w:w="2160"/>
          </w:tcPr>
          <w:p>
            <w:r>
              <w:rPr>
                <w:rFonts w:ascii="Arial" w:hAnsi="Arial"/>
                <w:sz w:val="20"/>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20"/>
              </w:rPr>
              <w:t>El video de seguridad vial frecuentemente se requiere como evidencia en procesos judiciales. La cadena de custodia verificable y la integridad de timestamps son requisitos legales para que la evidencia sea admisible.</w:t>
            </w:r>
          </w:p>
        </w:tc>
      </w:tr>
    </w:tbl>
    <w:p>
      <w:r>
        <w:t>Fuente: El autor</w:t>
      </w:r>
    </w:p>
    <w:p>
      <w:pPr>
        <w:pStyle w:val="Heading2"/>
      </w:pPr>
      <w:r>
        <w:t>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sz w:val="20"/>
              </w:rPr>
              <w:t>ID</w:t>
            </w:r>
          </w:p>
        </w:tc>
        <w:tc>
          <w:tcPr>
            <w:tcW w:type="dxa" w:w="2160"/>
          </w:tcPr>
          <w:p>
            <w:r>
              <w:rPr>
                <w:rFonts w:ascii="Arial" w:hAnsi="Arial"/>
                <w:sz w:val="20"/>
              </w:rPr>
              <w:t>Nombre</w:t>
            </w:r>
          </w:p>
        </w:tc>
        <w:tc>
          <w:tcPr>
            <w:tcW w:type="dxa" w:w="2160"/>
          </w:tcPr>
          <w:p>
            <w:r>
              <w:rPr>
                <w:rFonts w:ascii="Arial" w:hAnsi="Arial"/>
                <w:sz w:val="20"/>
              </w:rPr>
              <w:t>Descripción</w:t>
            </w:r>
          </w:p>
        </w:tc>
        <w:tc>
          <w:tcPr>
            <w:tcW w:type="dxa" w:w="2160"/>
          </w:tcPr>
          <w:p>
            <w:r>
              <w:rPr>
                <w:rFonts w:ascii="Arial" w:hAnsi="Arial"/>
                <w:sz w:val="20"/>
              </w:rPr>
              <w:t>Justificación</w:t>
            </w:r>
          </w:p>
        </w:tc>
      </w:tr>
      <w:tr>
        <w:tc>
          <w:tcPr>
            <w:tcW w:type="dxa" w:w="2160"/>
          </w:tcPr>
          <w:p>
            <w:r>
              <w:rPr>
                <w:rFonts w:ascii="Arial" w:hAnsi="Arial"/>
                <w:sz w:val="20"/>
              </w:rPr>
              <w:t>RNF-01</w:t>
            </w:r>
          </w:p>
        </w:tc>
        <w:tc>
          <w:tcPr>
            <w:tcW w:type="dxa" w:w="2160"/>
          </w:tcPr>
          <w:p>
            <w:r>
              <w:rPr>
                <w:rFonts w:ascii="Arial" w:hAnsi="Arial"/>
                <w:sz w:val="20"/>
              </w:rPr>
              <w:t>Disponibilidad del Sistema</w:t>
            </w:r>
          </w:p>
        </w:tc>
        <w:tc>
          <w:tcPr>
            <w:tcW w:type="dxa" w:w="2160"/>
          </w:tcPr>
          <w:p>
            <w:r>
              <w:rPr>
                <w:rFonts w:ascii="Arial" w:hAnsi="Arial"/>
                <w:sz w:val="20"/>
              </w:rPr>
              <w:t>El sistema CCTV debe mantener disponibilidad operativa ≥ 99.9% medida mensualmente, considerando indisponibilidad cualquier período donde más del 5% de las cámaras de un segmento crítico estén fuera de servicio simultáneamente. El cálculo debe excluir mantenimientos programados notificados con 72 horas de anticipación.</w:t>
            </w:r>
          </w:p>
        </w:tc>
        <w:tc>
          <w:tcPr>
            <w:tcW w:type="dxa" w:w="2160"/>
          </w:tcPr>
          <w:p>
            <w:r>
              <w:rPr>
                <w:rFonts w:ascii="Arial" w:hAnsi="Arial"/>
                <w:sz w:val="20"/>
              </w:rPr>
              <w:t>Una disponibilidad del 99.9% garantiza que el sistema esté operativo 8,760 horas al año con menos de 9 horas de indisponibilidad no planificada.</w:t>
            </w:r>
          </w:p>
        </w:tc>
      </w:tr>
      <w:tr>
        <w:tc>
          <w:tcPr>
            <w:tcW w:type="dxa" w:w="2160"/>
          </w:tcPr>
          <w:p>
            <w:r>
              <w:rPr>
                <w:rFonts w:ascii="Arial" w:hAnsi="Arial"/>
                <w:sz w:val="20"/>
              </w:rPr>
              <w:t>RNF-02</w:t>
            </w:r>
          </w:p>
        </w:tc>
        <w:tc>
          <w:tcPr>
            <w:tcW w:type="dxa" w:w="2160"/>
          </w:tcPr>
          <w:p>
            <w:r>
              <w:rPr>
                <w:rFonts w:ascii="Arial" w:hAnsi="Arial"/>
                <w:sz w:val="20"/>
              </w:rPr>
              <w:t>Ciclo de Vida y Obsolescencia</w:t>
            </w:r>
          </w:p>
        </w:tc>
        <w:tc>
          <w:tcPr>
            <w:tcW w:type="dxa" w:w="2160"/>
          </w:tcPr>
          <w:p>
            <w:r>
              <w:rPr>
                <w:rFonts w:ascii="Arial" w:hAnsi="Arial"/>
                <w:sz w:val="20"/>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20"/>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20"/>
              </w:rPr>
              <w:t>RNF-03</w:t>
            </w:r>
          </w:p>
        </w:tc>
        <w:tc>
          <w:tcPr>
            <w:tcW w:type="dxa" w:w="2160"/>
          </w:tcPr>
          <w:p>
            <w:r>
              <w:rPr>
                <w:rFonts w:ascii="Arial" w:hAnsi="Arial"/>
                <w:sz w:val="20"/>
              </w:rPr>
              <w:t>Consumo Energético y Eficiencia</w:t>
            </w:r>
          </w:p>
        </w:tc>
        <w:tc>
          <w:tcPr>
            <w:tcW w:type="dxa" w:w="2160"/>
          </w:tcPr>
          <w:p>
            <w:r>
              <w:rPr>
                <w:rFonts w:ascii="Arial" w:hAnsi="Arial"/>
                <w:sz w:val="20"/>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20"/>
              </w:rPr>
              <w:t>Un corredor con 200+ cámaras puede consumir 5-10 kW continuos solo en videovigilancia. La eficiencia energética reduce costos operativos significativamente.</w:t>
            </w:r>
          </w:p>
        </w:tc>
      </w:tr>
      <w:tr>
        <w:tc>
          <w:tcPr>
            <w:tcW w:type="dxa" w:w="2160"/>
          </w:tcPr>
          <w:p>
            <w:r>
              <w:rPr>
                <w:rFonts w:ascii="Arial" w:hAnsi="Arial"/>
                <w:sz w:val="20"/>
              </w:rPr>
              <w:t>RNF-04</w:t>
            </w:r>
          </w:p>
        </w:tc>
        <w:tc>
          <w:tcPr>
            <w:tcW w:type="dxa" w:w="2160"/>
          </w:tcPr>
          <w:p>
            <w:r>
              <w:rPr>
                <w:rFonts w:ascii="Arial" w:hAnsi="Arial"/>
                <w:sz w:val="20"/>
              </w:rPr>
              <w:t>Ciberseguridad End-to-End</w:t>
            </w:r>
          </w:p>
        </w:tc>
        <w:tc>
          <w:tcPr>
            <w:tcW w:type="dxa" w:w="2160"/>
          </w:tcPr>
          <w:p>
            <w:r>
              <w:rPr>
                <w:rFonts w:ascii="Arial" w:hAnsi="Arial"/>
                <w:sz w:val="20"/>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20"/>
              </w:rPr>
              <w:t>Las cámaras IoT son objetivos frecuentes de ciberataques. Un compromiso del sistema CCTV puede exponer información sensible de infraestructura crítica.</w:t>
            </w:r>
          </w:p>
        </w:tc>
      </w:tr>
      <w:tr>
        <w:tc>
          <w:tcPr>
            <w:tcW w:type="dxa" w:w="2160"/>
          </w:tcPr>
          <w:p>
            <w:r>
              <w:rPr>
                <w:rFonts w:ascii="Arial" w:hAnsi="Arial"/>
                <w:sz w:val="20"/>
              </w:rPr>
              <w:t>RNF-05</w:t>
            </w:r>
          </w:p>
        </w:tc>
        <w:tc>
          <w:tcPr>
            <w:tcW w:type="dxa" w:w="2160"/>
          </w:tcPr>
          <w:p>
            <w:r>
              <w:rPr>
                <w:rFonts w:ascii="Arial" w:hAnsi="Arial"/>
                <w:sz w:val="20"/>
              </w:rPr>
              <w:t>Escalabilidad Horizontal</w:t>
            </w:r>
          </w:p>
        </w:tc>
        <w:tc>
          <w:tcPr>
            <w:tcW w:type="dxa" w:w="2160"/>
          </w:tcPr>
          <w:p>
            <w:r>
              <w:rPr>
                <w:rFonts w:ascii="Arial" w:hAnsi="Arial"/>
                <w:sz w:val="20"/>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20"/>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20"/>
              </w:rPr>
              <w:t>RNF-06</w:t>
            </w:r>
          </w:p>
        </w:tc>
        <w:tc>
          <w:tcPr>
            <w:tcW w:type="dxa" w:w="2160"/>
          </w:tcPr>
          <w:p>
            <w:r>
              <w:rPr>
                <w:rFonts w:ascii="Arial" w:hAnsi="Arial"/>
                <w:sz w:val="20"/>
              </w:rPr>
              <w:t>Tolerancia a Condiciones Ambientales</w:t>
            </w:r>
          </w:p>
        </w:tc>
        <w:tc>
          <w:tcPr>
            <w:tcW w:type="dxa" w:w="2160"/>
          </w:tcPr>
          <w:p>
            <w:r>
              <w:rPr>
                <w:rFonts w:ascii="Arial" w:hAnsi="Arial"/>
                <w:sz w:val="20"/>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20"/>
              </w:rPr>
              <w:t>El corredor Chía–Girardot atraviesa zonas con condiciones climáticas diversas: altiplano con heladas, valles cálidos, y zonas de alta precipitación.</w:t>
            </w:r>
          </w:p>
        </w:tc>
      </w:tr>
      <w:tr>
        <w:tc>
          <w:tcPr>
            <w:tcW w:type="dxa" w:w="2160"/>
          </w:tcPr>
          <w:p>
            <w:r>
              <w:rPr>
                <w:rFonts w:ascii="Arial" w:hAnsi="Arial"/>
                <w:sz w:val="20"/>
              </w:rPr>
              <w:t>RNF-07</w:t>
            </w:r>
          </w:p>
        </w:tc>
        <w:tc>
          <w:tcPr>
            <w:tcW w:type="dxa" w:w="2160"/>
          </w:tcPr>
          <w:p>
            <w:r>
              <w:rPr>
                <w:rFonts w:ascii="Arial" w:hAnsi="Arial"/>
                <w:sz w:val="20"/>
              </w:rPr>
              <w:t>Cumplimiento Normativo Global</w:t>
            </w:r>
          </w:p>
        </w:tc>
        <w:tc>
          <w:tcPr>
            <w:tcW w:type="dxa" w:w="2160"/>
          </w:tcPr>
          <w:p>
            <w:r>
              <w:rPr>
                <w:rFonts w:ascii="Arial" w:hAnsi="Arial"/>
                <w:sz w:val="20"/>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20"/>
              </w:rPr>
              <w:t>El cumplimiento normativo es obligatorio para operación legal en Colombia. La falta de certificaciones puede impedir la aprobación de proyectos por entidades controladoras.</w:t>
            </w:r>
          </w:p>
        </w:tc>
      </w:tr>
    </w:tbl>
    <w:p>
      <w:r>
        <w:t>Fuente: El autor</w:t>
      </w:r>
    </w:p>
    <w:p>
      <w:pPr>
        <w:pStyle w:val="Heading2"/>
      </w:pPr>
      <w:r>
        <w:t>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sz w:val="20"/>
              </w:rPr>
              <w:t>ID</w:t>
            </w:r>
          </w:p>
        </w:tc>
        <w:tc>
          <w:tcPr>
            <w:tcW w:type="dxa" w:w="1728"/>
          </w:tcPr>
          <w:p>
            <w:r>
              <w:rPr>
                <w:rFonts w:ascii="Arial" w:hAnsi="Arial"/>
                <w:sz w:val="20"/>
              </w:rPr>
              <w:t>Indicador</w:t>
            </w:r>
          </w:p>
        </w:tc>
        <w:tc>
          <w:tcPr>
            <w:tcW w:type="dxa" w:w="1728"/>
          </w:tcPr>
          <w:p>
            <w:r>
              <w:rPr>
                <w:rFonts w:ascii="Arial" w:hAnsi="Arial"/>
                <w:sz w:val="20"/>
              </w:rPr>
              <w:t>Descripción</w:t>
            </w:r>
          </w:p>
        </w:tc>
        <w:tc>
          <w:tcPr>
            <w:tcW w:type="dxa" w:w="1728"/>
          </w:tcPr>
          <w:p>
            <w:r>
              <w:rPr>
                <w:rFonts w:ascii="Arial" w:hAnsi="Arial"/>
                <w:sz w:val="20"/>
              </w:rPr>
              <w:t>Meta</w:t>
            </w:r>
          </w:p>
        </w:tc>
        <w:tc>
          <w:tcPr>
            <w:tcW w:type="dxa" w:w="1728"/>
          </w:tcPr>
          <w:p>
            <w:r>
              <w:rPr>
                <w:rFonts w:ascii="Arial" w:hAnsi="Arial"/>
                <w:sz w:val="20"/>
              </w:rPr>
              <w:t>Frecuencia</w:t>
            </w:r>
          </w:p>
        </w:tc>
      </w:tr>
      <w:tr>
        <w:tc>
          <w:tcPr>
            <w:tcW w:type="dxa" w:w="1728"/>
          </w:tcPr>
          <w:p>
            <w:r>
              <w:rPr>
                <w:rFonts w:ascii="Arial" w:hAnsi="Arial"/>
                <w:sz w:val="20"/>
              </w:rPr>
              <w:t>KPI-01</w:t>
            </w:r>
          </w:p>
        </w:tc>
        <w:tc>
          <w:tcPr>
            <w:tcW w:type="dxa" w:w="1728"/>
          </w:tcPr>
          <w:p>
            <w:r>
              <w:rPr>
                <w:rFonts w:ascii="Arial" w:hAnsi="Arial"/>
                <w:sz w:val="20"/>
              </w:rPr>
              <w:t>Disponibilidad del Sistema</w:t>
            </w:r>
          </w:p>
        </w:tc>
        <w:tc>
          <w:tcPr>
            <w:tcW w:type="dxa" w:w="1728"/>
          </w:tcPr>
          <w:p>
            <w:r>
              <w:rPr>
                <w:rFonts w:ascii="Arial" w:hAnsi="Arial"/>
                <w:sz w:val="20"/>
              </w:rPr>
              <w:t>Porcentaje de tiempo operativo de cámaras</w:t>
            </w:r>
          </w:p>
        </w:tc>
        <w:tc>
          <w:tcPr>
            <w:tcW w:type="dxa" w:w="1728"/>
          </w:tcPr>
          <w:p>
            <w:r>
              <w:rPr>
                <w:rFonts w:ascii="Arial" w:hAnsi="Arial"/>
                <w:sz w:val="20"/>
              </w:rPr>
              <w:t>≥ 99.9%</w:t>
            </w:r>
          </w:p>
        </w:tc>
        <w:tc>
          <w:tcPr>
            <w:tcW w:type="dxa" w:w="1728"/>
          </w:tcPr>
          <w:p>
            <w:r>
              <w:rPr>
                <w:rFonts w:ascii="Arial" w:hAnsi="Arial"/>
                <w:sz w:val="20"/>
              </w:rPr>
              <w:t>Mensual</w:t>
            </w:r>
          </w:p>
        </w:tc>
      </w:tr>
      <w:tr>
        <w:tc>
          <w:tcPr>
            <w:tcW w:type="dxa" w:w="1728"/>
          </w:tcPr>
          <w:p>
            <w:r>
              <w:rPr>
                <w:rFonts w:ascii="Arial" w:hAnsi="Arial"/>
                <w:sz w:val="20"/>
              </w:rPr>
              <w:t>KPI-02</w:t>
            </w:r>
          </w:p>
        </w:tc>
        <w:tc>
          <w:tcPr>
            <w:tcW w:type="dxa" w:w="1728"/>
          </w:tcPr>
          <w:p>
            <w:r>
              <w:rPr>
                <w:rFonts w:ascii="Arial" w:hAnsi="Arial"/>
                <w:sz w:val="20"/>
              </w:rPr>
              <w:t>Latencia de Video</w:t>
            </w:r>
          </w:p>
        </w:tc>
        <w:tc>
          <w:tcPr>
            <w:tcW w:type="dxa" w:w="1728"/>
          </w:tcPr>
          <w:p>
            <w:r>
              <w:rPr>
                <w:rFonts w:ascii="Arial" w:hAnsi="Arial"/>
                <w:sz w:val="20"/>
              </w:rPr>
              <w:t>Tiempo desde captura hasta visualización CCO</w:t>
            </w:r>
          </w:p>
        </w:tc>
        <w:tc>
          <w:tcPr>
            <w:tcW w:type="dxa" w:w="1728"/>
          </w:tcPr>
          <w:p>
            <w:r>
              <w:rPr>
                <w:rFonts w:ascii="Arial" w:hAnsi="Arial"/>
                <w:sz w:val="20"/>
              </w:rPr>
              <w:t>&lt; 500 ms</w:t>
            </w:r>
          </w:p>
        </w:tc>
        <w:tc>
          <w:tcPr>
            <w:tcW w:type="dxa" w:w="1728"/>
          </w:tcPr>
          <w:p>
            <w:r>
              <w:rPr>
                <w:rFonts w:ascii="Arial" w:hAnsi="Arial"/>
                <w:sz w:val="20"/>
              </w:rPr>
              <w:t>Continua</w:t>
            </w:r>
          </w:p>
        </w:tc>
      </w:tr>
      <w:tr>
        <w:tc>
          <w:tcPr>
            <w:tcW w:type="dxa" w:w="1728"/>
          </w:tcPr>
          <w:p>
            <w:r>
              <w:rPr>
                <w:rFonts w:ascii="Arial" w:hAnsi="Arial"/>
                <w:sz w:val="20"/>
              </w:rPr>
              <w:t>KPI-03</w:t>
            </w:r>
          </w:p>
        </w:tc>
        <w:tc>
          <w:tcPr>
            <w:tcW w:type="dxa" w:w="1728"/>
          </w:tcPr>
          <w:p>
            <w:r>
              <w:rPr>
                <w:rFonts w:ascii="Arial" w:hAnsi="Arial"/>
                <w:sz w:val="20"/>
              </w:rPr>
              <w:t>Calidad de Imagen</w:t>
            </w:r>
          </w:p>
        </w:tc>
        <w:tc>
          <w:tcPr>
            <w:tcW w:type="dxa" w:w="1728"/>
          </w:tcPr>
          <w:p>
            <w:r>
              <w:rPr>
                <w:rFonts w:ascii="Arial" w:hAnsi="Arial"/>
                <w:sz w:val="20"/>
              </w:rPr>
              <w:t>Resolución efectiva sin degradación por compresión</w:t>
            </w:r>
          </w:p>
        </w:tc>
        <w:tc>
          <w:tcPr>
            <w:tcW w:type="dxa" w:w="1728"/>
          </w:tcPr>
          <w:p>
            <w:r>
              <w:rPr>
                <w:rFonts w:ascii="Arial" w:hAnsi="Arial"/>
                <w:sz w:val="20"/>
              </w:rPr>
              <w:t>≥ 95%</w:t>
            </w:r>
          </w:p>
        </w:tc>
        <w:tc>
          <w:tcPr>
            <w:tcW w:type="dxa" w:w="1728"/>
          </w:tcPr>
          <w:p>
            <w:r>
              <w:rPr>
                <w:rFonts w:ascii="Arial" w:hAnsi="Arial"/>
                <w:sz w:val="20"/>
              </w:rPr>
              <w:t>Trimestral</w:t>
            </w:r>
          </w:p>
        </w:tc>
      </w:tr>
      <w:tr>
        <w:tc>
          <w:tcPr>
            <w:tcW w:type="dxa" w:w="1728"/>
          </w:tcPr>
          <w:p>
            <w:r>
              <w:rPr>
                <w:rFonts w:ascii="Arial" w:hAnsi="Arial"/>
                <w:sz w:val="20"/>
              </w:rPr>
              <w:t>KPI-04</w:t>
            </w:r>
          </w:p>
        </w:tc>
        <w:tc>
          <w:tcPr>
            <w:tcW w:type="dxa" w:w="1728"/>
          </w:tcPr>
          <w:p>
            <w:r>
              <w:rPr>
                <w:rFonts w:ascii="Arial" w:hAnsi="Arial"/>
                <w:sz w:val="20"/>
              </w:rPr>
              <w:t>Tasa de Falsos Positivos</w:t>
            </w:r>
          </w:p>
        </w:tc>
        <w:tc>
          <w:tcPr>
            <w:tcW w:type="dxa" w:w="1728"/>
          </w:tcPr>
          <w:p>
            <w:r>
              <w:rPr>
                <w:rFonts w:ascii="Arial" w:hAnsi="Arial"/>
                <w:sz w:val="20"/>
              </w:rPr>
              <w:t>Alertas analíticas sin evento real</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Cobertura Operativa</w:t>
            </w:r>
          </w:p>
        </w:tc>
        <w:tc>
          <w:tcPr>
            <w:tcW w:type="dxa" w:w="1728"/>
          </w:tcPr>
          <w:p>
            <w:r>
              <w:rPr>
                <w:rFonts w:ascii="Arial" w:hAnsi="Arial"/>
                <w:sz w:val="20"/>
              </w:rPr>
              <w:t>Cámaras funcionando / Total instalado</w:t>
            </w:r>
          </w:p>
        </w:tc>
        <w:tc>
          <w:tcPr>
            <w:tcW w:type="dxa" w:w="1728"/>
          </w:tcPr>
          <w:p>
            <w:r>
              <w:rPr>
                <w:rFonts w:ascii="Arial" w:hAnsi="Arial"/>
                <w:sz w:val="20"/>
              </w:rPr>
              <w:t>≥ 98%</w:t>
            </w:r>
          </w:p>
        </w:tc>
        <w:tc>
          <w:tcPr>
            <w:tcW w:type="dxa" w:w="1728"/>
          </w:tcPr>
          <w:p>
            <w:r>
              <w:rPr>
                <w:rFonts w:ascii="Arial" w:hAnsi="Arial"/>
                <w:sz w:val="20"/>
              </w:rPr>
              <w:t>Diaria</w:t>
            </w:r>
          </w:p>
        </w:tc>
      </w:tr>
      <w:tr>
        <w:tc>
          <w:tcPr>
            <w:tcW w:type="dxa" w:w="1728"/>
          </w:tcPr>
          <w:p>
            <w:r>
              <w:rPr>
                <w:rFonts w:ascii="Arial" w:hAnsi="Arial"/>
                <w:sz w:val="20"/>
              </w:rPr>
              <w:t>KPI-06</w:t>
            </w:r>
          </w:p>
        </w:tc>
        <w:tc>
          <w:tcPr>
            <w:tcW w:type="dxa" w:w="1728"/>
          </w:tcPr>
          <w:p>
            <w:r>
              <w:rPr>
                <w:rFonts w:ascii="Arial" w:hAnsi="Arial"/>
                <w:sz w:val="20"/>
              </w:rPr>
              <w:t>Tiempo de Recuperación MTTR</w:t>
            </w:r>
          </w:p>
        </w:tc>
        <w:tc>
          <w:tcPr>
            <w:tcW w:type="dxa" w:w="1728"/>
          </w:tcPr>
          <w:p>
            <w:r>
              <w:rPr>
                <w:rFonts w:ascii="Arial" w:hAnsi="Arial"/>
                <w:sz w:val="20"/>
              </w:rPr>
              <w:t>Tiempo medio de reparación ante falla</w:t>
            </w:r>
          </w:p>
        </w:tc>
        <w:tc>
          <w:tcPr>
            <w:tcW w:type="dxa" w:w="1728"/>
          </w:tcPr>
          <w:p>
            <w:r>
              <w:rPr>
                <w:rFonts w:ascii="Arial" w:hAnsi="Arial"/>
                <w:sz w:val="20"/>
              </w:rPr>
              <w:t>&lt; 4 horas</w:t>
            </w:r>
          </w:p>
        </w:tc>
        <w:tc>
          <w:tcPr>
            <w:tcW w:type="dxa" w:w="1728"/>
          </w:tcPr>
          <w:p>
            <w:r>
              <w:rPr>
                <w:rFonts w:ascii="Arial" w:hAnsi="Arial"/>
                <w:sz w:val="20"/>
              </w:rPr>
              <w:t>Por incidente</w:t>
            </w:r>
          </w:p>
        </w:tc>
      </w:tr>
      <w:tr>
        <w:tc>
          <w:tcPr>
            <w:tcW w:type="dxa" w:w="1728"/>
          </w:tcPr>
          <w:p>
            <w:r>
              <w:rPr>
                <w:rFonts w:ascii="Arial" w:hAnsi="Arial"/>
                <w:sz w:val="20"/>
              </w:rPr>
              <w:t>KPI-07</w:t>
            </w:r>
          </w:p>
        </w:tc>
        <w:tc>
          <w:tcPr>
            <w:tcW w:type="dxa" w:w="1728"/>
          </w:tcPr>
          <w:p>
            <w:r>
              <w:rPr>
                <w:rFonts w:ascii="Arial" w:hAnsi="Arial"/>
                <w:sz w:val="20"/>
              </w:rPr>
              <w:t>Satisfacción de Usuario</w:t>
            </w:r>
          </w:p>
        </w:tc>
        <w:tc>
          <w:tcPr>
            <w:tcW w:type="dxa" w:w="1728"/>
          </w:tcPr>
          <w:p>
            <w:r>
              <w:rPr>
                <w:rFonts w:ascii="Arial" w:hAnsi="Arial"/>
                <w:sz w:val="20"/>
              </w:rPr>
              <w:t>Evaluación operadores del CCO</w:t>
            </w:r>
          </w:p>
        </w:tc>
        <w:tc>
          <w:tcPr>
            <w:tcW w:type="dxa" w:w="1728"/>
          </w:tcPr>
          <w:p>
            <w:r>
              <w:rPr>
                <w:rFonts w:ascii="Arial" w:hAnsi="Arial"/>
                <w:sz w:val="20"/>
              </w:rPr>
              <w:t>≥ 4.0/5.0</w:t>
            </w:r>
          </w:p>
        </w:tc>
        <w:tc>
          <w:tcPr>
            <w:tcW w:type="dxa" w:w="1728"/>
          </w:tcPr>
          <w:p>
            <w:r>
              <w:rPr>
                <w:rFonts w:ascii="Arial" w:hAnsi="Arial"/>
                <w:sz w:val="20"/>
              </w:rPr>
              <w:t>Semestral</w:t>
            </w:r>
          </w:p>
        </w:tc>
      </w:tr>
      <w:tr>
        <w:tc>
          <w:tcPr>
            <w:tcW w:type="dxa" w:w="1728"/>
          </w:tcPr>
          <w:p>
            <w:r>
              <w:rPr>
                <w:rFonts w:ascii="Arial" w:hAnsi="Arial"/>
                <w:sz w:val="20"/>
              </w:rPr>
              <w:t>KPI-08</w:t>
            </w:r>
          </w:p>
        </w:tc>
        <w:tc>
          <w:tcPr>
            <w:tcW w:type="dxa" w:w="1728"/>
          </w:tcPr>
          <w:p>
            <w:r>
              <w:rPr>
                <w:rFonts w:ascii="Arial" w:hAnsi="Arial"/>
                <w:sz w:val="20"/>
              </w:rPr>
              <w:t>Eficiencia Energética</w:t>
            </w:r>
          </w:p>
        </w:tc>
        <w:tc>
          <w:tcPr>
            <w:tcW w:type="dxa" w:w="1728"/>
          </w:tcPr>
          <w:p>
            <w:r>
              <w:rPr>
                <w:rFonts w:ascii="Arial" w:hAnsi="Arial"/>
                <w:sz w:val="20"/>
              </w:rPr>
              <w:t>Consumo promedio por cámara</w:t>
            </w:r>
          </w:p>
        </w:tc>
        <w:tc>
          <w:tcPr>
            <w:tcW w:type="dxa" w:w="1728"/>
          </w:tcPr>
          <w:p>
            <w:r>
              <w:rPr>
                <w:rFonts w:ascii="Arial" w:hAnsi="Arial"/>
                <w:sz w:val="20"/>
              </w:rPr>
              <w:t>&lt; 25W</w:t>
            </w:r>
          </w:p>
        </w:tc>
        <w:tc>
          <w:tcPr>
            <w:tcW w:type="dxa" w:w="1728"/>
          </w:tcPr>
          <w:p>
            <w:r>
              <w:rPr>
                <w:rFonts w:ascii="Arial" w:hAnsi="Arial"/>
                <w:sz w:val="20"/>
              </w:rPr>
              <w:t>Mensual</w:t>
            </w:r>
          </w:p>
        </w:tc>
      </w:tr>
    </w:tbl>
    <w:p>
      <w:r>
        <w:t>Fuente: El autor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