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24"/>
        </w:rPr>
        <w:t>8.2 CC-02:Sistema CC-02</w:t>
      </w:r>
    </w:p>
    <w:p>
      <w:pPr>
        <w:pStyle w:val="Heading2"/>
      </w:pPr>
      <w:r>
        <w:rPr>
          <w:rFonts w:ascii="Arial" w:hAnsi="Arial"/>
          <w:sz w:val="22"/>
        </w:rPr>
        <w:t>8.2.1 Descripción Funcional / Técnica</w:t>
      </w:r>
    </w:p>
    <w:p>
      <w:r>
        <w:rPr>
          <w:rFonts w:ascii="Arial" w:hAnsi="Arial"/>
          <w:sz w:val="22"/>
        </w:rP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t>El subsistema opera las 24 horas del día, los 7 días de la semana, analizando video en tiempo real con latencia inferior a 2 segundos desde la ocurrencia del evento hasta la generación de la alerta.</w:t>
        <w:br/>
        <w:t>---</w:t>
      </w:r>
    </w:p>
    <w:p>
      <w:pPr>
        <w:pStyle w:val="Heading2"/>
      </w:pPr>
      <w:r>
        <w:rPr>
          <w:rFonts w:ascii="Arial" w:hAnsi="Arial"/>
          <w:sz w:val="22"/>
        </w:rPr>
        <w:t>8.2.2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t>---</w:t>
      </w:r>
    </w:p>
    <w:p>
      <w:pPr>
        <w:pStyle w:val="Heading2"/>
      </w:pPr>
      <w:r>
        <w:rPr>
          <w:rFonts w:ascii="Arial" w:hAnsi="Arial"/>
          <w:sz w:val="22"/>
        </w:rPr>
        <w:t>8.2.3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 Funcional / Técnica</w:t>
            </w:r>
          </w:p>
        </w:tc>
        <w:tc>
          <w:tcPr>
            <w:tcW w:type="dxa" w:w="2160"/>
          </w:tcPr>
          <w:p>
            <w:r>
              <w:rPr>
                <w:rFonts w:ascii="Arial" w:hAnsi="Arial"/>
                <w:sz w:val="20"/>
              </w:rPr>
              <w:t>Justificación</w:t>
            </w:r>
          </w:p>
        </w:tc>
      </w:tr>
      <w:tr>
        <w:tc>
          <w:tcPr>
            <w:tcW w:type="dxa" w:w="2160"/>
          </w:tcPr>
          <w:p>
            <w:r>
              <w:rPr>
                <w:rFonts w:ascii="Arial" w:hAnsi="Arial"/>
                <w:sz w:val="20"/>
              </w:rPr>
              <w:t>RF-01</w:t>
            </w:r>
          </w:p>
        </w:tc>
        <w:tc>
          <w:tcPr>
            <w:tcW w:type="dxa" w:w="2160"/>
          </w:tcPr>
          <w:p>
            <w:r>
              <w:rPr>
                <w:rFonts w:ascii="Arial" w:hAnsi="Arial"/>
                <w:sz w:val="20"/>
              </w:rPr>
              <w:t>Detección de Vehículo Detenido</w:t>
            </w:r>
          </w:p>
        </w:tc>
        <w:tc>
          <w:tcPr>
            <w:tcW w:type="dxa" w:w="2160"/>
          </w:tcPr>
          <w:p>
            <w:r>
              <w:rPr>
                <w:rFonts w:ascii="Arial" w:hAnsi="Arial"/>
                <w:sz w:val="20"/>
              </w:rPr>
              <w:t>El sistema debe detectar automáticamente vehículos detenidos en calzada (velocidad = 0) durante más de 10 segundos en zonas donde el flujo es continuo. La detección debe distinguir entre vehículos detenidos por congestión versus vehículos detenidos por emergencia.</w:t>
            </w:r>
          </w:p>
        </w:tc>
        <w:tc>
          <w:tcPr>
            <w:tcW w:type="dxa" w:w="2160"/>
          </w:tcPr>
          <w:p>
            <w:r>
              <w:rPr>
                <w:rFonts w:ascii="Arial" w:hAnsi="Arial"/>
                <w:sz w:val="20"/>
              </w:rPr>
              <w:t>La detección temprana de vehículos detenidos permite activar protocolos de emergencia antes de que se produzcan colisiones secundarias, reduciendo la severidad de los incidentes.</w:t>
            </w:r>
          </w:p>
        </w:tc>
      </w:tr>
      <w:tr>
        <w:tc>
          <w:tcPr>
            <w:tcW w:type="dxa" w:w="2160"/>
          </w:tcPr>
          <w:p>
            <w:r>
              <w:rPr>
                <w:rFonts w:ascii="Arial" w:hAnsi="Arial"/>
                <w:sz w:val="20"/>
              </w:rPr>
              <w:t>RF-02</w:t>
            </w:r>
          </w:p>
        </w:tc>
        <w:tc>
          <w:tcPr>
            <w:tcW w:type="dxa" w:w="2160"/>
          </w:tcPr>
          <w:p>
            <w:r>
              <w:rPr>
                <w:rFonts w:ascii="Arial" w:hAnsi="Arial"/>
                <w:sz w:val="20"/>
              </w:rPr>
              <w:t>Detección de Flujo Contrario</w:t>
            </w:r>
          </w:p>
        </w:tc>
        <w:tc>
          <w:tcPr>
            <w:tcW w:type="dxa" w:w="2160"/>
          </w:tcPr>
          <w:p>
            <w:r>
              <w:rPr>
                <w:rFonts w:ascii="Arial" w:hAnsi="Arial"/>
                <w:sz w:val="20"/>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0"/>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0"/>
              </w:rPr>
              <w:t>RF-03</w:t>
            </w:r>
          </w:p>
        </w:tc>
        <w:tc>
          <w:tcPr>
            <w:tcW w:type="dxa" w:w="2160"/>
          </w:tcPr>
          <w:p>
            <w:r>
              <w:rPr>
                <w:rFonts w:ascii="Arial" w:hAnsi="Arial"/>
                <w:sz w:val="20"/>
              </w:rPr>
              <w:t>Detección de Pérdida de Carga</w:t>
            </w:r>
          </w:p>
        </w:tc>
        <w:tc>
          <w:tcPr>
            <w:tcW w:type="dxa" w:w="2160"/>
          </w:tcPr>
          <w:p>
            <w:r>
              <w:rPr>
                <w:rFonts w:ascii="Arial" w:hAnsi="Arial"/>
                <w:sz w:val="20"/>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0"/>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0"/>
              </w:rPr>
              <w:t>RF-04</w:t>
            </w:r>
          </w:p>
        </w:tc>
        <w:tc>
          <w:tcPr>
            <w:tcW w:type="dxa" w:w="2160"/>
          </w:tcPr>
          <w:p>
            <w:r>
              <w:rPr>
                <w:rFonts w:ascii="Arial" w:hAnsi="Arial"/>
                <w:sz w:val="20"/>
              </w:rPr>
              <w:t>Detección de Peatón en Calzada</w:t>
            </w:r>
          </w:p>
        </w:tc>
        <w:tc>
          <w:tcPr>
            <w:tcW w:type="dxa" w:w="2160"/>
          </w:tcPr>
          <w:p>
            <w:r>
              <w:rPr>
                <w:rFonts w:ascii="Arial" w:hAnsi="Arial"/>
                <w:sz w:val="20"/>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0"/>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0"/>
              </w:rPr>
              <w:t>RF-05</w:t>
            </w:r>
          </w:p>
        </w:tc>
        <w:tc>
          <w:tcPr>
            <w:tcW w:type="dxa" w:w="2160"/>
          </w:tcPr>
          <w:p>
            <w:r>
              <w:rPr>
                <w:rFonts w:ascii="Arial" w:hAnsi="Arial"/>
                <w:sz w:val="20"/>
              </w:rPr>
              <w:t>Detección de Congestión Repentina</w:t>
            </w:r>
          </w:p>
        </w:tc>
        <w:tc>
          <w:tcPr>
            <w:tcW w:type="dxa" w:w="2160"/>
          </w:tcPr>
          <w:p>
            <w:r>
              <w:rPr>
                <w:rFonts w:ascii="Arial" w:hAnsi="Arial"/>
                <w:sz w:val="20"/>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0"/>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0"/>
              </w:rPr>
              <w:t>RF-06</w:t>
            </w:r>
          </w:p>
        </w:tc>
        <w:tc>
          <w:tcPr>
            <w:tcW w:type="dxa" w:w="2160"/>
          </w:tcPr>
          <w:p>
            <w:r>
              <w:rPr>
                <w:rFonts w:ascii="Arial" w:hAnsi="Arial"/>
                <w:sz w:val="20"/>
              </w:rPr>
              <w:t>Clasificación por Severidad</w:t>
            </w:r>
          </w:p>
        </w:tc>
        <w:tc>
          <w:tcPr>
            <w:tcW w:type="dxa" w:w="2160"/>
          </w:tcPr>
          <w:p>
            <w:r>
              <w:rPr>
                <w:rFonts w:ascii="Arial" w:hAnsi="Arial"/>
                <w:sz w:val="20"/>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0"/>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0"/>
              </w:rPr>
              <w:t>RF-07</w:t>
            </w:r>
          </w:p>
        </w:tc>
        <w:tc>
          <w:tcPr>
            <w:tcW w:type="dxa" w:w="2160"/>
          </w:tcPr>
          <w:p>
            <w:r>
              <w:rPr>
                <w:rFonts w:ascii="Arial" w:hAnsi="Arial"/>
                <w:sz w:val="20"/>
              </w:rPr>
              <w:t>Integración con CCTV</w:t>
            </w:r>
          </w:p>
        </w:tc>
        <w:tc>
          <w:tcPr>
            <w:tcW w:type="dxa" w:w="2160"/>
          </w:tcPr>
          <w:p>
            <w:r>
              <w:rPr>
                <w:rFonts w:ascii="Arial" w:hAnsi="Arial"/>
                <w:sz w:val="20"/>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0"/>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0"/>
              </w:rPr>
              <w:t>RF-08</w:t>
            </w:r>
          </w:p>
        </w:tc>
        <w:tc>
          <w:tcPr>
            <w:tcW w:type="dxa" w:w="2160"/>
          </w:tcPr>
          <w:p>
            <w:r>
              <w:rPr>
                <w:rFonts w:ascii="Arial" w:hAnsi="Arial"/>
                <w:sz w:val="20"/>
              </w:rPr>
              <w:t>Georeferenciación Precisa</w:t>
            </w:r>
          </w:p>
        </w:tc>
        <w:tc>
          <w:tcPr>
            <w:tcW w:type="dxa" w:w="2160"/>
          </w:tcPr>
          <w:p>
            <w:r>
              <w:rPr>
                <w:rFonts w:ascii="Arial" w:hAnsi="Arial"/>
                <w:sz w:val="20"/>
              </w:rPr>
              <w:t>Cada alerta debe incluir coordenadas GPS exactas del incidente (precisión &lt; 10 metros), identificación del punto kilométrico más cercano, y cámara de referencia.</w:t>
            </w:r>
          </w:p>
        </w:tc>
        <w:tc>
          <w:tcPr>
            <w:tcW w:type="dxa" w:w="2160"/>
          </w:tcPr>
          <w:p>
            <w:r>
              <w:rPr>
                <w:rFonts w:ascii="Arial" w:hAnsi="Arial"/>
                <w:sz w:val="20"/>
              </w:rPr>
              <w:t>La georeferenciación precisa reduce el tiempo de llegada de unidades de emergencia, eliminando la búsqueda del punto del incidente en un corredor de 306 km.</w:t>
            </w:r>
          </w:p>
        </w:tc>
      </w:tr>
      <w:tr>
        <w:tc>
          <w:tcPr>
            <w:tcW w:type="dxa" w:w="2160"/>
          </w:tcPr>
          <w:p>
            <w:r>
              <w:rPr>
                <w:rFonts w:ascii="Arial" w:hAnsi="Arial"/>
                <w:sz w:val="20"/>
              </w:rPr>
              <w:t>RF-09</w:t>
            </w:r>
          </w:p>
        </w:tc>
        <w:tc>
          <w:tcPr>
            <w:tcW w:type="dxa" w:w="2160"/>
          </w:tcPr>
          <w:p>
            <w:r>
              <w:rPr>
                <w:rFonts w:ascii="Arial" w:hAnsi="Arial"/>
                <w:sz w:val="20"/>
              </w:rPr>
              <w:t>Evidencia Digital</w:t>
            </w:r>
          </w:p>
        </w:tc>
        <w:tc>
          <w:tcPr>
            <w:tcW w:type="dxa" w:w="2160"/>
          </w:tcPr>
          <w:p>
            <w:r>
              <w:rPr>
                <w:rFonts w:ascii="Arial" w:hAnsi="Arial"/>
                <w:sz w:val="20"/>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0"/>
              </w:rPr>
              <w:t>La evidencia digital es fundamental para investigaciones posteriores de incidentes y para el entrenamiento continuo de los algoritmos de detección.</w:t>
            </w:r>
          </w:p>
        </w:tc>
      </w:tr>
      <w:tr>
        <w:tc>
          <w:tcPr>
            <w:tcW w:type="dxa" w:w="2160"/>
          </w:tcPr>
          <w:p>
            <w:r>
              <w:rPr>
                <w:rFonts w:ascii="Arial" w:hAnsi="Arial"/>
                <w:sz w:val="20"/>
              </w:rPr>
              <w:t>RF-10</w:t>
            </w:r>
          </w:p>
        </w:tc>
        <w:tc>
          <w:tcPr>
            <w:tcW w:type="dxa" w:w="2160"/>
          </w:tcPr>
          <w:p>
            <w:r>
              <w:rPr>
                <w:rFonts w:ascii="Arial" w:hAnsi="Arial"/>
                <w:sz w:val="20"/>
              </w:rPr>
              <w:t>Gestión de Falsos Positivos</w:t>
            </w:r>
          </w:p>
        </w:tc>
        <w:tc>
          <w:tcPr>
            <w:tcW w:type="dxa" w:w="2160"/>
          </w:tcPr>
          <w:p>
            <w:r>
              <w:rPr>
                <w:rFonts w:ascii="Arial" w:hAnsi="Arial"/>
                <w:sz w:val="20"/>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0"/>
              </w:rPr>
              <w:t>La gestión activa de falsos positivos permite mejorar continuamente la precisión del sistema, reduciendo la fatiga de alertas en operadores y aumentando la confianza en el sistema.</w:t>
            </w:r>
          </w:p>
        </w:tc>
      </w:tr>
    </w:tbl>
    <w:p>
      <w:r>
        <w:t>Fuente: El autor</w:t>
      </w:r>
    </w:p>
    <w:p>
      <w:pPr>
        <w:pStyle w:val="Heading2"/>
      </w:pPr>
      <w:r>
        <w:rPr>
          <w:rFonts w:ascii="Arial" w:hAnsi="Arial"/>
          <w:sz w:val="22"/>
        </w:rPr>
        <w:t>8.2.4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w:t>
            </w:r>
          </w:p>
        </w:tc>
        <w:tc>
          <w:tcPr>
            <w:tcW w:type="dxa" w:w="2160"/>
          </w:tcPr>
          <w:p>
            <w:r>
              <w:rPr>
                <w:rFonts w:ascii="Arial" w:hAnsi="Arial"/>
                <w:sz w:val="20"/>
              </w:rPr>
              <w:t>Justificación</w:t>
            </w:r>
          </w:p>
        </w:tc>
      </w:tr>
      <w:tr>
        <w:tc>
          <w:tcPr>
            <w:tcW w:type="dxa" w:w="2160"/>
          </w:tcPr>
          <w:p>
            <w:r>
              <w:rPr>
                <w:rFonts w:ascii="Arial" w:hAnsi="Arial"/>
                <w:sz w:val="20"/>
              </w:rPr>
              <w:t>RNF-01</w:t>
            </w:r>
          </w:p>
        </w:tc>
        <w:tc>
          <w:tcPr>
            <w:tcW w:type="dxa" w:w="2160"/>
          </w:tcPr>
          <w:p>
            <w:r>
              <w:rPr>
                <w:rFonts w:ascii="Arial" w:hAnsi="Arial"/>
                <w:sz w:val="20"/>
              </w:rPr>
              <w:t>Precisión de Detección</w:t>
            </w:r>
          </w:p>
        </w:tc>
        <w:tc>
          <w:tcPr>
            <w:tcW w:type="dxa" w:w="2160"/>
          </w:tcPr>
          <w:p>
            <w:r>
              <w:rPr>
                <w:rFonts w:ascii="Arial" w:hAnsi="Arial"/>
                <w:sz w:val="20"/>
              </w:rPr>
              <w:t>El sistema debe mantener tasa de detección ≥ 95% para incidentes críticos (vehículo detenido, flujo contrario) y ≥ 85% para incidentes menores.</w:t>
            </w:r>
          </w:p>
        </w:tc>
        <w:tc>
          <w:tcPr>
            <w:tcW w:type="dxa" w:w="2160"/>
          </w:tcPr>
          <w:p>
            <w:r>
              <w:rPr>
                <w:rFonts w:ascii="Arial" w:hAnsi="Arial"/>
                <w:sz w:val="20"/>
              </w:rPr>
              <w:t>La alta precisión es crítica para la confiabilidad del sistema. Una tasa de detección inferior generaría desconfianza en operadores y reduciría el valor operativo del sistema.</w:t>
            </w:r>
          </w:p>
        </w:tc>
      </w:tr>
      <w:tr>
        <w:tc>
          <w:tcPr>
            <w:tcW w:type="dxa" w:w="2160"/>
          </w:tcPr>
          <w:p>
            <w:r>
              <w:rPr>
                <w:rFonts w:ascii="Arial" w:hAnsi="Arial"/>
                <w:sz w:val="20"/>
              </w:rPr>
              <w:t>RNF-02</w:t>
            </w:r>
          </w:p>
        </w:tc>
        <w:tc>
          <w:tcPr>
            <w:tcW w:type="dxa" w:w="2160"/>
          </w:tcPr>
          <w:p>
            <w:r>
              <w:rPr>
                <w:rFonts w:ascii="Arial" w:hAnsi="Arial"/>
                <w:sz w:val="20"/>
              </w:rPr>
              <w:t>Latencia de Procesamiento</w:t>
            </w:r>
          </w:p>
        </w:tc>
        <w:tc>
          <w:tcPr>
            <w:tcW w:type="dxa" w:w="2160"/>
          </w:tcPr>
          <w:p>
            <w:r>
              <w:rPr>
                <w:rFonts w:ascii="Arial" w:hAnsi="Arial"/>
                <w:sz w:val="20"/>
              </w:rPr>
              <w:t>El tiempo desde la ocurrencia del incidente hasta la generación de la alerta debe ser &lt; 2 segundos en condiciones normales de red.</w:t>
            </w:r>
          </w:p>
        </w:tc>
        <w:tc>
          <w:tcPr>
            <w:tcW w:type="dxa" w:w="2160"/>
          </w:tcPr>
          <w:p>
            <w:r>
              <w:rPr>
                <w:rFonts w:ascii="Arial" w:hAnsi="Arial"/>
                <w:sz w:val="20"/>
              </w:rPr>
              <w:t>La latencia es crítica en incidentes de flujo contrario donde cada segundo cuenta para evitar colisiones frontales.</w:t>
            </w:r>
          </w:p>
        </w:tc>
      </w:tr>
      <w:tr>
        <w:tc>
          <w:tcPr>
            <w:tcW w:type="dxa" w:w="2160"/>
          </w:tcPr>
          <w:p>
            <w:r>
              <w:rPr>
                <w:rFonts w:ascii="Arial" w:hAnsi="Arial"/>
                <w:sz w:val="20"/>
              </w:rPr>
              <w:t>RNF-03</w:t>
            </w:r>
          </w:p>
        </w:tc>
        <w:tc>
          <w:tcPr>
            <w:tcW w:type="dxa" w:w="2160"/>
          </w:tcPr>
          <w:p>
            <w:r>
              <w:rPr>
                <w:rFonts w:ascii="Arial" w:hAnsi="Arial"/>
                <w:sz w:val="20"/>
              </w:rPr>
              <w:t>Disponibilidad</w:t>
            </w:r>
          </w:p>
        </w:tc>
        <w:tc>
          <w:tcPr>
            <w:tcW w:type="dxa" w:w="2160"/>
          </w:tcPr>
          <w:p>
            <w:r>
              <w:rPr>
                <w:rFonts w:ascii="Arial" w:hAnsi="Arial"/>
                <w:sz w:val="20"/>
              </w:rPr>
              <w:t>El sistema debe mantener disponibilidad ≥ 99.5%, excluyendo mantenimientos programados notificados con 48 horas de anticipación.</w:t>
            </w:r>
          </w:p>
        </w:tc>
        <w:tc>
          <w:tcPr>
            <w:tcW w:type="dxa" w:w="2160"/>
          </w:tcPr>
          <w:p>
            <w:r>
              <w:rPr>
                <w:rFonts w:ascii="Arial" w:hAnsi="Arial"/>
                <w:sz w:val="20"/>
              </w:rPr>
              <w:t>La disponibilidad asegura que el corredor esté protegido permanentemente. Una caída del sistema AID durante un incidente podría tener consecuencias fatales.</w:t>
            </w:r>
          </w:p>
        </w:tc>
      </w:tr>
      <w:tr>
        <w:tc>
          <w:tcPr>
            <w:tcW w:type="dxa" w:w="2160"/>
          </w:tcPr>
          <w:p>
            <w:r>
              <w:rPr>
                <w:rFonts w:ascii="Arial" w:hAnsi="Arial"/>
                <w:sz w:val="20"/>
              </w:rPr>
              <w:t>RNF-04</w:t>
            </w:r>
          </w:p>
        </w:tc>
        <w:tc>
          <w:tcPr>
            <w:tcW w:type="dxa" w:w="2160"/>
          </w:tcPr>
          <w:p>
            <w:r>
              <w:rPr>
                <w:rFonts w:ascii="Arial" w:hAnsi="Arial"/>
                <w:sz w:val="20"/>
              </w:rPr>
              <w:t>Capacidad de Escalabilidad</w:t>
            </w:r>
          </w:p>
        </w:tc>
        <w:tc>
          <w:tcPr>
            <w:tcW w:type="dxa" w:w="2160"/>
          </w:tcPr>
          <w:p>
            <w:r>
              <w:rPr>
                <w:rFonts w:ascii="Arial" w:hAnsi="Arial"/>
                <w:sz w:val="20"/>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0"/>
              </w:rPr>
              <w:t>El corredor puede requerir mayor densidad de detección en el futuro. La escalabilidad garantiza que la inversión inicial no requiera reemplazo ante crecimiento.</w:t>
            </w:r>
          </w:p>
        </w:tc>
      </w:tr>
      <w:tr>
        <w:tc>
          <w:tcPr>
            <w:tcW w:type="dxa" w:w="2160"/>
          </w:tcPr>
          <w:p>
            <w:r>
              <w:rPr>
                <w:rFonts w:ascii="Arial" w:hAnsi="Arial"/>
                <w:sz w:val="20"/>
              </w:rPr>
              <w:t>RNF-05</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0"/>
              </w:rPr>
              <w:t>Los motores de análisis de video son componentes críticos. Un compromiso podría desactivar la detección de incidentes o generar falsas alertas masivas.</w:t>
            </w:r>
          </w:p>
        </w:tc>
      </w:tr>
      <w:tr>
        <w:tc>
          <w:tcPr>
            <w:tcW w:type="dxa" w:w="2160"/>
          </w:tcPr>
          <w:p>
            <w:r>
              <w:rPr>
                <w:rFonts w:ascii="Arial" w:hAnsi="Arial"/>
                <w:sz w:val="20"/>
              </w:rPr>
              <w:t>RNF-06</w:t>
            </w:r>
          </w:p>
        </w:tc>
        <w:tc>
          <w:tcPr>
            <w:tcW w:type="dxa" w:w="2160"/>
          </w:tcPr>
          <w:p>
            <w:r>
              <w:rPr>
                <w:rFonts w:ascii="Arial" w:hAnsi="Arial"/>
                <w:sz w:val="20"/>
              </w:rPr>
              <w:t>Tolerancia Ambiental</w:t>
            </w:r>
          </w:p>
        </w:tc>
        <w:tc>
          <w:tcPr>
            <w:tcW w:type="dxa" w:w="2160"/>
          </w:tcPr>
          <w:p>
            <w:r>
              <w:rPr>
                <w:rFonts w:ascii="Arial" w:hAnsi="Arial"/>
                <w:sz w:val="20"/>
              </w:rPr>
              <w:t>Los nodos de edge deben operar en rango térmico -20°C a +60°C con IP65 de protección.</w:t>
            </w:r>
          </w:p>
        </w:tc>
        <w:tc>
          <w:tcPr>
            <w:tcW w:type="dxa" w:w="2160"/>
          </w:tcPr>
          <w:p>
            <w:r>
              <w:rPr>
                <w:rFonts w:ascii="Arial" w:hAnsi="Arial"/>
                <w:sz w:val="20"/>
              </w:rPr>
              <w:t>El corredor atraviesa zonas con condiciones climáticas diversas. Los nodos de edge deben operar confiablemente en todas las condiciones.</w:t>
            </w:r>
          </w:p>
        </w:tc>
      </w:tr>
      <w:tr>
        <w:tc>
          <w:tcPr>
            <w:tcW w:type="dxa" w:w="2160"/>
          </w:tcPr>
          <w:p>
            <w:r>
              <w:rPr>
                <w:rFonts w:ascii="Arial" w:hAnsi="Arial"/>
                <w:sz w:val="20"/>
              </w:rPr>
              <w:t>RNF-07</w:t>
            </w:r>
          </w:p>
        </w:tc>
        <w:tc>
          <w:tcPr>
            <w:tcW w:type="dxa" w:w="2160"/>
          </w:tcPr>
          <w:p>
            <w:r>
              <w:rPr>
                <w:rFonts w:ascii="Arial" w:hAnsi="Arial"/>
                <w:sz w:val="20"/>
              </w:rPr>
              <w:t>Privacidad y Protección de Datos</w:t>
            </w:r>
          </w:p>
        </w:tc>
        <w:tc>
          <w:tcPr>
            <w:tcW w:type="dxa" w:w="2160"/>
          </w:tcPr>
          <w:p>
            <w:r>
              <w:rPr>
                <w:rFonts w:ascii="Arial" w:hAnsi="Arial"/>
                <w:sz w:val="20"/>
              </w:rPr>
              <w:t>El sistema debe cumplir Ley 1581 de 2012, anonimizando rostros de conductores y peatones en las imágenes de evidencia almacenadas.</w:t>
            </w:r>
          </w:p>
        </w:tc>
        <w:tc>
          <w:tcPr>
            <w:tcW w:type="dxa" w:w="2160"/>
          </w:tcPr>
          <w:p>
            <w:r>
              <w:rPr>
                <w:rFonts w:ascii="Arial" w:hAnsi="Arial"/>
                <w:sz w:val="20"/>
              </w:rPr>
              <w:t>El cumplimiento normativo es obligatorio. La detección de incidentes no debe comprometer la privacidad de los usuarios de la vía.</w:t>
            </w:r>
          </w:p>
        </w:tc>
      </w:tr>
    </w:tbl>
    <w:p>
      <w:r>
        <w:t>Fuente: El autor</w:t>
      </w:r>
    </w:p>
    <w:p>
      <w:pPr>
        <w:pStyle w:val="Heading2"/>
      </w:pPr>
      <w:r>
        <w:rPr>
          <w:rFonts w:ascii="Arial" w:hAnsi="Arial"/>
          <w:sz w:val="22"/>
        </w:rPr>
        <w:t>8.2.5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0"/>
              </w:rPr>
              <w:t>ID</w:t>
            </w:r>
          </w:p>
        </w:tc>
        <w:tc>
          <w:tcPr>
            <w:tcW w:type="dxa" w:w="1728"/>
          </w:tcPr>
          <w:p>
            <w:r>
              <w:rPr>
                <w:rFonts w:ascii="Arial" w:hAnsi="Arial"/>
                <w:sz w:val="20"/>
              </w:rPr>
              <w:t>Indicador</w:t>
            </w:r>
          </w:p>
        </w:tc>
        <w:tc>
          <w:tcPr>
            <w:tcW w:type="dxa" w:w="1728"/>
          </w:tcPr>
          <w:p>
            <w:r>
              <w:rPr>
                <w:rFonts w:ascii="Arial" w:hAnsi="Arial"/>
                <w:sz w:val="20"/>
              </w:rPr>
              <w:t>Descripción</w:t>
            </w:r>
          </w:p>
        </w:tc>
        <w:tc>
          <w:tcPr>
            <w:tcW w:type="dxa" w:w="1728"/>
          </w:tcPr>
          <w:p>
            <w:r>
              <w:rPr>
                <w:rFonts w:ascii="Arial" w:hAnsi="Arial"/>
                <w:sz w:val="20"/>
              </w:rPr>
              <w:t>Meta</w:t>
            </w:r>
          </w:p>
        </w:tc>
        <w:tc>
          <w:tcPr>
            <w:tcW w:type="dxa" w:w="1728"/>
          </w:tcPr>
          <w:p>
            <w:r>
              <w:rPr>
                <w:rFonts w:ascii="Arial" w:hAnsi="Arial"/>
                <w:sz w:val="20"/>
              </w:rPr>
              <w:t>Frecuencia</w:t>
            </w:r>
          </w:p>
        </w:tc>
      </w:tr>
      <w:tr>
        <w:tc>
          <w:tcPr>
            <w:tcW w:type="dxa" w:w="1728"/>
          </w:tcPr>
          <w:p>
            <w:r>
              <w:rPr>
                <w:rFonts w:ascii="Arial" w:hAnsi="Arial"/>
                <w:sz w:val="20"/>
              </w:rPr>
              <w:t>KPI-01</w:t>
            </w:r>
          </w:p>
        </w:tc>
        <w:tc>
          <w:tcPr>
            <w:tcW w:type="dxa" w:w="1728"/>
          </w:tcPr>
          <w:p>
            <w:r>
              <w:rPr>
                <w:rFonts w:ascii="Arial" w:hAnsi="Arial"/>
                <w:sz w:val="20"/>
              </w:rPr>
              <w:t>Tasa de Detección</w:t>
            </w:r>
          </w:p>
        </w:tc>
        <w:tc>
          <w:tcPr>
            <w:tcW w:type="dxa" w:w="1728"/>
          </w:tcPr>
          <w:p>
            <w:r>
              <w:rPr>
                <w:rFonts w:ascii="Arial" w:hAnsi="Arial"/>
                <w:sz w:val="20"/>
              </w:rPr>
              <w:t>Porcentaje de incidentes reales detectados</w:t>
            </w:r>
          </w:p>
        </w:tc>
        <w:tc>
          <w:tcPr>
            <w:tcW w:type="dxa" w:w="1728"/>
          </w:tcPr>
          <w:p>
            <w:r>
              <w:rPr>
                <w:rFonts w:ascii="Arial" w:hAnsi="Arial"/>
                <w:sz w:val="20"/>
              </w:rPr>
              <w:t>≥ 95%</w:t>
            </w:r>
          </w:p>
        </w:tc>
        <w:tc>
          <w:tcPr>
            <w:tcW w:type="dxa" w:w="1728"/>
          </w:tcPr>
          <w:p>
            <w:r>
              <w:rPr>
                <w:rFonts w:ascii="Arial" w:hAnsi="Arial"/>
                <w:sz w:val="20"/>
              </w:rPr>
              <w:t>Mensual</w:t>
            </w:r>
          </w:p>
        </w:tc>
      </w:tr>
      <w:tr>
        <w:tc>
          <w:tcPr>
            <w:tcW w:type="dxa" w:w="1728"/>
          </w:tcPr>
          <w:p>
            <w:r>
              <w:rPr>
                <w:rFonts w:ascii="Arial" w:hAnsi="Arial"/>
                <w:sz w:val="20"/>
              </w:rPr>
              <w:t>KPI-02</w:t>
            </w:r>
          </w:p>
        </w:tc>
        <w:tc>
          <w:tcPr>
            <w:tcW w:type="dxa" w:w="1728"/>
          </w:tcPr>
          <w:p>
            <w:r>
              <w:rPr>
                <w:rFonts w:ascii="Arial" w:hAnsi="Arial"/>
                <w:sz w:val="20"/>
              </w:rPr>
              <w:t>Tasa de Falsos Positivos</w:t>
            </w:r>
          </w:p>
        </w:tc>
        <w:tc>
          <w:tcPr>
            <w:tcW w:type="dxa" w:w="1728"/>
          </w:tcPr>
          <w:p>
            <w:r>
              <w:rPr>
                <w:rFonts w:ascii="Arial" w:hAnsi="Arial"/>
                <w:sz w:val="20"/>
              </w:rPr>
              <w:t>Alertas sin incidente real / Total alertas</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KPI-03</w:t>
            </w:r>
          </w:p>
        </w:tc>
        <w:tc>
          <w:tcPr>
            <w:tcW w:type="dxa" w:w="1728"/>
          </w:tcPr>
          <w:p>
            <w:r>
              <w:rPr>
                <w:rFonts w:ascii="Arial" w:hAnsi="Arial"/>
                <w:sz w:val="20"/>
              </w:rPr>
              <w:t>Latencia Promedio</w:t>
            </w:r>
          </w:p>
        </w:tc>
        <w:tc>
          <w:tcPr>
            <w:tcW w:type="dxa" w:w="1728"/>
          </w:tcPr>
          <w:p>
            <w:r>
              <w:rPr>
                <w:rFonts w:ascii="Arial" w:hAnsi="Arial"/>
                <w:sz w:val="20"/>
              </w:rPr>
              <w:t>Tiempo detección a alerta</w:t>
            </w:r>
          </w:p>
        </w:tc>
        <w:tc>
          <w:tcPr>
            <w:tcW w:type="dxa" w:w="1728"/>
          </w:tcPr>
          <w:p>
            <w:r>
              <w:rPr>
                <w:rFonts w:ascii="Arial" w:hAnsi="Arial"/>
                <w:sz w:val="20"/>
              </w:rPr>
              <w:t>&lt; 2 segundos</w:t>
            </w:r>
          </w:p>
        </w:tc>
        <w:tc>
          <w:tcPr>
            <w:tcW w:type="dxa" w:w="1728"/>
          </w:tcPr>
          <w:p>
            <w:r>
              <w:rPr>
                <w:rFonts w:ascii="Arial" w:hAnsi="Arial"/>
                <w:sz w:val="20"/>
              </w:rPr>
              <w:t>Continua</w:t>
            </w:r>
          </w:p>
        </w:tc>
      </w:tr>
      <w:tr>
        <w:tc>
          <w:tcPr>
            <w:tcW w:type="dxa" w:w="1728"/>
          </w:tcPr>
          <w:p>
            <w:r>
              <w:rPr>
                <w:rFonts w:ascii="Arial" w:hAnsi="Arial"/>
                <w:sz w:val="20"/>
              </w:rPr>
              <w:t>KPI-04</w:t>
            </w:r>
          </w:p>
        </w:tc>
        <w:tc>
          <w:tcPr>
            <w:tcW w:type="dxa" w:w="1728"/>
          </w:tcPr>
          <w:p>
            <w:r>
              <w:rPr>
                <w:rFonts w:ascii="Arial" w:hAnsi="Arial"/>
                <w:sz w:val="20"/>
              </w:rPr>
              <w:t>Disponibilidad del Sistema</w:t>
            </w:r>
          </w:p>
        </w:tc>
        <w:tc>
          <w:tcPr>
            <w:tcW w:type="dxa" w:w="1728"/>
          </w:tcPr>
          <w:p>
            <w:r>
              <w:rPr>
                <w:rFonts w:ascii="Arial" w:hAnsi="Arial"/>
                <w:sz w:val="20"/>
              </w:rPr>
              <w:t>Tiempo operativo del sistema AID</w:t>
            </w:r>
          </w:p>
        </w:tc>
        <w:tc>
          <w:tcPr>
            <w:tcW w:type="dxa" w:w="1728"/>
          </w:tcPr>
          <w:p>
            <w:r>
              <w:rPr>
                <w:rFonts w:ascii="Arial" w:hAnsi="Arial"/>
                <w:sz w:val="20"/>
              </w:rPr>
              <w:t>≥ 99.5%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Geográfica</w:t>
            </w:r>
          </w:p>
        </w:tc>
        <w:tc>
          <w:tcPr>
            <w:tcW w:type="dxa" w:w="1728"/>
          </w:tcPr>
          <w:p>
            <w:r>
              <w:rPr>
                <w:rFonts w:ascii="Arial" w:hAnsi="Arial"/>
                <w:sz w:val="20"/>
              </w:rPr>
              <w:t>Distancia entre detección y ubicación real</w:t>
            </w:r>
          </w:p>
        </w:tc>
        <w:tc>
          <w:tcPr>
            <w:tcW w:type="dxa" w:w="1728"/>
          </w:tcPr>
          <w:p>
            <w:r>
              <w:rPr>
                <w:rFonts w:ascii="Arial" w:hAnsi="Arial"/>
                <w:sz w:val="20"/>
              </w:rPr>
              <w:t>&lt; 10 metros</w:t>
            </w:r>
          </w:p>
        </w:tc>
        <w:tc>
          <w:tcPr>
            <w:tcW w:type="dxa" w:w="1728"/>
          </w:tcPr>
          <w:p>
            <w:r>
              <w:rPr>
                <w:rFonts w:ascii="Arial" w:hAnsi="Arial"/>
                <w:sz w:val="20"/>
              </w:rPr>
              <w:t>Trimestral</w:t>
            </w:r>
          </w:p>
        </w:tc>
      </w:tr>
      <w:tr>
        <w:tc>
          <w:tcPr>
            <w:tcW w:type="dxa" w:w="1728"/>
          </w:tcPr>
          <w:p>
            <w:r>
              <w:rPr>
                <w:rFonts w:ascii="Arial" w:hAnsi="Arial"/>
                <w:sz w:val="20"/>
              </w:rPr>
              <w:t>KPI-06</w:t>
            </w:r>
          </w:p>
        </w:tc>
        <w:tc>
          <w:tcPr>
            <w:tcW w:type="dxa" w:w="1728"/>
          </w:tcPr>
          <w:p>
            <w:r>
              <w:rPr>
                <w:rFonts w:ascii="Arial" w:hAnsi="Arial"/>
                <w:sz w:val="20"/>
              </w:rPr>
              <w:t>Tiempo de Respuesta CCO</w:t>
            </w:r>
          </w:p>
        </w:tc>
        <w:tc>
          <w:tcPr>
            <w:tcW w:type="dxa" w:w="1728"/>
          </w:tcPr>
          <w:p>
            <w:r>
              <w:rPr>
                <w:rFonts w:ascii="Arial" w:hAnsi="Arial"/>
                <w:sz w:val="20"/>
              </w:rPr>
              <w:t>Tiempo desde alerta hasta acción del operador</w:t>
            </w:r>
          </w:p>
        </w:tc>
        <w:tc>
          <w:tcPr>
            <w:tcW w:type="dxa" w:w="1728"/>
          </w:tcPr>
          <w:p>
            <w:r>
              <w:rPr>
                <w:rFonts w:ascii="Arial" w:hAnsi="Arial"/>
                <w:sz w:val="20"/>
              </w:rPr>
              <w:t>&lt; 30 segundos</w:t>
            </w:r>
          </w:p>
        </w:tc>
        <w:tc>
          <w:tcPr>
            <w:tcW w:type="dxa" w:w="1728"/>
          </w:tcPr>
          <w:p>
            <w:r>
              <w:rPr>
                <w:rFonts w:ascii="Arial" w:hAnsi="Arial"/>
                <w:sz w:val="20"/>
              </w:rPr>
              <w:t>Mensual</w:t>
            </w:r>
          </w:p>
        </w:tc>
      </w:tr>
      <w:tr>
        <w:tc>
          <w:tcPr>
            <w:tcW w:type="dxa" w:w="1728"/>
          </w:tcPr>
          <w:p>
            <w:r>
              <w:rPr>
                <w:rFonts w:ascii="Arial" w:hAnsi="Arial"/>
                <w:sz w:val="20"/>
              </w:rPr>
              <w:t>KPI-07</w:t>
            </w:r>
          </w:p>
        </w:tc>
        <w:tc>
          <w:tcPr>
            <w:tcW w:type="dxa" w:w="1728"/>
          </w:tcPr>
          <w:p>
            <w:r>
              <w:rPr>
                <w:rFonts w:ascii="Arial" w:hAnsi="Arial"/>
                <w:sz w:val="20"/>
              </w:rPr>
              <w:t>Reducción de Accidentes Secundarios</w:t>
            </w:r>
          </w:p>
        </w:tc>
        <w:tc>
          <w:tcPr>
            <w:tcW w:type="dxa" w:w="1728"/>
          </w:tcPr>
          <w:p>
            <w:r>
              <w:rPr>
                <w:rFonts w:ascii="Arial" w:hAnsi="Arial"/>
                <w:sz w:val="20"/>
              </w:rPr>
              <w:t>Comparación año a año en tramos con AID</w:t>
            </w:r>
          </w:p>
        </w:tc>
        <w:tc>
          <w:tcPr>
            <w:tcW w:type="dxa" w:w="1728"/>
          </w:tcPr>
          <w:p>
            <w:r>
              <w:rPr>
                <w:rFonts w:ascii="Arial" w:hAnsi="Arial"/>
                <w:sz w:val="20"/>
              </w:rPr>
              <w:t>≥ 15%</w:t>
            </w:r>
          </w:p>
        </w:tc>
        <w:tc>
          <w:tcPr>
            <w:tcW w:type="dxa" w:w="1728"/>
          </w:tcPr>
          <w:p>
            <w:r>
              <w:rPr>
                <w:rFonts w:ascii="Arial" w:hAnsi="Arial"/>
                <w:sz w:val="20"/>
              </w:rPr>
              <w:t>Anual</w:t>
            </w:r>
          </w:p>
        </w:tc>
      </w:tr>
      <w:tr>
        <w:tc>
          <w:tcPr>
            <w:tcW w:type="dxa" w:w="1728"/>
          </w:tcPr>
          <w:p>
            <w:r>
              <w:rPr>
                <w:rFonts w:ascii="Arial" w:hAnsi="Arial"/>
                <w:sz w:val="20"/>
              </w:rPr>
              <w:t>KPI-08</w:t>
            </w:r>
          </w:p>
        </w:tc>
        <w:tc>
          <w:tcPr>
            <w:tcW w:type="dxa" w:w="1728"/>
          </w:tcPr>
          <w:p>
            <w:r>
              <w:rPr>
                <w:rFonts w:ascii="Arial" w:hAnsi="Arial"/>
                <w:sz w:val="20"/>
              </w:rPr>
              <w:t>Satisfacción de Operadores</w:t>
            </w:r>
          </w:p>
        </w:tc>
        <w:tc>
          <w:tcPr>
            <w:tcW w:type="dxa" w:w="1728"/>
          </w:tcPr>
          <w:p>
            <w:r>
              <w:rPr>
                <w:rFonts w:ascii="Arial" w:hAnsi="Arial"/>
                <w:sz w:val="20"/>
              </w:rPr>
              <w:t>Evaluación de utilidad del sistema</w:t>
            </w:r>
          </w:p>
        </w:tc>
        <w:tc>
          <w:tcPr>
            <w:tcW w:type="dxa" w:w="1728"/>
          </w:tcPr>
          <w:p>
            <w:r>
              <w:rPr>
                <w:rFonts w:ascii="Arial" w:hAnsi="Arial"/>
                <w:sz w:val="20"/>
              </w:rPr>
              <w:t>≥ 4.0/5.0</w:t>
            </w:r>
          </w:p>
        </w:tc>
        <w:tc>
          <w:tcPr>
            <w:tcW w:type="dxa" w:w="1728"/>
          </w:tcPr>
          <w:p>
            <w:r>
              <w:rPr>
                <w:rFonts w:ascii="Arial" w:hAnsi="Arial"/>
                <w:sz w:val="20"/>
              </w:rPr>
              <w:t>Semestral</w:t>
            </w:r>
          </w:p>
        </w:tc>
      </w:tr>
    </w:tbl>
    <w:p>
      <w:r>
        <w:t>Fuente: El autor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