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3163ED" w14:textId="77777777" w:rsidR="00686644" w:rsidRDefault="00CE2D96">
      <w:pPr>
        <w:spacing w:before="2400"/>
        <w:jc w:val="center"/>
      </w:pPr>
      <w:r>
        <w:rPr>
          <w:b/>
          <w:bCs/>
          <w:color w:val="1F4E79"/>
          <w:sz w:val="48"/>
          <w:szCs w:val="48"/>
        </w:rPr>
        <w:t>SISTEMA DE ADMINISTRACIÓN FINANCIERA</w:t>
      </w:r>
    </w:p>
    <w:p w14:paraId="33D3540A" w14:textId="77777777" w:rsidR="00686644" w:rsidRDefault="00CE2D96">
      <w:pPr>
        <w:jc w:val="center"/>
      </w:pPr>
      <w:r>
        <w:rPr>
          <w:b/>
          <w:bCs/>
          <w:color w:val="1F4E79"/>
          <w:sz w:val="48"/>
          <w:szCs w:val="48"/>
        </w:rPr>
        <w:t>GUBERNAMENTAL CONDUCIDO POR IA</w:t>
      </w:r>
    </w:p>
    <w:p w14:paraId="4D4BCE69" w14:textId="77777777" w:rsidR="00686644" w:rsidRDefault="00686644">
      <w:pPr>
        <w:pBdr>
          <w:bottom w:val="single" w:sz="12" w:space="8" w:color="2E75B6"/>
        </w:pBdr>
        <w:spacing w:before="240"/>
        <w:jc w:val="center"/>
      </w:pPr>
    </w:p>
    <w:p w14:paraId="703A769F" w14:textId="77777777" w:rsidR="00686644" w:rsidRDefault="00CE2D96">
      <w:pPr>
        <w:spacing w:before="360"/>
        <w:jc w:val="center"/>
      </w:pPr>
      <w:r>
        <w:rPr>
          <w:i/>
          <w:iCs/>
          <w:color w:val="595959"/>
          <w:sz w:val="26"/>
          <w:szCs w:val="26"/>
        </w:rPr>
        <w:t>Diseño conceptual, mejores prácticas internacionales y hoja de ruta para un MVP</w:t>
      </w:r>
    </w:p>
    <w:p w14:paraId="0DE5A1DC" w14:textId="77777777" w:rsidR="00686644" w:rsidRDefault="00CE2D96">
      <w:pPr>
        <w:spacing w:before="2000"/>
        <w:jc w:val="center"/>
      </w:pPr>
      <w:r>
        <w:rPr>
          <w:color w:val="595959"/>
        </w:rPr>
        <w:t>Documento de trabajo — Versión 1.0</w:t>
      </w:r>
    </w:p>
    <w:p w14:paraId="3D7F1E35" w14:textId="77777777" w:rsidR="00686644" w:rsidRDefault="00CE2D96">
      <w:pPr>
        <w:jc w:val="center"/>
      </w:pPr>
      <w:r>
        <w:rPr>
          <w:color w:val="595959"/>
        </w:rPr>
        <w:t>Junio 2026</w:t>
      </w:r>
    </w:p>
    <w:p w14:paraId="50B6B450" w14:textId="77777777" w:rsidR="00686644" w:rsidRDefault="00CE2D96">
      <w:r>
        <w:br w:type="page"/>
      </w:r>
    </w:p>
    <w:p w14:paraId="0C3051D5" w14:textId="77777777" w:rsidR="00686644" w:rsidRDefault="00CE2D96">
      <w:pPr>
        <w:pStyle w:val="Ttulo1"/>
      </w:pPr>
      <w:r>
        <w:lastRenderedPageBreak/>
        <w:t>Índice</w:t>
      </w:r>
    </w:p>
    <w:sdt>
      <w:sdtPr>
        <w:alias w:val="Tabla de contenidos"/>
        <w:id w:val="393556990"/>
      </w:sdtPr>
      <w:sdtEndPr/>
      <w:sdtContent>
        <w:p w14:paraId="34C01A04" w14:textId="77777777" w:rsidR="00686644" w:rsidRDefault="00CE2D96">
          <w:r>
            <w:fldChar w:fldCharType="begin"/>
          </w:r>
          <w:r>
            <w:instrText>TOC \h \o "1-2"</w:instrText>
          </w:r>
          <w:r>
            <w:fldChar w:fldCharType="separate"/>
          </w:r>
        </w:p>
        <w:p w14:paraId="48B2E9CA" w14:textId="77777777" w:rsidR="00686644" w:rsidRDefault="00CE2D96">
          <w:r>
            <w:fldChar w:fldCharType="end"/>
          </w:r>
        </w:p>
      </w:sdtContent>
    </w:sdt>
    <w:p w14:paraId="12BFB829" w14:textId="77777777" w:rsidR="00686644" w:rsidRDefault="00CE2D96">
      <w:r>
        <w:br w:type="page"/>
      </w:r>
    </w:p>
    <w:p w14:paraId="6008C533" w14:textId="77777777" w:rsidR="00686644" w:rsidRDefault="00CE2D96">
      <w:pPr>
        <w:pStyle w:val="Ttulo1"/>
      </w:pPr>
      <w:r>
        <w:lastRenderedPageBreak/>
        <w:t>1. Resumen ejecutivo</w:t>
      </w:r>
    </w:p>
    <w:p w14:paraId="4B821A3B" w14:textId="77777777" w:rsidR="00686644" w:rsidRDefault="00CE2D96">
      <w:pPr>
        <w:spacing w:after="120" w:line="276" w:lineRule="auto"/>
        <w:jc w:val="both"/>
      </w:pPr>
      <w:r>
        <w:t xml:space="preserve">Este documento propone el diseño de un sistema de administración financiera gubernamental simple, innovador y conducido por agentes de inteligencia artificial. El sistema cubre el ciclo completo del gasto público —desde la formulación </w:t>
      </w:r>
      <w:r>
        <w:t>presupuestaria hasta el pago y la rendición de cuentas— y un módulo de recaudación diseñado para minimizar la mora y la evasión. La premisa central es que la interacción del usuario ocurra principalmente por voz o lenguaje natural: en cada etapa del gasto,</w:t>
      </w:r>
      <w:r>
        <w:t xml:space="preserve"> un agente de IA solicita proactivamente la información faltante y la documentación de respaldo, valida la consistencia de los datos y deja todo trazado para auditoría.</w:t>
      </w:r>
    </w:p>
    <w:p w14:paraId="59352811" w14:textId="77777777" w:rsidR="00686644" w:rsidRDefault="00CE2D96">
      <w:pPr>
        <w:spacing w:after="120" w:line="276" w:lineRule="auto"/>
        <w:jc w:val="both"/>
      </w:pPr>
      <w:r>
        <w:t>El enfoque se apoya en estándares internacionales consolidados. Los sistemas integrados</w:t>
      </w:r>
      <w:r>
        <w:t xml:space="preserve"> de administración financiera (GFMIS / SIAF) llevan más de tres décadas demostrando que automatizar la gestión financiera produce información más precisa, confiable y oportuna, contribuyendo directamente a mejorar la rendición de cuentas, la transparencia </w:t>
      </w:r>
      <w:r>
        <w:t>y la lucha contra la corrupción. Sobre esa base probada, este diseño incorpora la capa de IA y de transparencia activa que las administraciones líderes están adoptando hoy.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644" w14:paraId="458BA8F2" w14:textId="77777777">
        <w:tblPrEx>
          <w:tblCellMar>
            <w:top w:w="0" w:type="dxa"/>
            <w:bottom w:w="0" w:type="dxa"/>
          </w:tblCellMar>
        </w:tblPrEx>
        <w:tc>
          <w:tcPr>
            <w:tcW w:w="9360" w:type="dxa"/>
            <w:tcBorders>
              <w:top w:val="single" w:sz="1" w:space="0" w:color="2E75B6"/>
              <w:left w:val="single" w:sz="24" w:space="0" w:color="2E75B6"/>
              <w:bottom w:val="single" w:sz="1" w:space="0" w:color="2E75B6"/>
              <w:right w:val="single" w:sz="1" w:space="0" w:color="2E75B6"/>
            </w:tcBorders>
            <w:shd w:val="clear" w:color="auto" w:fill="D5E8F0"/>
            <w:tcMar>
              <w:top w:w="120" w:type="dxa"/>
              <w:left w:w="200" w:type="dxa"/>
              <w:bottom w:w="120" w:type="dxa"/>
              <w:right w:w="200" w:type="dxa"/>
            </w:tcMar>
          </w:tcPr>
          <w:p w14:paraId="674EFDD3" w14:textId="77777777" w:rsidR="00686644" w:rsidRDefault="00CE2D96">
            <w:pPr>
              <w:spacing w:after="60"/>
            </w:pPr>
            <w:r>
              <w:rPr>
                <w:b/>
                <w:bCs/>
                <w:color w:val="1F4E79"/>
              </w:rPr>
              <w:t>Idea fuerza</w:t>
            </w:r>
          </w:p>
          <w:p w14:paraId="5C6C65D6" w14:textId="77777777" w:rsidR="00686644" w:rsidRDefault="00CE2D96">
            <w:r>
              <w:t>Un empleado llega a su puesto, abre la pantalla de la etapa que le corr</w:t>
            </w:r>
            <w:r>
              <w:t>esponde y simplemente habla. El agente entiende la intención según los permisos del usuario, genera los documentos correctos, pide lo que falta, valida y registra. El ciudadano, del otro lado, paga e interactúa desde su teléfono con la misma simplicidad.</w:t>
            </w:r>
          </w:p>
        </w:tc>
      </w:tr>
    </w:tbl>
    <w:p w14:paraId="19DD1C77" w14:textId="77777777" w:rsidR="00686644" w:rsidRDefault="00686644">
      <w:pPr>
        <w:spacing w:after="120"/>
      </w:pPr>
    </w:p>
    <w:p w14:paraId="5299BED2" w14:textId="77777777" w:rsidR="00686644" w:rsidRDefault="00CE2D96">
      <w:pPr>
        <w:pStyle w:val="Ttulo1"/>
      </w:pPr>
      <w:r>
        <w:t>2. Principios de diseño</w:t>
      </w:r>
    </w:p>
    <w:p w14:paraId="6F3A63F7" w14:textId="77777777" w:rsidR="00686644" w:rsidRDefault="00CE2D96">
      <w:pPr>
        <w:spacing w:after="120" w:line="276" w:lineRule="auto"/>
        <w:jc w:val="both"/>
      </w:pPr>
      <w:r>
        <w:t>El sistema se construye sobre siete principios que ordenan todas las decisiones de producto y de arquitectura:</w:t>
      </w:r>
    </w:p>
    <w:p w14:paraId="2E19E73A" w14:textId="77777777" w:rsidR="00686644" w:rsidRDefault="00CE2D96">
      <w:pPr>
        <w:pStyle w:val="Prrafodelista"/>
        <w:numPr>
          <w:ilvl w:val="0"/>
          <w:numId w:val="2"/>
        </w:numPr>
        <w:spacing w:after="60" w:line="264" w:lineRule="auto"/>
      </w:pPr>
      <w:r>
        <w:rPr>
          <w:b/>
          <w:bCs/>
        </w:rPr>
        <w:t xml:space="preserve">Simplicidad radical. </w:t>
      </w:r>
      <w:r>
        <w:t xml:space="preserve">Cada pantalla resuelve una sola etapa del gasto o de la recaudación. La complejidad la absorbe el </w:t>
      </w:r>
      <w:r>
        <w:t>agente, no el usuario.</w:t>
      </w:r>
    </w:p>
    <w:p w14:paraId="32C87683" w14:textId="77777777" w:rsidR="00686644" w:rsidRDefault="00CE2D96">
      <w:pPr>
        <w:pStyle w:val="Prrafodelista"/>
        <w:numPr>
          <w:ilvl w:val="0"/>
          <w:numId w:val="2"/>
        </w:numPr>
        <w:spacing w:after="60" w:line="264" w:lineRule="auto"/>
      </w:pPr>
      <w:r>
        <w:rPr>
          <w:b/>
          <w:bCs/>
        </w:rPr>
        <w:t xml:space="preserve">Interacción por lenguaje natural. </w:t>
      </w:r>
      <w:r>
        <w:t>Voz o texto como entrada primaria; los formularios se completan solos y el usuario solo confirma o corrige.</w:t>
      </w:r>
    </w:p>
    <w:p w14:paraId="4F773C48" w14:textId="77777777" w:rsidR="00686644" w:rsidRDefault="00CE2D96">
      <w:pPr>
        <w:pStyle w:val="Prrafodelista"/>
        <w:numPr>
          <w:ilvl w:val="0"/>
          <w:numId w:val="2"/>
        </w:numPr>
        <w:spacing w:after="60" w:line="264" w:lineRule="auto"/>
      </w:pPr>
      <w:r>
        <w:rPr>
          <w:b/>
          <w:bCs/>
        </w:rPr>
        <w:t xml:space="preserve">Permisos que definen intención. </w:t>
      </w:r>
      <w:r>
        <w:t>El rol del usuario determina qué tipo de acción puede dispa</w:t>
      </w:r>
      <w:r>
        <w:t>rar, de modo que cuando escribe o habla, el sistema ya sabe el universo de acciones posibles.</w:t>
      </w:r>
    </w:p>
    <w:p w14:paraId="2C5074F1" w14:textId="77777777" w:rsidR="00686644" w:rsidRDefault="00CE2D96">
      <w:pPr>
        <w:pStyle w:val="Prrafodelista"/>
        <w:numPr>
          <w:ilvl w:val="0"/>
          <w:numId w:val="2"/>
        </w:numPr>
        <w:spacing w:after="60" w:line="264" w:lineRule="auto"/>
      </w:pPr>
      <w:r>
        <w:rPr>
          <w:b/>
          <w:bCs/>
        </w:rPr>
        <w:t xml:space="preserve">Humano en el control de decisiones irreversibles. </w:t>
      </w:r>
      <w:r>
        <w:t>La IA prepara, analiza y recomienda; las decisiones con efecto jurídico o económico (adjudicar, pagar, condonar)</w:t>
      </w:r>
      <w:r>
        <w:t xml:space="preserve"> requieren confirmación humana explícita.</w:t>
      </w:r>
    </w:p>
    <w:p w14:paraId="25A312C6" w14:textId="77777777" w:rsidR="00686644" w:rsidRDefault="00CE2D96">
      <w:pPr>
        <w:pStyle w:val="Prrafodelista"/>
        <w:numPr>
          <w:ilvl w:val="0"/>
          <w:numId w:val="2"/>
        </w:numPr>
        <w:spacing w:after="60" w:line="264" w:lineRule="auto"/>
      </w:pPr>
      <w:r>
        <w:rPr>
          <w:b/>
          <w:bCs/>
        </w:rPr>
        <w:t xml:space="preserve">Transparencia por diseño. </w:t>
      </w:r>
      <w:r>
        <w:t>Los datos se publican de forma abierta a lo largo de todo el ciclo, salvo excepciones justificadas, en lugar de clasificarse como confidenciales por defecto.</w:t>
      </w:r>
    </w:p>
    <w:p w14:paraId="7C140BDE" w14:textId="77777777" w:rsidR="00686644" w:rsidRDefault="00CE2D96">
      <w:pPr>
        <w:pStyle w:val="Prrafodelista"/>
        <w:numPr>
          <w:ilvl w:val="0"/>
          <w:numId w:val="2"/>
        </w:numPr>
        <w:spacing w:after="60" w:line="264" w:lineRule="auto"/>
      </w:pPr>
      <w:r>
        <w:rPr>
          <w:b/>
          <w:bCs/>
        </w:rPr>
        <w:t xml:space="preserve">Trazabilidad y </w:t>
      </w:r>
      <w:proofErr w:type="spellStart"/>
      <w:r>
        <w:rPr>
          <w:b/>
          <w:bCs/>
        </w:rPr>
        <w:t>explicabilidad</w:t>
      </w:r>
      <w:proofErr w:type="spellEnd"/>
      <w:r>
        <w:rPr>
          <w:b/>
          <w:bCs/>
        </w:rPr>
        <w:t xml:space="preserve"> </w:t>
      </w:r>
      <w:r>
        <w:rPr>
          <w:b/>
          <w:bCs/>
        </w:rPr>
        <w:t xml:space="preserve">totales. </w:t>
      </w:r>
      <w:r>
        <w:t>Toda acción del agente queda registrada con su justificación; los modelos deben poder explicar por qué marcaron un riesgo o seleccionaron una opción.</w:t>
      </w:r>
    </w:p>
    <w:p w14:paraId="281850F7" w14:textId="77777777" w:rsidR="00686644" w:rsidRDefault="00CE2D96">
      <w:pPr>
        <w:pStyle w:val="Prrafodelista"/>
        <w:numPr>
          <w:ilvl w:val="0"/>
          <w:numId w:val="2"/>
        </w:numPr>
        <w:spacing w:after="60" w:line="264" w:lineRule="auto"/>
      </w:pPr>
      <w:r>
        <w:rPr>
          <w:b/>
          <w:bCs/>
        </w:rPr>
        <w:lastRenderedPageBreak/>
        <w:t xml:space="preserve">Aprendizaje incorporado. </w:t>
      </w:r>
      <w:r>
        <w:t>Cada pantalla incluye capacitación contextual para empleados noveles y d</w:t>
      </w:r>
      <w:r>
        <w:t>etección de inconsistencias en tiempo real.</w:t>
      </w:r>
    </w:p>
    <w:p w14:paraId="47E6DD63" w14:textId="77777777" w:rsidR="00686644" w:rsidRDefault="00CE2D96">
      <w:r>
        <w:br w:type="page"/>
      </w:r>
    </w:p>
    <w:p w14:paraId="7EC7E7A4" w14:textId="77777777" w:rsidR="00686644" w:rsidRDefault="00CE2D96">
      <w:pPr>
        <w:pStyle w:val="Ttulo1"/>
      </w:pPr>
      <w:r>
        <w:lastRenderedPageBreak/>
        <w:t>3. Marco de referencia y mejores prácticas internacionales</w:t>
      </w:r>
    </w:p>
    <w:p w14:paraId="560E861F" w14:textId="77777777" w:rsidR="00686644" w:rsidRDefault="00CE2D96">
      <w:pPr>
        <w:spacing w:after="120" w:line="276" w:lineRule="auto"/>
        <w:jc w:val="both"/>
      </w:pPr>
      <w:r>
        <w:t xml:space="preserve">El diseño no parte de cero: se alinea con marcos y experiencias internacionales verificables. A </w:t>
      </w:r>
      <w:proofErr w:type="gramStart"/>
      <w:r>
        <w:t>continuación</w:t>
      </w:r>
      <w:proofErr w:type="gramEnd"/>
      <w:r>
        <w:t xml:space="preserve"> se resumen los más relevantes, con sus fue</w:t>
      </w:r>
      <w:r>
        <w:t>ntes.</w:t>
      </w:r>
    </w:p>
    <w:p w14:paraId="063C43BC" w14:textId="77777777" w:rsidR="00686644" w:rsidRDefault="00CE2D96">
      <w:pPr>
        <w:pStyle w:val="Ttulo2"/>
      </w:pPr>
      <w:r>
        <w:t>3.1. Sistemas integrados de administración financiera (GFMIS / SIAF)</w:t>
      </w:r>
    </w:p>
    <w:p w14:paraId="50FF290F" w14:textId="77777777" w:rsidR="00686644" w:rsidRDefault="00CE2D96">
      <w:pPr>
        <w:spacing w:after="120" w:line="276" w:lineRule="auto"/>
        <w:jc w:val="both"/>
      </w:pPr>
      <w:r>
        <w:t>Durante los últimos treinta años, gobiernos de todo el mundo modernizaron su gestión financiera pública apoyándose en tecnología para automatizar procesos. Los GFMIS son el conjunto de herramientas electrónicas que fortalecen y automatizan la gestión finan</w:t>
      </w:r>
      <w:r>
        <w:t>ciera del Estado, abarcando desde la formulación y ejecución del presupuesto hasta los reportes financieros y el monitoreo. Su funcionalidad automatizada genera información más precisa, confiable y oportuna, lo que contribuye directamente a mejorar la rend</w:t>
      </w:r>
      <w:r>
        <w:t>ición de cuentas, la transparencia y el combate a la corrupción.</w:t>
      </w:r>
    </w:p>
    <w:p w14:paraId="67D71344" w14:textId="77777777" w:rsidR="00686644" w:rsidRDefault="00CE2D96">
      <w:pPr>
        <w:spacing w:after="120" w:line="276" w:lineRule="auto"/>
        <w:jc w:val="both"/>
      </w:pPr>
      <w:r>
        <w:t>La experiencia comparada también deja una advertencia clave: cuando estos sistemas se implementan sobre prácticas de gestión ineficientes y controles débiles, los avances en transparencia son</w:t>
      </w:r>
      <w:r>
        <w:t xml:space="preserve"> limitados. En el caso de Afganistán, por ejemplo, la implementación del sistema redujo las variaciones entre el presupuesto aprobado y el gasto efectivo e introdujo controles para prevenir la corrupción. La lección de diseño es que la tecnología debe acom</w:t>
      </w:r>
      <w:r>
        <w:t>pañarse de procesos y controles sólidos para rendir frutos.</w:t>
      </w:r>
    </w:p>
    <w:p w14:paraId="410B0A58" w14:textId="77777777" w:rsidR="00686644" w:rsidRDefault="00CE2D96">
      <w:pPr>
        <w:spacing w:after="120"/>
      </w:pPr>
      <w:r>
        <w:rPr>
          <w:i/>
          <w:iCs/>
          <w:color w:val="595959"/>
          <w:sz w:val="18"/>
          <w:szCs w:val="18"/>
        </w:rPr>
        <w:t xml:space="preserve">Fuente: Blog de Gestión Financiera Pública del FMI (PFM Blog), “GFMIS – A Tool </w:t>
      </w:r>
      <w:proofErr w:type="spellStart"/>
      <w:r>
        <w:rPr>
          <w:i/>
          <w:iCs/>
          <w:color w:val="595959"/>
          <w:sz w:val="18"/>
          <w:szCs w:val="18"/>
        </w:rPr>
        <w:t>for</w:t>
      </w:r>
      <w:proofErr w:type="spellEnd"/>
      <w:r>
        <w:rPr>
          <w:i/>
          <w:iCs/>
          <w:color w:val="595959"/>
          <w:sz w:val="18"/>
          <w:szCs w:val="18"/>
        </w:rPr>
        <w:t xml:space="preserve"> </w:t>
      </w:r>
      <w:proofErr w:type="spellStart"/>
      <w:r>
        <w:rPr>
          <w:i/>
          <w:iCs/>
          <w:color w:val="595959"/>
          <w:sz w:val="18"/>
          <w:szCs w:val="18"/>
        </w:rPr>
        <w:t>Improving</w:t>
      </w:r>
      <w:proofErr w:type="spellEnd"/>
      <w:r>
        <w:rPr>
          <w:i/>
          <w:iCs/>
          <w:color w:val="595959"/>
          <w:sz w:val="18"/>
          <w:szCs w:val="18"/>
        </w:rPr>
        <w:t xml:space="preserve"> </w:t>
      </w:r>
      <w:proofErr w:type="spellStart"/>
      <w:r>
        <w:rPr>
          <w:i/>
          <w:iCs/>
          <w:color w:val="595959"/>
          <w:sz w:val="18"/>
          <w:szCs w:val="18"/>
        </w:rPr>
        <w:t>Transparency</w:t>
      </w:r>
      <w:proofErr w:type="spellEnd"/>
      <w:r>
        <w:rPr>
          <w:i/>
          <w:iCs/>
          <w:color w:val="595959"/>
          <w:sz w:val="18"/>
          <w:szCs w:val="18"/>
        </w:rPr>
        <w:t xml:space="preserve"> and </w:t>
      </w:r>
      <w:proofErr w:type="spellStart"/>
      <w:r>
        <w:rPr>
          <w:i/>
          <w:iCs/>
          <w:color w:val="595959"/>
          <w:sz w:val="18"/>
          <w:szCs w:val="18"/>
        </w:rPr>
        <w:t>Accountability</w:t>
      </w:r>
      <w:proofErr w:type="spellEnd"/>
      <w:r>
        <w:rPr>
          <w:i/>
          <w:iCs/>
          <w:color w:val="595959"/>
          <w:sz w:val="18"/>
          <w:szCs w:val="18"/>
        </w:rPr>
        <w:t>”, 2019. blog-pfm.imf.org</w:t>
      </w:r>
    </w:p>
    <w:p w14:paraId="5F98A85C" w14:textId="77777777" w:rsidR="00686644" w:rsidRDefault="00CE2D96">
      <w:pPr>
        <w:pStyle w:val="Ttulo2"/>
      </w:pPr>
      <w:r>
        <w:t>3.2. IA en el sector público: principios de co</w:t>
      </w:r>
      <w:r>
        <w:t>nfianza</w:t>
      </w:r>
    </w:p>
    <w:p w14:paraId="7E7FBBD1" w14:textId="77777777" w:rsidR="00686644" w:rsidRDefault="00CE2D96">
      <w:pPr>
        <w:spacing w:after="120" w:line="276" w:lineRule="auto"/>
        <w:jc w:val="both"/>
      </w:pPr>
      <w:r>
        <w:t>La adopción de IA en gobierno debe ser, ante todo, confiable. Los Principios de IA de la OCDE, adoptados en 2019 y actualizados en mayo de 2024, promueven una IA innovadora y confiable que respete los derechos humanos y los valores democráticos; la revisió</w:t>
      </w:r>
      <w:r>
        <w:t xml:space="preserve">n de 2024 incorporó de forma explícita el respeto al Estado de derecho y la necesidad de abordar la desinformación amplificada por sistemas de IA. La Recomendación de la UNESCO sobre la Ética de la IA (2021) y el </w:t>
      </w:r>
      <w:proofErr w:type="spellStart"/>
      <w:r>
        <w:t>Toolkit</w:t>
      </w:r>
      <w:proofErr w:type="spellEnd"/>
      <w:r>
        <w:t xml:space="preserve"> del G7 para IA en el sector público</w:t>
      </w:r>
      <w:r>
        <w:t xml:space="preserve"> (2024) complementan ese marco.</w:t>
      </w:r>
    </w:p>
    <w:p w14:paraId="05553E6F" w14:textId="77777777" w:rsidR="00686644" w:rsidRPr="00D454E1" w:rsidRDefault="00CE2D96">
      <w:pPr>
        <w:spacing w:after="120"/>
        <w:rPr>
          <w:lang w:val="en-US"/>
        </w:rPr>
      </w:pPr>
      <w:r w:rsidRPr="00D454E1">
        <w:rPr>
          <w:i/>
          <w:iCs/>
          <w:color w:val="595959"/>
          <w:sz w:val="18"/>
          <w:szCs w:val="18"/>
          <w:lang w:val="en-US"/>
        </w:rPr>
        <w:t>Fuente: OCDE, “Governing with Artificial Intelligence”, 2024 (OECD/LEGAL/0449); G7 Toolkit for AI in the Public Sector, 2024. oecd.org</w:t>
      </w:r>
    </w:p>
    <w:p w14:paraId="3248E564" w14:textId="77777777" w:rsidR="00686644" w:rsidRDefault="00CE2D96">
      <w:pPr>
        <w:spacing w:after="120" w:line="276" w:lineRule="auto"/>
        <w:jc w:val="both"/>
      </w:pPr>
      <w:r>
        <w:t xml:space="preserve">En materia de compras públicas con IA, la OCDE recomienda a las autoridades contratantes </w:t>
      </w:r>
      <w:r>
        <w:t xml:space="preserve">reducir tanto los riesgos como la aversión al riesgo, mejorar capacidades y habilidades, y reforzar la recolección de datos y el monitoreo de resultados. Un ejemplo concreto es el </w:t>
      </w:r>
      <w:proofErr w:type="spellStart"/>
      <w:r>
        <w:t>chatbot</w:t>
      </w:r>
      <w:proofErr w:type="spellEnd"/>
      <w:r>
        <w:t xml:space="preserve"> del Departamento de Tecnología de Carolina del Norte (NCDIT), dispon</w:t>
      </w:r>
      <w:r>
        <w:t>ible las 24 horas, que responde consultas frecuentes de los agentes estatales sobre formularios, plazos y excepciones de contratación, reduciendo tiempos de espera.</w:t>
      </w:r>
    </w:p>
    <w:p w14:paraId="31950898" w14:textId="77777777" w:rsidR="00686644" w:rsidRPr="00D454E1" w:rsidRDefault="00CE2D96">
      <w:pPr>
        <w:spacing w:after="120"/>
        <w:rPr>
          <w:lang w:val="en-US"/>
        </w:rPr>
      </w:pPr>
      <w:r w:rsidRPr="00D454E1">
        <w:rPr>
          <w:i/>
          <w:iCs/>
          <w:color w:val="595959"/>
          <w:sz w:val="18"/>
          <w:szCs w:val="18"/>
          <w:lang w:val="en-US"/>
        </w:rPr>
        <w:t>Fuente: OCDE, “AI in public procurement – Governing with Artificial Intelligence”, 2024. oe</w:t>
      </w:r>
      <w:r w:rsidRPr="00D454E1">
        <w:rPr>
          <w:i/>
          <w:iCs/>
          <w:color w:val="595959"/>
          <w:sz w:val="18"/>
          <w:szCs w:val="18"/>
          <w:lang w:val="en-US"/>
        </w:rPr>
        <w:t>cd.org</w:t>
      </w:r>
    </w:p>
    <w:p w14:paraId="3D776BD6" w14:textId="77777777" w:rsidR="00686644" w:rsidRDefault="00CE2D96">
      <w:pPr>
        <w:pStyle w:val="Ttulo2"/>
      </w:pPr>
      <w:r>
        <w:t>3.3. Transparencia y anticorrupción: contrataciones abiertas</w:t>
      </w:r>
    </w:p>
    <w:p w14:paraId="2970C88F" w14:textId="77777777" w:rsidR="00686644" w:rsidRDefault="00CE2D96">
      <w:pPr>
        <w:spacing w:after="120" w:line="276" w:lineRule="auto"/>
        <w:jc w:val="both"/>
      </w:pPr>
      <w:r>
        <w:t xml:space="preserve">La contratación pública es el área de mayor riesgo de corrupción del Estado. El Estándar de Datos de Contrataciones Abiertas (OCDS) de la Open </w:t>
      </w:r>
      <w:proofErr w:type="spellStart"/>
      <w:r>
        <w:t>Contracting</w:t>
      </w:r>
      <w:proofErr w:type="spellEnd"/>
      <w:r>
        <w:t xml:space="preserve"> </w:t>
      </w:r>
      <w:proofErr w:type="spellStart"/>
      <w:r>
        <w:t>Partnership</w:t>
      </w:r>
      <w:proofErr w:type="spellEnd"/>
      <w:r>
        <w:t xml:space="preserve"> permite publicar info</w:t>
      </w:r>
      <w:r>
        <w:t xml:space="preserve">rmación de forma estructurada en todas las fases del proceso —planificación, licitación, </w:t>
      </w:r>
      <w:r>
        <w:lastRenderedPageBreak/>
        <w:t>adjudicación, contrato e implementación— de modo que cualquier actor pueda “seguir el dinero”. Sobre esos datos se pueden automatizar más de 70 “banderas rojas” o indi</w:t>
      </w:r>
      <w:r>
        <w:t>cadores de riesgo de corrupción que alertan sobre posibles fraudes, abusos y desperdicio a lo largo de todo el ciclo.</w:t>
      </w:r>
    </w:p>
    <w:p w14:paraId="66CAEB4A" w14:textId="77777777" w:rsidR="00686644" w:rsidRDefault="00CE2D96">
      <w:pPr>
        <w:spacing w:after="120" w:line="276" w:lineRule="auto"/>
        <w:jc w:val="both"/>
      </w:pPr>
      <w:r>
        <w:t>La organización propone además un principio de apertura “por diseño” para evitar el reflejo perezoso de clasificar rutinariamente la infor</w:t>
      </w:r>
      <w:r>
        <w:t xml:space="preserve">mación como confidencial, y ofrece herramientas de código abierto como Cardinal para calcular indicadores de riesgo sobre datos en formato OCDS. La experiencia de </w:t>
      </w:r>
      <w:proofErr w:type="spellStart"/>
      <w:r>
        <w:t>ProZorro</w:t>
      </w:r>
      <w:proofErr w:type="spellEnd"/>
      <w:r>
        <w:t xml:space="preserve"> en Ucrania mostró cómo un sistema de compras electrónicas abierto puede exponer la c</w:t>
      </w:r>
      <w:r>
        <w:t>orrupción.</w:t>
      </w:r>
    </w:p>
    <w:p w14:paraId="11B171D1" w14:textId="77777777" w:rsidR="00686644" w:rsidRPr="00D454E1" w:rsidRDefault="00CE2D96">
      <w:pPr>
        <w:spacing w:after="120"/>
        <w:rPr>
          <w:lang w:val="en-US"/>
        </w:rPr>
      </w:pPr>
      <w:r w:rsidRPr="00D454E1">
        <w:rPr>
          <w:i/>
          <w:iCs/>
          <w:color w:val="595959"/>
          <w:sz w:val="18"/>
          <w:szCs w:val="18"/>
          <w:lang w:val="en-US"/>
        </w:rPr>
        <w:t>Fuente: Open Contracting Partnership, “Red Flags in Public Procurement” (2024) y “Anticorruption”. open-contracting.org</w:t>
      </w:r>
    </w:p>
    <w:p w14:paraId="5F682309" w14:textId="77777777" w:rsidR="00686644" w:rsidRDefault="00CE2D96">
      <w:pPr>
        <w:pStyle w:val="Ttulo2"/>
      </w:pPr>
      <w:r>
        <w:t>3.4. Recaudación inteligente: tendencia global</w:t>
      </w:r>
    </w:p>
    <w:p w14:paraId="3914EE61" w14:textId="77777777" w:rsidR="00686644" w:rsidRDefault="00CE2D96">
      <w:pPr>
        <w:spacing w:after="120" w:line="276" w:lineRule="auto"/>
        <w:jc w:val="both"/>
      </w:pPr>
      <w:r>
        <w:t>La IA ya es práctica corriente en la recaudación: más del 70% de las administr</w:t>
      </w:r>
      <w:r>
        <w:t>aciones tributarias la utilizan para mejorar la eficacia y los servicios al contribuyente. El uso más común es la detección de evasión y fraude, seguido por la evaluación de riesgo y los asistentes virtuales. Las administraciones líderes aplican técnicas q</w:t>
      </w:r>
      <w:r>
        <w:t xml:space="preserve">ue analizan datos no estructurados —texto manuscrito, imágenes satelitales, publicaciones públicas— para descubrir conexiones que indiquen evasión, e incluso </w:t>
      </w:r>
      <w:proofErr w:type="spellStart"/>
      <w:r>
        <w:t>geocodifican</w:t>
      </w:r>
      <w:proofErr w:type="spellEnd"/>
      <w:r>
        <w:t xml:space="preserve"> domicilios para detectar inmuebles no declarados.</w:t>
      </w:r>
    </w:p>
    <w:p w14:paraId="7309DE78" w14:textId="77777777" w:rsidR="00686644" w:rsidRDefault="00CE2D96">
      <w:pPr>
        <w:spacing w:after="120" w:line="276" w:lineRule="auto"/>
        <w:jc w:val="both"/>
      </w:pPr>
      <w:r>
        <w:t>Un dato relevante para el diseño de</w:t>
      </w:r>
      <w:r>
        <w:t>l módulo de recaudación: la evidencia de la OCDE sugiere un efecto disuasorio cuando los contribuyentes comprenden que la administración dispone de cada vez más datos, lo que se asocia a una mejora en el comportamiento de cumplimiento y a una caída relativ</w:t>
      </w:r>
      <w:r>
        <w:t>a de la mora respecto de la recaudación. Esto valida la estrategia de “cumplimiento desde el diseño” antes que la fiscalización reactiva.</w:t>
      </w:r>
    </w:p>
    <w:p w14:paraId="5CA89CA0" w14:textId="77777777" w:rsidR="00686644" w:rsidRDefault="00CE2D96">
      <w:pPr>
        <w:spacing w:after="120"/>
      </w:pPr>
      <w:r>
        <w:rPr>
          <w:i/>
          <w:iCs/>
          <w:color w:val="595959"/>
          <w:sz w:val="18"/>
          <w:szCs w:val="18"/>
        </w:rPr>
        <w:t>Fuente: OCDE, “</w:t>
      </w:r>
      <w:proofErr w:type="spellStart"/>
      <w:r>
        <w:rPr>
          <w:i/>
          <w:iCs/>
          <w:color w:val="595959"/>
          <w:sz w:val="18"/>
          <w:szCs w:val="18"/>
        </w:rPr>
        <w:t>Tax</w:t>
      </w:r>
      <w:proofErr w:type="spellEnd"/>
      <w:r>
        <w:rPr>
          <w:i/>
          <w:iCs/>
          <w:color w:val="595959"/>
          <w:sz w:val="18"/>
          <w:szCs w:val="18"/>
        </w:rPr>
        <w:t xml:space="preserve"> </w:t>
      </w:r>
      <w:proofErr w:type="spellStart"/>
      <w:r>
        <w:rPr>
          <w:i/>
          <w:iCs/>
          <w:color w:val="595959"/>
          <w:sz w:val="18"/>
          <w:szCs w:val="18"/>
        </w:rPr>
        <w:t>Administration</w:t>
      </w:r>
      <w:proofErr w:type="spellEnd"/>
      <w:r>
        <w:rPr>
          <w:i/>
          <w:iCs/>
          <w:color w:val="595959"/>
          <w:sz w:val="18"/>
          <w:szCs w:val="18"/>
        </w:rPr>
        <w:t xml:space="preserve"> 2024 / 2025” y “AI in </w:t>
      </w:r>
      <w:proofErr w:type="spellStart"/>
      <w:r>
        <w:rPr>
          <w:i/>
          <w:iCs/>
          <w:color w:val="595959"/>
          <w:sz w:val="18"/>
          <w:szCs w:val="18"/>
        </w:rPr>
        <w:t>tax</w:t>
      </w:r>
      <w:proofErr w:type="spellEnd"/>
      <w:r>
        <w:rPr>
          <w:i/>
          <w:iCs/>
          <w:color w:val="595959"/>
          <w:sz w:val="18"/>
          <w:szCs w:val="18"/>
        </w:rPr>
        <w:t xml:space="preserve"> </w:t>
      </w:r>
      <w:proofErr w:type="spellStart"/>
      <w:r>
        <w:rPr>
          <w:i/>
          <w:iCs/>
          <w:color w:val="595959"/>
          <w:sz w:val="18"/>
          <w:szCs w:val="18"/>
        </w:rPr>
        <w:t>administration</w:t>
      </w:r>
      <w:proofErr w:type="spellEnd"/>
      <w:r>
        <w:rPr>
          <w:i/>
          <w:iCs/>
          <w:color w:val="595959"/>
          <w:sz w:val="18"/>
          <w:szCs w:val="18"/>
        </w:rPr>
        <w:t>”. oecd.org</w:t>
      </w:r>
    </w:p>
    <w:p w14:paraId="4B8D89DB" w14:textId="77777777" w:rsidR="00686644" w:rsidRDefault="00CE2D96">
      <w:r>
        <w:br w:type="page"/>
      </w:r>
    </w:p>
    <w:p w14:paraId="0FEE6756" w14:textId="77777777" w:rsidR="00686644" w:rsidRDefault="00CE2D96">
      <w:pPr>
        <w:pStyle w:val="Ttulo1"/>
      </w:pPr>
      <w:r>
        <w:lastRenderedPageBreak/>
        <w:t xml:space="preserve">4. Arquitectura funcional del </w:t>
      </w:r>
      <w:r>
        <w:t>sistema</w:t>
      </w:r>
    </w:p>
    <w:p w14:paraId="47FEFA60" w14:textId="77777777" w:rsidR="00686644" w:rsidRDefault="00CE2D96">
      <w:pPr>
        <w:spacing w:after="120" w:line="276" w:lineRule="auto"/>
        <w:jc w:val="both"/>
      </w:pPr>
      <w:r>
        <w:t>El sistema se organiza en una capa de interacción (voz/texto), una capa de agentes de IA especializados, los módulos funcionales del ciclo financiero, y una capa transversal de transparencia, control y trazabilidad.</w:t>
      </w:r>
    </w:p>
    <w:p w14:paraId="1BD80E31" w14:textId="77777777" w:rsidR="00686644" w:rsidRDefault="00CE2D96">
      <w:pPr>
        <w:pStyle w:val="Ttulo2"/>
      </w:pPr>
      <w:r>
        <w:t>4.1. Capa de agentes de IA</w:t>
      </w:r>
    </w:p>
    <w:p w14:paraId="4AA5350F" w14:textId="77777777" w:rsidR="00686644" w:rsidRDefault="00CE2D96">
      <w:pPr>
        <w:spacing w:after="120" w:line="276" w:lineRule="auto"/>
        <w:jc w:val="both"/>
      </w:pPr>
      <w:r>
        <w:t>En lu</w:t>
      </w:r>
      <w:r>
        <w:t xml:space="preserve">gar de un único asistente, se propone una federación de agentes especializados que colaboran —un enfoque inspirado en iniciativas como la “Bot </w:t>
      </w:r>
      <w:proofErr w:type="spellStart"/>
      <w:r>
        <w:t>Federation</w:t>
      </w:r>
      <w:proofErr w:type="spellEnd"/>
      <w:r>
        <w:t xml:space="preserve">” de la administración tributaria austríaca, que interconecta </w:t>
      </w:r>
      <w:proofErr w:type="spellStart"/>
      <w:r>
        <w:t>chatbots</w:t>
      </w:r>
      <w:proofErr w:type="spellEnd"/>
      <w:r>
        <w:t xml:space="preserve"> especializados para ofrecer una </w:t>
      </w:r>
      <w:r>
        <w:t>interacción más eficiente. Cada agente tiene un dominio acotado: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86644" w14:paraId="759E0F84"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F15053" w14:textId="77777777" w:rsidR="00686644" w:rsidRDefault="00CE2D96">
            <w:r>
              <w:rPr>
                <w:b/>
                <w:bCs/>
                <w:color w:val="FFFFFF"/>
              </w:rPr>
              <w:t>Agente</w:t>
            </w:r>
          </w:p>
        </w:tc>
        <w:tc>
          <w:tcPr>
            <w:tcW w:w="6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A34BC1" w14:textId="77777777" w:rsidR="00686644" w:rsidRDefault="00CE2D96">
            <w:r>
              <w:rPr>
                <w:b/>
                <w:bCs/>
                <w:color w:val="FFFFFF"/>
              </w:rPr>
              <w:t>Función principal</w:t>
            </w:r>
          </w:p>
        </w:tc>
      </w:tr>
      <w:tr w:rsidR="00686644" w14:paraId="6C4900D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C62414" w14:textId="77777777" w:rsidR="00686644" w:rsidRDefault="00CE2D96">
            <w:r>
              <w:t>Agente de Pedidos</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62E71D" w14:textId="77777777" w:rsidR="00686644" w:rsidRDefault="00CE2D96">
            <w:r>
              <w:t>Interpreta la voz/texto del usuario, separa necesidades por rubro y genera notas de pedido numeradas y editables.</w:t>
            </w:r>
          </w:p>
        </w:tc>
      </w:tr>
      <w:tr w:rsidR="00686644" w14:paraId="601D511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7B18ED2" w14:textId="77777777" w:rsidR="00686644" w:rsidRDefault="00CE2D96">
            <w:r>
              <w:t>Agente de Compras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C0E4FC" w14:textId="77777777" w:rsidR="00686644" w:rsidRDefault="00CE2D96">
            <w:r>
              <w:t>Solicita presupuestos a proveedores del rubro, gestiona subastas, arma cuadros comparativos y prepara la adjudicación.</w:t>
            </w:r>
          </w:p>
        </w:tc>
      </w:tr>
      <w:tr w:rsidR="00686644" w14:paraId="45E63B7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BCCC60" w14:textId="77777777" w:rsidR="00686644" w:rsidRDefault="00CE2D96">
            <w:r>
              <w:t>Agente de Devengado y Pago</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F97ABB" w14:textId="77777777" w:rsidR="00686644" w:rsidRDefault="00CE2D96">
            <w:r>
              <w:t>Procesa facturas recibidas por correo, concilia contra la orden y el remito, e impacta el devengado y el pago</w:t>
            </w:r>
            <w:r>
              <w:t>.</w:t>
            </w:r>
          </w:p>
        </w:tc>
      </w:tr>
      <w:tr w:rsidR="00686644" w14:paraId="02354EA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C8319EC" w14:textId="77777777" w:rsidR="00686644" w:rsidRDefault="00CE2D96">
            <w:r>
              <w:t>Agente de Recaudación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C862B3B" w14:textId="77777777" w:rsidR="00686644" w:rsidRDefault="00CE2D96">
            <w:r>
              <w:t>Parametriza tasas e impuestos, gestiona planes de pago, intimaciones y detección de riesgo de evasión.</w:t>
            </w:r>
          </w:p>
        </w:tc>
      </w:tr>
      <w:tr w:rsidR="00686644" w14:paraId="3111AF8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1621F2" w14:textId="77777777" w:rsidR="00686644" w:rsidRDefault="00CE2D96">
            <w:r>
              <w:t>Agente de Cumplimiento</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21283E" w14:textId="77777777" w:rsidR="00686644" w:rsidRDefault="00CE2D96">
            <w:r>
              <w:t xml:space="preserve">Corre las banderas rojas de integridad, verifica </w:t>
            </w:r>
            <w:proofErr w:type="spellStart"/>
            <w:r>
              <w:t>compliance</w:t>
            </w:r>
            <w:proofErr w:type="spellEnd"/>
            <w:r>
              <w:t xml:space="preserve"> y alerta sobre inconsistencias y conflictos.</w:t>
            </w:r>
          </w:p>
        </w:tc>
      </w:tr>
      <w:tr w:rsidR="00686644" w14:paraId="115A69F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E86F807" w14:textId="77777777" w:rsidR="00686644" w:rsidRDefault="00CE2D96">
            <w:r>
              <w:t>Agente Tutor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E5EA4D" w14:textId="77777777" w:rsidR="00686644" w:rsidRDefault="00CE2D96">
            <w:r>
              <w:t>Capacita en contexto a empleados noveles y detecta inconsistencias de datos en cada pantalla.</w:t>
            </w:r>
          </w:p>
        </w:tc>
      </w:tr>
    </w:tbl>
    <w:p w14:paraId="549EC745" w14:textId="77777777" w:rsidR="00686644" w:rsidRDefault="00686644">
      <w:pPr>
        <w:spacing w:after="120"/>
      </w:pPr>
    </w:p>
    <w:p w14:paraId="6A4F8CE9" w14:textId="77777777" w:rsidR="00686644" w:rsidRDefault="00CE2D96">
      <w:pPr>
        <w:pStyle w:val="Ttulo2"/>
      </w:pPr>
      <w:r>
        <w:t>4.2. Modelo de permisos = intención</w:t>
      </w:r>
    </w:p>
    <w:p w14:paraId="08DDC79A" w14:textId="77777777" w:rsidR="00686644" w:rsidRDefault="00CE2D96">
      <w:pPr>
        <w:spacing w:after="120" w:line="276" w:lineRule="auto"/>
        <w:jc w:val="both"/>
      </w:pPr>
      <w:r>
        <w:t>Cada etapa del gasto está asociada a un tipo de permiso. Cuando un usuario con permiso para solicitar escribe o habla, el sistema interpreta por defecto que se trata de una solicitud de presupuesto; un usuario con permis</w:t>
      </w:r>
      <w:r>
        <w:t>o de adjudicación dispara, con la misma frase, acciones de adjudicación. Así, el contexto de permisos reduce la ambigüedad del lenguaje natural y acota el universo de acciones posibles antes de procesar el mensaje. Esto es a la vez una decisión de segurida</w:t>
      </w:r>
      <w:r>
        <w:t>d (separación de funciones) y de usabilidad.</w:t>
      </w:r>
    </w:p>
    <w:p w14:paraId="3F3F0336" w14:textId="77777777" w:rsidR="00686644" w:rsidRDefault="00CE2D96">
      <w:r>
        <w:br w:type="page"/>
      </w:r>
    </w:p>
    <w:p w14:paraId="6F6B0528" w14:textId="77777777" w:rsidR="00686644" w:rsidRDefault="00CE2D96">
      <w:pPr>
        <w:pStyle w:val="Ttulo1"/>
      </w:pPr>
      <w:r>
        <w:lastRenderedPageBreak/>
        <w:t>5. El ciclo del gasto, etapa por etapa</w:t>
      </w:r>
    </w:p>
    <w:p w14:paraId="77B1C7DD" w14:textId="77777777" w:rsidR="00686644" w:rsidRDefault="00CE2D96">
      <w:pPr>
        <w:spacing w:after="120" w:line="276" w:lineRule="auto"/>
        <w:jc w:val="both"/>
      </w:pPr>
      <w:r>
        <w:t xml:space="preserve">Cada etapa funciona bajo el mismo patrón: el usuario expresa una intención por voz o texto; el agente correspondiente completa lo que puede, solicita la información y la </w:t>
      </w:r>
      <w:r>
        <w:t>documentación de respaldo que falta, valida consistencia y deja todo numerado y trazado. El humano confirma las decisiones irreversibles.</w:t>
      </w:r>
    </w:p>
    <w:p w14:paraId="7A4D5EB2" w14:textId="77777777" w:rsidR="00686644" w:rsidRDefault="00CE2D96">
      <w:pPr>
        <w:pStyle w:val="Ttulo2"/>
      </w:pPr>
      <w:r>
        <w:t>5.1. Solicitud / Nota de pedido</w:t>
      </w:r>
    </w:p>
    <w:p w14:paraId="0536C4C9" w14:textId="77777777" w:rsidR="00686644" w:rsidRDefault="00CE2D96">
      <w:pPr>
        <w:spacing w:after="120" w:line="276" w:lineRule="auto"/>
        <w:jc w:val="both"/>
      </w:pPr>
      <w:r>
        <w:rPr>
          <w:b/>
          <w:bCs/>
        </w:rPr>
        <w:t xml:space="preserve">Disparador: </w:t>
      </w:r>
      <w:r>
        <w:t>“En la empresa necesitan tres lavarropas y dos tanques de agua de 500 litr</w:t>
      </w:r>
      <w:r>
        <w:t>os.” El Agente de Pedidos diferencia los rubros y genera tantas notas como rubros existan, cada una con un número visible en pantalla.</w:t>
      </w:r>
    </w:p>
    <w:p w14:paraId="2127F8B6" w14:textId="77777777" w:rsidR="00686644" w:rsidRDefault="00CE2D96">
      <w:pPr>
        <w:pStyle w:val="Prrafodelista"/>
        <w:numPr>
          <w:ilvl w:val="0"/>
          <w:numId w:val="2"/>
        </w:numPr>
        <w:spacing w:after="60" w:line="264" w:lineRule="auto"/>
      </w:pPr>
      <w:r>
        <w:t>Edición por voz: “la nota número 14 que sea por cuatro lavarropas” modifica el registro; también puede borrarse por voz.</w:t>
      </w:r>
    </w:p>
    <w:p w14:paraId="157D1F9C" w14:textId="77777777" w:rsidR="00686644" w:rsidRDefault="00CE2D96">
      <w:pPr>
        <w:pStyle w:val="Prrafodelista"/>
        <w:numPr>
          <w:ilvl w:val="0"/>
          <w:numId w:val="2"/>
        </w:numPr>
        <w:spacing w:after="60" w:line="264" w:lineRule="auto"/>
      </w:pPr>
      <w:r>
        <w:t>El agente pide lo que falta: centro de costo, partida presupuestaria, fecha de necesidad, especificaciones técnicas, y adjunta la documentación de respaldo (ej. requerimiento del área).</w:t>
      </w:r>
    </w:p>
    <w:p w14:paraId="7C324DB4" w14:textId="77777777" w:rsidR="00686644" w:rsidRDefault="00CE2D96">
      <w:pPr>
        <w:pStyle w:val="Prrafodelista"/>
        <w:numPr>
          <w:ilvl w:val="0"/>
          <w:numId w:val="2"/>
        </w:numPr>
        <w:spacing w:after="60" w:line="264" w:lineRule="auto"/>
      </w:pPr>
      <w:r>
        <w:t>Validación: el Agente Tutor verifica disponibilidad presupuestaria y c</w:t>
      </w:r>
      <w:r>
        <w:t>onsistencia (cantidades, unidades, duplicados) antes de avanzar.</w:t>
      </w:r>
    </w:p>
    <w:p w14:paraId="30DBEEC6" w14:textId="77777777" w:rsidR="00686644" w:rsidRDefault="00CE2D96">
      <w:pPr>
        <w:pStyle w:val="Ttulo2"/>
      </w:pPr>
      <w:r>
        <w:t>5.2. Solicitud de presupuestos / Cotización</w:t>
      </w:r>
    </w:p>
    <w:p w14:paraId="0063E97E" w14:textId="77777777" w:rsidR="00686644" w:rsidRDefault="00CE2D96">
      <w:pPr>
        <w:spacing w:after="120" w:line="276" w:lineRule="auto"/>
        <w:jc w:val="both"/>
      </w:pPr>
      <w:r>
        <w:rPr>
          <w:b/>
          <w:bCs/>
        </w:rPr>
        <w:t xml:space="preserve">Disparador: </w:t>
      </w:r>
      <w:r>
        <w:t>“pedir presupuesto para la nota de pedido 14”. El Agente de Compras envía las solicitudes por correo a los proveedores inscriptos en el rubro o a los habituales para ese producto.</w:t>
      </w:r>
    </w:p>
    <w:p w14:paraId="140125CC" w14:textId="77777777" w:rsidR="00686644" w:rsidRDefault="00CE2D96">
      <w:pPr>
        <w:pStyle w:val="Prrafodelista"/>
        <w:numPr>
          <w:ilvl w:val="0"/>
          <w:numId w:val="2"/>
        </w:numPr>
        <w:spacing w:after="60" w:line="264" w:lineRule="auto"/>
      </w:pPr>
      <w:r>
        <w:t>Espera 24 horas y reevalúa: si no llegaron ofertas, reitera el pedido o marca la nota como “SIN PRESUPUESTO”.</w:t>
      </w:r>
    </w:p>
    <w:p w14:paraId="0B13BE3C" w14:textId="77777777" w:rsidR="00686644" w:rsidRDefault="00CE2D96">
      <w:pPr>
        <w:pStyle w:val="Prrafodelista"/>
        <w:numPr>
          <w:ilvl w:val="0"/>
          <w:numId w:val="2"/>
        </w:numPr>
        <w:spacing w:after="60" w:line="264" w:lineRule="auto"/>
      </w:pPr>
      <w:r>
        <w:t>Si llegan ofertas, las analiza y muestra en pantalla productos y montos ofertados para que el operador seleccione al oferente ganador.</w:t>
      </w:r>
    </w:p>
    <w:p w14:paraId="0F75AB58" w14:textId="77777777" w:rsidR="00686644" w:rsidRDefault="00CE2D96">
      <w:pPr>
        <w:pStyle w:val="Ttulo2"/>
      </w:pPr>
      <w:r>
        <w:t>5.3. Subast</w:t>
      </w:r>
      <w:r>
        <w:t>a inversa (camino alternativo)</w:t>
      </w:r>
    </w:p>
    <w:p w14:paraId="303B06B3" w14:textId="77777777" w:rsidR="00686644" w:rsidRDefault="00CE2D96">
      <w:pPr>
        <w:spacing w:after="120" w:line="276" w:lineRule="auto"/>
        <w:jc w:val="both"/>
      </w:pPr>
      <w:r>
        <w:t xml:space="preserve">El operador puede pedir una subasta: el agente envía la necesidad a proveedores del rubro y frecuentes, fija una fecha y hora límite para recibir ofertas por correo y, vencido el plazo, muestra un cuadro comparativo para que </w:t>
      </w:r>
      <w:r>
        <w:t>el operador evalúe y decida, justificando a la ganadora. La justificación obligatoria de la adjudicación es, además, un control anticorrupción que alimenta la trazabilidad.</w:t>
      </w:r>
    </w:p>
    <w:p w14:paraId="637CC1BF" w14:textId="77777777" w:rsidR="00686644" w:rsidRDefault="00CE2D96">
      <w:pPr>
        <w:pStyle w:val="Ttulo2"/>
      </w:pPr>
      <w:r>
        <w:t>5.4. Adjudicación y orden de compra</w:t>
      </w:r>
    </w:p>
    <w:p w14:paraId="44219BB2" w14:textId="77777777" w:rsidR="00686644" w:rsidRDefault="00CE2D96">
      <w:pPr>
        <w:pStyle w:val="Prrafodelista"/>
        <w:numPr>
          <w:ilvl w:val="0"/>
          <w:numId w:val="2"/>
        </w:numPr>
        <w:spacing w:after="60" w:line="264" w:lineRule="auto"/>
      </w:pPr>
      <w:r>
        <w:t>La selección del ganador es una decisión humana</w:t>
      </w:r>
      <w:r>
        <w:t xml:space="preserve"> confirmada explícitamente; el agente solo prepara y recomienda.</w:t>
      </w:r>
    </w:p>
    <w:p w14:paraId="585ED74D" w14:textId="77777777" w:rsidR="00686644" w:rsidRDefault="00CE2D96">
      <w:pPr>
        <w:pStyle w:val="Prrafodelista"/>
        <w:numPr>
          <w:ilvl w:val="0"/>
          <w:numId w:val="2"/>
        </w:numPr>
        <w:spacing w:after="60" w:line="264" w:lineRule="auto"/>
      </w:pPr>
      <w:r>
        <w:t>El agente solicita formalmente el producto al proveedor y emite la orden de compra con número y respaldo documental.</w:t>
      </w:r>
    </w:p>
    <w:p w14:paraId="4976846E" w14:textId="77777777" w:rsidR="00686644" w:rsidRDefault="00CE2D96">
      <w:pPr>
        <w:pStyle w:val="Prrafodelista"/>
        <w:numPr>
          <w:ilvl w:val="0"/>
          <w:numId w:val="2"/>
        </w:numPr>
        <w:spacing w:after="60" w:line="264" w:lineRule="auto"/>
      </w:pPr>
      <w:r>
        <w:t>El Agente de Cumplimiento corre banderas rojas (ej. proveedor único recurr</w:t>
      </w:r>
      <w:r>
        <w:t>ente, montos fraccionados bajo umbral, plazos de oferta anómalos) antes de liberar la orden.</w:t>
      </w:r>
    </w:p>
    <w:p w14:paraId="62C35988" w14:textId="77777777" w:rsidR="00686644" w:rsidRDefault="00CE2D96">
      <w:pPr>
        <w:pStyle w:val="Ttulo2"/>
      </w:pPr>
      <w:r>
        <w:lastRenderedPageBreak/>
        <w:t>5.5. Recepción, devengado y pago</w:t>
      </w:r>
    </w:p>
    <w:p w14:paraId="7B4EB3FC" w14:textId="77777777" w:rsidR="00686644" w:rsidRDefault="00CE2D96">
      <w:pPr>
        <w:pStyle w:val="Prrafodelista"/>
        <w:numPr>
          <w:ilvl w:val="0"/>
          <w:numId w:val="2"/>
        </w:numPr>
        <w:spacing w:after="60" w:line="264" w:lineRule="auto"/>
      </w:pPr>
      <w:r>
        <w:t>Entregado el producto, el proveedor envía la factura a una casilla de correo dedicada.</w:t>
      </w:r>
    </w:p>
    <w:p w14:paraId="155BB4E0" w14:textId="77777777" w:rsidR="00686644" w:rsidRDefault="00CE2D96">
      <w:pPr>
        <w:pStyle w:val="Prrafodelista"/>
        <w:numPr>
          <w:ilvl w:val="0"/>
          <w:numId w:val="2"/>
        </w:numPr>
        <w:spacing w:after="60" w:line="264" w:lineRule="auto"/>
      </w:pPr>
      <w:r>
        <w:t xml:space="preserve">El Agente de Devengado procesa la factura, </w:t>
      </w:r>
      <w:r>
        <w:t>la concilia contra la orden y el remito (tres vías) e impacta el devengado.</w:t>
      </w:r>
    </w:p>
    <w:p w14:paraId="7A369F42" w14:textId="77777777" w:rsidR="00686644" w:rsidRDefault="00CE2D96">
      <w:pPr>
        <w:pStyle w:val="Prrafodelista"/>
        <w:numPr>
          <w:ilvl w:val="0"/>
          <w:numId w:val="2"/>
        </w:numPr>
        <w:spacing w:after="60" w:line="264" w:lineRule="auto"/>
      </w:pPr>
      <w:r>
        <w:t>El pago es una acción irreversible: requiere confirmación humana y queda registrado con su justificación y respaldo.</w:t>
      </w:r>
    </w:p>
    <w:p w14:paraId="1C88956C" w14:textId="77777777" w:rsidR="00686644" w:rsidRDefault="00CE2D96">
      <w:pPr>
        <w:pStyle w:val="Ttulo2"/>
      </w:pPr>
      <w:r>
        <w:t>5.6. Resumen de etapas, intención y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686644" w14:paraId="17998B35"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D9202F" w14:textId="77777777" w:rsidR="00686644" w:rsidRDefault="00CE2D96">
            <w:r>
              <w:rPr>
                <w:b/>
                <w:bCs/>
                <w:color w:val="FFFFFF"/>
              </w:rPr>
              <w:t>Etapa</w:t>
            </w:r>
          </w:p>
        </w:tc>
        <w:tc>
          <w:tcPr>
            <w:tcW w:w="383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AB47DA6" w14:textId="77777777" w:rsidR="00686644" w:rsidRDefault="00CE2D96">
            <w:r>
              <w:rPr>
                <w:b/>
                <w:bCs/>
                <w:color w:val="FFFFFF"/>
              </w:rPr>
              <w:t>Intención por</w:t>
            </w:r>
            <w:r>
              <w:rPr>
                <w:b/>
                <w:bCs/>
                <w:color w:val="FFFFFF"/>
              </w:rPr>
              <w:t xml:space="preserve"> voz/texto</w:t>
            </w:r>
          </w:p>
        </w:tc>
        <w:tc>
          <w:tcPr>
            <w:tcW w:w="383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450339" w14:textId="77777777" w:rsidR="00686644" w:rsidRDefault="00CE2D96">
            <w:r>
              <w:rPr>
                <w:b/>
                <w:bCs/>
                <w:color w:val="FFFFFF"/>
              </w:rPr>
              <w:t>Control / respaldo</w:t>
            </w:r>
          </w:p>
        </w:tc>
      </w:tr>
      <w:tr w:rsidR="00686644" w14:paraId="662D13D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7E4080" w14:textId="77777777" w:rsidR="00686644" w:rsidRDefault="00CE2D96">
            <w:r>
              <w:t>Solicitud</w:t>
            </w:r>
          </w:p>
        </w:tc>
        <w:tc>
          <w:tcPr>
            <w:tcW w:w="38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7D5CF2" w14:textId="77777777" w:rsidR="00686644" w:rsidRDefault="00CE2D96">
            <w:r>
              <w:t>“Necesito X y Z”</w:t>
            </w:r>
          </w:p>
        </w:tc>
        <w:tc>
          <w:tcPr>
            <w:tcW w:w="38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637FDD" w14:textId="77777777" w:rsidR="00686644" w:rsidRDefault="00CE2D96">
            <w:r>
              <w:t>Crédito presupuestario; especificaciones</w:t>
            </w:r>
          </w:p>
        </w:tc>
      </w:tr>
      <w:tr w:rsidR="00686644" w14:paraId="221FB91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5F98D7" w14:textId="77777777" w:rsidR="00686644" w:rsidRDefault="00CE2D96">
            <w:r>
              <w:t>Cotización</w:t>
            </w:r>
          </w:p>
        </w:tc>
        <w:tc>
          <w:tcPr>
            <w:tcW w:w="383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077599A" w14:textId="77777777" w:rsidR="00686644" w:rsidRDefault="00CE2D96">
            <w:r>
              <w:t>“Pedir presupuesto nota N”</w:t>
            </w:r>
          </w:p>
        </w:tc>
        <w:tc>
          <w:tcPr>
            <w:tcW w:w="383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B55F8F" w14:textId="77777777" w:rsidR="00686644" w:rsidRDefault="00CE2D96">
            <w:r>
              <w:t>Proveedores del rubro; plazo 24 h</w:t>
            </w:r>
          </w:p>
        </w:tc>
      </w:tr>
      <w:tr w:rsidR="00686644" w14:paraId="58D9988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0D1794" w14:textId="77777777" w:rsidR="00686644" w:rsidRDefault="00CE2D96">
            <w:r>
              <w:t>Subasta</w:t>
            </w:r>
          </w:p>
        </w:tc>
        <w:tc>
          <w:tcPr>
            <w:tcW w:w="38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4E4948" w14:textId="77777777" w:rsidR="00686644" w:rsidRDefault="00CE2D96">
            <w:r>
              <w:t>“Hacer subasta nota N”</w:t>
            </w:r>
          </w:p>
        </w:tc>
        <w:tc>
          <w:tcPr>
            <w:tcW w:w="38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5E11B1" w14:textId="77777777" w:rsidR="00686644" w:rsidRDefault="00CE2D96">
            <w:r>
              <w:t>Cuadro comparativo; justificación</w:t>
            </w:r>
          </w:p>
        </w:tc>
      </w:tr>
      <w:tr w:rsidR="00686644" w14:paraId="37B9E52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BD5C18" w14:textId="77777777" w:rsidR="00686644" w:rsidRDefault="00CE2D96">
            <w:r>
              <w:t>Adjudicación</w:t>
            </w:r>
          </w:p>
        </w:tc>
        <w:tc>
          <w:tcPr>
            <w:tcW w:w="383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182D185" w14:textId="77777777" w:rsidR="00686644" w:rsidRDefault="00CE2D96">
            <w:r>
              <w:t>“Adjudicar a proveedor Y”</w:t>
            </w:r>
          </w:p>
        </w:tc>
        <w:tc>
          <w:tcPr>
            <w:tcW w:w="383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ACBC21" w14:textId="77777777" w:rsidR="00686644" w:rsidRDefault="00CE2D96">
            <w:r>
              <w:t>Confirmación humana; banderas rojas</w:t>
            </w:r>
          </w:p>
        </w:tc>
      </w:tr>
      <w:tr w:rsidR="00686644" w14:paraId="011055C6"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99C91D" w14:textId="77777777" w:rsidR="00686644" w:rsidRDefault="00CE2D96">
            <w:r>
              <w:t>Devengado</w:t>
            </w:r>
          </w:p>
        </w:tc>
        <w:tc>
          <w:tcPr>
            <w:tcW w:w="38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C53F3E" w14:textId="77777777" w:rsidR="00686644" w:rsidRDefault="00CE2D96">
            <w:r>
              <w:t>(automático al recibir factura)</w:t>
            </w:r>
          </w:p>
        </w:tc>
        <w:tc>
          <w:tcPr>
            <w:tcW w:w="38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1801F8" w14:textId="77777777" w:rsidR="00686644" w:rsidRDefault="00CE2D96">
            <w:r>
              <w:t>Conciliación de tres vías</w:t>
            </w:r>
          </w:p>
        </w:tc>
      </w:tr>
      <w:tr w:rsidR="00686644" w14:paraId="392E0D0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B735C3" w14:textId="77777777" w:rsidR="00686644" w:rsidRDefault="00CE2D96">
            <w:r>
              <w:t>Pago</w:t>
            </w:r>
          </w:p>
        </w:tc>
        <w:tc>
          <w:tcPr>
            <w:tcW w:w="383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9679D2" w14:textId="77777777" w:rsidR="00686644" w:rsidRDefault="00CE2D96">
            <w:r>
              <w:t>“Autorizar pago orden N”</w:t>
            </w:r>
          </w:p>
        </w:tc>
        <w:tc>
          <w:tcPr>
            <w:tcW w:w="383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CC3585" w14:textId="77777777" w:rsidR="00686644" w:rsidRDefault="00CE2D96">
            <w:r>
              <w:t>Confirmación humana; trazabilidad</w:t>
            </w:r>
          </w:p>
        </w:tc>
      </w:tr>
    </w:tbl>
    <w:p w14:paraId="36B78E7B" w14:textId="77777777" w:rsidR="00686644" w:rsidRDefault="00686644">
      <w:pPr>
        <w:spacing w:after="120"/>
      </w:pPr>
    </w:p>
    <w:p w14:paraId="3AE1C798" w14:textId="77777777" w:rsidR="00686644" w:rsidRDefault="00CE2D96">
      <w:r>
        <w:br w:type="page"/>
      </w:r>
    </w:p>
    <w:p w14:paraId="02B2F3EE" w14:textId="77777777" w:rsidR="00686644" w:rsidRDefault="00CE2D96">
      <w:pPr>
        <w:pStyle w:val="Ttulo1"/>
      </w:pPr>
      <w:r>
        <w:t>6. Módulo de recaudación con mínima mora y evasión</w:t>
      </w:r>
    </w:p>
    <w:p w14:paraId="26449F8B" w14:textId="77777777" w:rsidR="00686644" w:rsidRDefault="00CE2D96">
      <w:pPr>
        <w:spacing w:after="120" w:line="276" w:lineRule="auto"/>
        <w:jc w:val="both"/>
      </w:pPr>
      <w:r>
        <w:t>El módulo de recaudación está concebido para que el cumplimiento sea el camino más fácil, y la mora y la evasión, la excepción. Sigue la lógica de “cumplimiento desde el diseño” (</w:t>
      </w:r>
      <w:proofErr w:type="spellStart"/>
      <w:r>
        <w:t>compliance</w:t>
      </w:r>
      <w:proofErr w:type="spellEnd"/>
      <w:r>
        <w:t xml:space="preserve"> </w:t>
      </w:r>
      <w:proofErr w:type="spellStart"/>
      <w:r>
        <w:t>by</w:t>
      </w:r>
      <w:proofErr w:type="spellEnd"/>
      <w:r>
        <w:t xml:space="preserve"> </w:t>
      </w:r>
      <w:proofErr w:type="spellStart"/>
      <w:r>
        <w:t>design</w:t>
      </w:r>
      <w:proofErr w:type="spellEnd"/>
      <w:r>
        <w:t>) y de gestión de riesgo, alineada con la visión de “trib</w:t>
      </w:r>
      <w:r>
        <w:t>utación sin fricciones” (</w:t>
      </w:r>
      <w:proofErr w:type="spellStart"/>
      <w:r>
        <w:t>Tax</w:t>
      </w:r>
      <w:proofErr w:type="spellEnd"/>
      <w:r>
        <w:t xml:space="preserve"> </w:t>
      </w:r>
      <w:proofErr w:type="spellStart"/>
      <w:r>
        <w:t>Administration</w:t>
      </w:r>
      <w:proofErr w:type="spellEnd"/>
      <w:r>
        <w:t xml:space="preserve"> 3.0) de la OCDE.</w:t>
      </w:r>
    </w:p>
    <w:p w14:paraId="31A9662D" w14:textId="77777777" w:rsidR="00686644" w:rsidRDefault="00CE2D96">
      <w:pPr>
        <w:pStyle w:val="Ttulo2"/>
      </w:pPr>
      <w:r>
        <w:t>6.1. Parametrización de tasas e impuestos</w:t>
      </w:r>
    </w:p>
    <w:p w14:paraId="4AC18C30" w14:textId="77777777" w:rsidR="00686644" w:rsidRDefault="00CE2D96">
      <w:pPr>
        <w:pStyle w:val="Prrafodelista"/>
        <w:numPr>
          <w:ilvl w:val="0"/>
          <w:numId w:val="2"/>
        </w:numPr>
        <w:spacing w:after="60" w:line="264" w:lineRule="auto"/>
      </w:pPr>
      <w:r>
        <w:rPr>
          <w:b/>
          <w:bCs/>
        </w:rPr>
        <w:t xml:space="preserve">Reglas sin código. </w:t>
      </w:r>
      <w:r>
        <w:t>Tasas, impuestos, alícuotas, vencimientos, intereses y exenciones se configuran desde una pantalla de parámetros, sin programar, con c</w:t>
      </w:r>
      <w:r>
        <w:t>ontrol de versiones y vigencias.</w:t>
      </w:r>
    </w:p>
    <w:p w14:paraId="7E2BDDFB" w14:textId="77777777" w:rsidR="00686644" w:rsidRDefault="00CE2D96">
      <w:pPr>
        <w:pStyle w:val="Prrafodelista"/>
        <w:numPr>
          <w:ilvl w:val="0"/>
          <w:numId w:val="2"/>
        </w:numPr>
        <w:spacing w:after="60" w:line="264" w:lineRule="auto"/>
      </w:pPr>
      <w:r>
        <w:rPr>
          <w:b/>
          <w:bCs/>
        </w:rPr>
        <w:t xml:space="preserve">Simulación previa. </w:t>
      </w:r>
      <w:r>
        <w:t>Antes de publicar un cambio, el sistema simula su impacto recaudatorio y en los contribuyentes.</w:t>
      </w:r>
    </w:p>
    <w:p w14:paraId="73EFF080" w14:textId="77777777" w:rsidR="00686644" w:rsidRDefault="00CE2D96">
      <w:pPr>
        <w:pStyle w:val="Ttulo2"/>
      </w:pPr>
      <w:r>
        <w:t>6.2. Cobranza preventiva (minimizar mora)</w:t>
      </w:r>
    </w:p>
    <w:p w14:paraId="56EA4454" w14:textId="77777777" w:rsidR="00686644" w:rsidRDefault="00CE2D96">
      <w:pPr>
        <w:pStyle w:val="Prrafodelista"/>
        <w:numPr>
          <w:ilvl w:val="0"/>
          <w:numId w:val="2"/>
        </w:numPr>
        <w:spacing w:after="60" w:line="264" w:lineRule="auto"/>
      </w:pPr>
      <w:r>
        <w:rPr>
          <w:b/>
          <w:bCs/>
        </w:rPr>
        <w:t xml:space="preserve">Recordatorios proactivos. </w:t>
      </w:r>
      <w:r>
        <w:t>Avisos antes del vencimiento por los can</w:t>
      </w:r>
      <w:r>
        <w:t>ales que el ciudadano prefiera, con el monto exacto y un enlace de pago de un toque.</w:t>
      </w:r>
    </w:p>
    <w:p w14:paraId="744C1EA8" w14:textId="77777777" w:rsidR="00686644" w:rsidRDefault="00CE2D96">
      <w:pPr>
        <w:pStyle w:val="Prrafodelista"/>
        <w:numPr>
          <w:ilvl w:val="0"/>
          <w:numId w:val="2"/>
        </w:numPr>
        <w:spacing w:after="60" w:line="264" w:lineRule="auto"/>
      </w:pPr>
      <w:r>
        <w:rPr>
          <w:b/>
          <w:bCs/>
        </w:rPr>
        <w:t xml:space="preserve">Planes de pago automáticos. </w:t>
      </w:r>
      <w:r>
        <w:t>Ante una deuda, el Agente de Recaudación ofrece planes parametrizables que el ciudadano acepta desde su teléfono.</w:t>
      </w:r>
    </w:p>
    <w:p w14:paraId="27411290" w14:textId="77777777" w:rsidR="00686644" w:rsidRDefault="00CE2D96">
      <w:pPr>
        <w:pStyle w:val="Prrafodelista"/>
        <w:numPr>
          <w:ilvl w:val="0"/>
          <w:numId w:val="2"/>
        </w:numPr>
        <w:spacing w:after="60" w:line="264" w:lineRule="auto"/>
      </w:pPr>
      <w:r>
        <w:rPr>
          <w:b/>
          <w:bCs/>
        </w:rPr>
        <w:t xml:space="preserve">Pago sin fricción. </w:t>
      </w:r>
      <w:r>
        <w:t xml:space="preserve">Múltiples </w:t>
      </w:r>
      <w:r>
        <w:t>medios de pago, débito automático opcional y conciliación inmediata.</w:t>
      </w:r>
    </w:p>
    <w:p w14:paraId="0671D7C9" w14:textId="77777777" w:rsidR="00686644" w:rsidRDefault="00CE2D96">
      <w:pPr>
        <w:pStyle w:val="Ttulo2"/>
      </w:pPr>
      <w:r>
        <w:t>6.3. Gestión de deudores e intimaciones</w:t>
      </w:r>
    </w:p>
    <w:p w14:paraId="586FF9B5" w14:textId="77777777" w:rsidR="00686644" w:rsidRDefault="00CE2D96">
      <w:pPr>
        <w:pStyle w:val="Prrafodelista"/>
        <w:numPr>
          <w:ilvl w:val="0"/>
          <w:numId w:val="2"/>
        </w:numPr>
        <w:spacing w:after="60" w:line="264" w:lineRule="auto"/>
      </w:pPr>
      <w:r>
        <w:rPr>
          <w:b/>
          <w:bCs/>
        </w:rPr>
        <w:t xml:space="preserve">Intimaciones graduales. </w:t>
      </w:r>
      <w:r>
        <w:t>Secuencia escalonada (recordatorio, intimación formal, derivación) según el comportamiento de pago histórico de cada contribuyente.</w:t>
      </w:r>
    </w:p>
    <w:p w14:paraId="5ACB7DBA" w14:textId="77777777" w:rsidR="00686644" w:rsidRDefault="00CE2D96">
      <w:pPr>
        <w:pStyle w:val="Prrafodelista"/>
        <w:numPr>
          <w:ilvl w:val="0"/>
          <w:numId w:val="2"/>
        </w:numPr>
        <w:spacing w:after="60" w:line="264" w:lineRule="auto"/>
      </w:pPr>
      <w:r>
        <w:rPr>
          <w:b/>
          <w:bCs/>
        </w:rPr>
        <w:t xml:space="preserve">Segmentación por riesgo. </w:t>
      </w:r>
      <w:r>
        <w:t>El agente prioriza la gestión sobre los casos de mayor monto y probabilidad de recupero.</w:t>
      </w:r>
    </w:p>
    <w:p w14:paraId="4BA334C4" w14:textId="77777777" w:rsidR="00686644" w:rsidRDefault="00CE2D96">
      <w:pPr>
        <w:pStyle w:val="Ttulo2"/>
      </w:pPr>
      <w:r>
        <w:t>6.4. Detec</w:t>
      </w:r>
      <w:r>
        <w:t>ción de evasión asistida por IA</w:t>
      </w:r>
    </w:p>
    <w:p w14:paraId="4F2C2822" w14:textId="77777777" w:rsidR="00686644" w:rsidRDefault="00CE2D96">
      <w:pPr>
        <w:spacing w:after="120" w:line="276" w:lineRule="auto"/>
        <w:jc w:val="both"/>
      </w:pPr>
      <w:r>
        <w:t xml:space="preserve">Siguiendo la práctica de las administraciones líderes, el módulo aplica modelos de riesgo sobre cruces de datos para detectar patrones de evasión —por ejemplo, </w:t>
      </w:r>
      <w:proofErr w:type="spellStart"/>
      <w:r>
        <w:t>geocodificación</w:t>
      </w:r>
      <w:proofErr w:type="spellEnd"/>
      <w:r>
        <w:t xml:space="preserve"> de domicilios para identificar inmuebles o activ</w:t>
      </w:r>
      <w:r>
        <w:t>idades no declaradas, o análisis de inconsistencias entre declaraciones y consumos. La detección alimenta alertas explicables, nunca decisiones automáticas sancionatorias: el caso lo revisa una persona.</w:t>
      </w:r>
    </w:p>
    <w:p w14:paraId="6C0C6D86" w14:textId="77777777" w:rsidR="00686644" w:rsidRDefault="00CE2D96">
      <w:pPr>
        <w:spacing w:after="120"/>
      </w:pPr>
      <w:r>
        <w:rPr>
          <w:i/>
          <w:iCs/>
          <w:color w:val="595959"/>
          <w:sz w:val="18"/>
          <w:szCs w:val="18"/>
        </w:rPr>
        <w:t>Fuente: OCDE, “</w:t>
      </w:r>
      <w:proofErr w:type="spellStart"/>
      <w:r>
        <w:rPr>
          <w:i/>
          <w:iCs/>
          <w:color w:val="595959"/>
          <w:sz w:val="18"/>
          <w:szCs w:val="18"/>
        </w:rPr>
        <w:t>Compliance</w:t>
      </w:r>
      <w:proofErr w:type="spellEnd"/>
      <w:r>
        <w:rPr>
          <w:i/>
          <w:iCs/>
          <w:color w:val="595959"/>
          <w:sz w:val="18"/>
          <w:szCs w:val="18"/>
        </w:rPr>
        <w:t xml:space="preserve"> </w:t>
      </w:r>
      <w:proofErr w:type="spellStart"/>
      <w:r>
        <w:rPr>
          <w:i/>
          <w:iCs/>
          <w:color w:val="595959"/>
          <w:sz w:val="18"/>
          <w:szCs w:val="18"/>
        </w:rPr>
        <w:t>management</w:t>
      </w:r>
      <w:proofErr w:type="spellEnd"/>
      <w:r>
        <w:rPr>
          <w:i/>
          <w:iCs/>
          <w:color w:val="595959"/>
          <w:sz w:val="18"/>
          <w:szCs w:val="18"/>
        </w:rPr>
        <w:t xml:space="preserve"> – </w:t>
      </w:r>
      <w:proofErr w:type="spellStart"/>
      <w:r>
        <w:rPr>
          <w:i/>
          <w:iCs/>
          <w:color w:val="595959"/>
          <w:sz w:val="18"/>
          <w:szCs w:val="18"/>
        </w:rPr>
        <w:t>Tax</w:t>
      </w:r>
      <w:proofErr w:type="spellEnd"/>
      <w:r>
        <w:rPr>
          <w:i/>
          <w:iCs/>
          <w:color w:val="595959"/>
          <w:sz w:val="18"/>
          <w:szCs w:val="18"/>
        </w:rPr>
        <w:t xml:space="preserve"> </w:t>
      </w:r>
      <w:proofErr w:type="spellStart"/>
      <w:r>
        <w:rPr>
          <w:i/>
          <w:iCs/>
          <w:color w:val="595959"/>
          <w:sz w:val="18"/>
          <w:szCs w:val="18"/>
        </w:rPr>
        <w:t>Administra</w:t>
      </w:r>
      <w:r>
        <w:rPr>
          <w:i/>
          <w:iCs/>
          <w:color w:val="595959"/>
          <w:sz w:val="18"/>
          <w:szCs w:val="18"/>
        </w:rPr>
        <w:t>tion</w:t>
      </w:r>
      <w:proofErr w:type="spellEnd"/>
      <w:r>
        <w:rPr>
          <w:i/>
          <w:iCs/>
          <w:color w:val="595959"/>
          <w:sz w:val="18"/>
          <w:szCs w:val="18"/>
        </w:rPr>
        <w:t xml:space="preserve"> 2025” (ej. herramienta T-GIS de </w:t>
      </w:r>
      <w:proofErr w:type="spellStart"/>
      <w:r>
        <w:rPr>
          <w:i/>
          <w:iCs/>
          <w:color w:val="595959"/>
          <w:sz w:val="18"/>
          <w:szCs w:val="18"/>
        </w:rPr>
        <w:t>geocodificación</w:t>
      </w:r>
      <w:proofErr w:type="spellEnd"/>
      <w:r>
        <w:rPr>
          <w:i/>
          <w:iCs/>
          <w:color w:val="595959"/>
          <w:sz w:val="18"/>
          <w:szCs w:val="18"/>
        </w:rPr>
        <w:t>). oecd.org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644" w14:paraId="06E6D42A" w14:textId="77777777">
        <w:tblPrEx>
          <w:tblCellMar>
            <w:top w:w="0" w:type="dxa"/>
            <w:bottom w:w="0" w:type="dxa"/>
          </w:tblCellMar>
        </w:tblPrEx>
        <w:tc>
          <w:tcPr>
            <w:tcW w:w="9360" w:type="dxa"/>
            <w:tcBorders>
              <w:top w:val="single" w:sz="1" w:space="0" w:color="C00000"/>
              <w:left w:val="single" w:sz="24" w:space="0" w:color="C00000"/>
              <w:bottom w:val="single" w:sz="1" w:space="0" w:color="C00000"/>
              <w:right w:val="single" w:sz="1" w:space="0" w:color="C00000"/>
            </w:tcBorders>
            <w:shd w:val="clear" w:color="auto" w:fill="FCE4E4"/>
            <w:tcMar>
              <w:top w:w="120" w:type="dxa"/>
              <w:left w:w="200" w:type="dxa"/>
              <w:bottom w:w="120" w:type="dxa"/>
              <w:right w:w="200" w:type="dxa"/>
            </w:tcMar>
          </w:tcPr>
          <w:p w14:paraId="33D2B154" w14:textId="77777777" w:rsidR="00686644" w:rsidRDefault="00CE2D96">
            <w:pPr>
              <w:spacing w:after="60"/>
            </w:pPr>
            <w:r>
              <w:rPr>
                <w:b/>
                <w:bCs/>
                <w:color w:val="C00000"/>
              </w:rPr>
              <w:t>Salvaguarda ética</w:t>
            </w:r>
          </w:p>
          <w:p w14:paraId="34E9C2E6" w14:textId="77777777" w:rsidR="00686644" w:rsidRDefault="00CE2D96">
            <w:r>
              <w:t xml:space="preserve">Los modelos de riesgo conllevan riesgos de sesgo, opacidad y trato injusto. El diseño debe garantizar </w:t>
            </w:r>
            <w:proofErr w:type="spellStart"/>
            <w:r>
              <w:t>explicabilidad</w:t>
            </w:r>
            <w:proofErr w:type="spellEnd"/>
            <w:r>
              <w:t>, mitigación de sesgos, resguardo de los derechos del cont</w:t>
            </w:r>
            <w:r>
              <w:t>ribuyente y revisión humana de todo caso antes de cualquier acción sancionatoria, en línea con la advertencia de la OCDE sobre la naturaleza de “caja negra” de ciertos modelos.</w:t>
            </w:r>
          </w:p>
        </w:tc>
      </w:tr>
    </w:tbl>
    <w:p w14:paraId="6066043B" w14:textId="77777777" w:rsidR="00686644" w:rsidRDefault="00686644">
      <w:pPr>
        <w:spacing w:after="120"/>
      </w:pPr>
    </w:p>
    <w:p w14:paraId="44BD3562" w14:textId="77777777" w:rsidR="00686644" w:rsidRDefault="00CE2D96">
      <w:r>
        <w:br w:type="page"/>
      </w:r>
    </w:p>
    <w:p w14:paraId="29B5C44C" w14:textId="77777777" w:rsidR="00686644" w:rsidRDefault="00CE2D96">
      <w:pPr>
        <w:pStyle w:val="Ttulo1"/>
      </w:pPr>
      <w:r>
        <w:t xml:space="preserve">7. Transparencia, </w:t>
      </w:r>
      <w:proofErr w:type="spellStart"/>
      <w:r>
        <w:t>compliance</w:t>
      </w:r>
      <w:proofErr w:type="spellEnd"/>
      <w:r>
        <w:t xml:space="preserve"> y anticorrupción</w:t>
      </w:r>
    </w:p>
    <w:p w14:paraId="3D386D54" w14:textId="77777777" w:rsidR="00686644" w:rsidRDefault="00CE2D96">
      <w:pPr>
        <w:spacing w:after="120" w:line="276" w:lineRule="auto"/>
        <w:jc w:val="both"/>
      </w:pPr>
      <w:r>
        <w:t>La capa transversal de integridad convierte cada transacción en datos abiertos y verificables, y vigila el proceso en tiempo real.</w:t>
      </w:r>
    </w:p>
    <w:p w14:paraId="38C70190" w14:textId="77777777" w:rsidR="00686644" w:rsidRDefault="00CE2D96">
      <w:pPr>
        <w:pStyle w:val="Prrafodelista"/>
        <w:numPr>
          <w:ilvl w:val="0"/>
          <w:numId w:val="2"/>
        </w:numPr>
        <w:spacing w:after="60" w:line="264" w:lineRule="auto"/>
      </w:pPr>
      <w:r>
        <w:rPr>
          <w:b/>
          <w:bCs/>
        </w:rPr>
        <w:t xml:space="preserve">Datos abiertos por diseño. </w:t>
      </w:r>
      <w:r>
        <w:t>El ciclo de gasto se publica en un estándar estructu</w:t>
      </w:r>
      <w:r>
        <w:t>rado tipo OCDS, abarcando planificación, licitación, adjudicación, contrato e implementación, salvo excepciones justificadas.</w:t>
      </w:r>
    </w:p>
    <w:p w14:paraId="4593C72E" w14:textId="77777777" w:rsidR="00686644" w:rsidRDefault="00CE2D96">
      <w:pPr>
        <w:pStyle w:val="Prrafodelista"/>
        <w:numPr>
          <w:ilvl w:val="0"/>
          <w:numId w:val="2"/>
        </w:numPr>
        <w:spacing w:after="60" w:line="264" w:lineRule="auto"/>
      </w:pPr>
      <w:r>
        <w:rPr>
          <w:b/>
          <w:bCs/>
        </w:rPr>
        <w:t xml:space="preserve">Banderas rojas automatizadas. </w:t>
      </w:r>
      <w:r>
        <w:t>Indicadores de riesgo (proveedor único recurrente, fraccionamiento bajo umbral, plazos anómalos, baj</w:t>
      </w:r>
      <w:r>
        <w:t>a competencia) corren sobre los datos y alertan al Agente de Cumplimiento; una bandera no prueba corrupción, sino que prioriza la revisión.</w:t>
      </w:r>
    </w:p>
    <w:p w14:paraId="514D0FB1" w14:textId="77777777" w:rsidR="00686644" w:rsidRDefault="00CE2D96">
      <w:pPr>
        <w:pStyle w:val="Prrafodelista"/>
        <w:numPr>
          <w:ilvl w:val="0"/>
          <w:numId w:val="2"/>
        </w:numPr>
        <w:spacing w:after="60" w:line="264" w:lineRule="auto"/>
      </w:pPr>
      <w:r>
        <w:rPr>
          <w:b/>
          <w:bCs/>
        </w:rPr>
        <w:t xml:space="preserve">Trazabilidad completa. </w:t>
      </w:r>
      <w:r>
        <w:t>Cada acción de agente o humano queda registrada con autor, fecha, justificación y documentaci</w:t>
      </w:r>
      <w:r>
        <w:t>ón de respaldo, lista para auditoría.</w:t>
      </w:r>
    </w:p>
    <w:p w14:paraId="145FED4B" w14:textId="77777777" w:rsidR="00686644" w:rsidRDefault="00CE2D96">
      <w:pPr>
        <w:pStyle w:val="Prrafodelista"/>
        <w:numPr>
          <w:ilvl w:val="0"/>
          <w:numId w:val="2"/>
        </w:numPr>
        <w:spacing w:after="60" w:line="264" w:lineRule="auto"/>
      </w:pPr>
      <w:r>
        <w:rPr>
          <w:b/>
          <w:bCs/>
        </w:rPr>
        <w:t xml:space="preserve">Separación de funciones. </w:t>
      </w:r>
      <w:r>
        <w:t>El modelo de permisos impide que un mismo usuario solicite, adjudique y pague.</w:t>
      </w:r>
    </w:p>
    <w:p w14:paraId="3F1F109E" w14:textId="77777777" w:rsidR="00686644" w:rsidRDefault="00CE2D96">
      <w:pPr>
        <w:pStyle w:val="Prrafodelista"/>
        <w:numPr>
          <w:ilvl w:val="0"/>
          <w:numId w:val="2"/>
        </w:numPr>
        <w:spacing w:after="60" w:line="264" w:lineRule="auto"/>
      </w:pPr>
      <w:r>
        <w:rPr>
          <w:b/>
          <w:bCs/>
        </w:rPr>
        <w:t xml:space="preserve">Control humano de lo irreversible. </w:t>
      </w:r>
      <w:r>
        <w:t>Adjudicar, pagar, condonar o modificar permisos siempre requiere confirmación h</w:t>
      </w:r>
      <w:r>
        <w:t>umana explícita.</w:t>
      </w:r>
    </w:p>
    <w:p w14:paraId="25CD43FC" w14:textId="77777777" w:rsidR="00686644" w:rsidRDefault="00CE2D96">
      <w:pPr>
        <w:spacing w:after="120"/>
      </w:pPr>
      <w:r>
        <w:rPr>
          <w:i/>
          <w:iCs/>
          <w:color w:val="595959"/>
          <w:sz w:val="18"/>
          <w:szCs w:val="18"/>
        </w:rPr>
        <w:t xml:space="preserve">Fuente: Open </w:t>
      </w:r>
      <w:proofErr w:type="spellStart"/>
      <w:r>
        <w:rPr>
          <w:i/>
          <w:iCs/>
          <w:color w:val="595959"/>
          <w:sz w:val="18"/>
          <w:szCs w:val="18"/>
        </w:rPr>
        <w:t>Contracting</w:t>
      </w:r>
      <w:proofErr w:type="spellEnd"/>
      <w:r>
        <w:rPr>
          <w:i/>
          <w:iCs/>
          <w:color w:val="595959"/>
          <w:sz w:val="18"/>
          <w:szCs w:val="18"/>
        </w:rPr>
        <w:t xml:space="preserve"> </w:t>
      </w:r>
      <w:proofErr w:type="spellStart"/>
      <w:r>
        <w:rPr>
          <w:i/>
          <w:iCs/>
          <w:color w:val="595959"/>
          <w:sz w:val="18"/>
          <w:szCs w:val="18"/>
        </w:rPr>
        <w:t>Partnership</w:t>
      </w:r>
      <w:proofErr w:type="spellEnd"/>
      <w:r>
        <w:rPr>
          <w:i/>
          <w:iCs/>
          <w:color w:val="595959"/>
          <w:sz w:val="18"/>
          <w:szCs w:val="18"/>
        </w:rPr>
        <w:t xml:space="preserve">, “Red </w:t>
      </w:r>
      <w:proofErr w:type="spellStart"/>
      <w:r>
        <w:rPr>
          <w:i/>
          <w:iCs/>
          <w:color w:val="595959"/>
          <w:sz w:val="18"/>
          <w:szCs w:val="18"/>
        </w:rPr>
        <w:t>Flags</w:t>
      </w:r>
      <w:proofErr w:type="spellEnd"/>
      <w:r>
        <w:rPr>
          <w:i/>
          <w:iCs/>
          <w:color w:val="595959"/>
          <w:sz w:val="18"/>
          <w:szCs w:val="18"/>
        </w:rPr>
        <w:t xml:space="preserve"> in </w:t>
      </w:r>
      <w:proofErr w:type="spellStart"/>
      <w:r>
        <w:rPr>
          <w:i/>
          <w:iCs/>
          <w:color w:val="595959"/>
          <w:sz w:val="18"/>
          <w:szCs w:val="18"/>
        </w:rPr>
        <w:t>Public</w:t>
      </w:r>
      <w:proofErr w:type="spellEnd"/>
      <w:r>
        <w:rPr>
          <w:i/>
          <w:iCs/>
          <w:color w:val="595959"/>
          <w:sz w:val="18"/>
          <w:szCs w:val="18"/>
        </w:rPr>
        <w:t xml:space="preserve"> </w:t>
      </w:r>
      <w:proofErr w:type="spellStart"/>
      <w:r>
        <w:rPr>
          <w:i/>
          <w:iCs/>
          <w:color w:val="595959"/>
          <w:sz w:val="18"/>
          <w:szCs w:val="18"/>
        </w:rPr>
        <w:t>Procurement</w:t>
      </w:r>
      <w:proofErr w:type="spellEnd"/>
      <w:r>
        <w:rPr>
          <w:i/>
          <w:iCs/>
          <w:color w:val="595959"/>
          <w:sz w:val="18"/>
          <w:szCs w:val="18"/>
        </w:rPr>
        <w:t>” y “Cardinal” (biblioteca de código abierto), 2024. open-contracting.org</w:t>
      </w:r>
    </w:p>
    <w:p w14:paraId="4EB5D211" w14:textId="77777777" w:rsidR="00686644" w:rsidRDefault="00CE2D96">
      <w:pPr>
        <w:pStyle w:val="Ttulo2"/>
      </w:pPr>
      <w:r>
        <w:t>7.1. Informes dinámicos y seguros</w:t>
      </w:r>
    </w:p>
    <w:p w14:paraId="3048C6DF" w14:textId="77777777" w:rsidR="00686644" w:rsidRDefault="00CE2D96">
      <w:pPr>
        <w:pStyle w:val="Prrafodelista"/>
        <w:numPr>
          <w:ilvl w:val="0"/>
          <w:numId w:val="2"/>
        </w:numPr>
        <w:spacing w:after="60" w:line="264" w:lineRule="auto"/>
      </w:pPr>
      <w:r>
        <w:rPr>
          <w:b/>
          <w:bCs/>
        </w:rPr>
        <w:t xml:space="preserve">Tableros en tiempo real. </w:t>
      </w:r>
      <w:r>
        <w:t>Ejecución presupuestaria, recaudació</w:t>
      </w:r>
      <w:r>
        <w:t>n y riesgo de integridad en paneles ágiles, filtrables y exportables.</w:t>
      </w:r>
    </w:p>
    <w:p w14:paraId="730213AE" w14:textId="77777777" w:rsidR="00686644" w:rsidRDefault="00CE2D96">
      <w:pPr>
        <w:pStyle w:val="Prrafodelista"/>
        <w:numPr>
          <w:ilvl w:val="0"/>
          <w:numId w:val="2"/>
        </w:numPr>
        <w:spacing w:after="60" w:line="264" w:lineRule="auto"/>
      </w:pPr>
      <w:r>
        <w:rPr>
          <w:b/>
          <w:bCs/>
        </w:rPr>
        <w:t xml:space="preserve">Entrega segura a dispositivos. </w:t>
      </w:r>
      <w:r>
        <w:t xml:space="preserve">Los interesados reciben sus informes en el teléfono con autenticación fuerte y cifrado, y notificaciones por umbral (ej. “la recaudación de la tasa X cayó </w:t>
      </w:r>
      <w:r>
        <w:t>8% esta semana”).</w:t>
      </w:r>
    </w:p>
    <w:p w14:paraId="31B9DCAB" w14:textId="77777777" w:rsidR="00686644" w:rsidRDefault="00CE2D96">
      <w:pPr>
        <w:pStyle w:val="Prrafodelista"/>
        <w:numPr>
          <w:ilvl w:val="0"/>
          <w:numId w:val="2"/>
        </w:numPr>
        <w:spacing w:after="60" w:line="264" w:lineRule="auto"/>
      </w:pPr>
      <w:r>
        <w:rPr>
          <w:b/>
          <w:bCs/>
        </w:rPr>
        <w:t xml:space="preserve">Informes conversacionales. </w:t>
      </w:r>
      <w:r>
        <w:t>El usuario puede pedir un dato por voz (“¿cuánto ejecutamos en obras este mes?”) y recibir el número con su gráfico.</w:t>
      </w:r>
    </w:p>
    <w:p w14:paraId="425359AC" w14:textId="77777777" w:rsidR="00686644" w:rsidRDefault="00CE2D96">
      <w:pPr>
        <w:pStyle w:val="Ttulo2"/>
      </w:pPr>
      <w:r>
        <w:t>7.2. Capacitación incorporada y detección de inconsistencias</w:t>
      </w:r>
    </w:p>
    <w:p w14:paraId="12A3F540" w14:textId="77777777" w:rsidR="00686644" w:rsidRDefault="00CE2D96">
      <w:pPr>
        <w:spacing w:after="120" w:line="276" w:lineRule="auto"/>
        <w:jc w:val="both"/>
      </w:pPr>
      <w:r>
        <w:t>Cada pantalla tiene una capacitac</w:t>
      </w:r>
      <w:r>
        <w:t>ión asociada para empleados noveles: el Agente Tutor explica qué hace la pantalla, guía paso a paso la primera vez y queda disponible para consultas. En paralelo, valida los datos a medida que se ingresan —montos fuera de rango, partidas agotadas, proveedo</w:t>
      </w:r>
      <w:r>
        <w:t>res no habilitados, campos incongruentes— y avisa antes de que el error se propague.</w:t>
      </w:r>
    </w:p>
    <w:p w14:paraId="370462F4" w14:textId="77777777" w:rsidR="00686644" w:rsidRDefault="00CE2D96">
      <w:r>
        <w:br w:type="page"/>
      </w:r>
    </w:p>
    <w:p w14:paraId="3E550827" w14:textId="77777777" w:rsidR="00686644" w:rsidRDefault="00CE2D96">
      <w:pPr>
        <w:pStyle w:val="Ttulo1"/>
      </w:pPr>
      <w:r>
        <w:t>8. Esquema de desarrollo para un MVP</w:t>
      </w:r>
    </w:p>
    <w:p w14:paraId="5F268E04" w14:textId="77777777" w:rsidR="00686644" w:rsidRDefault="00CE2D96">
      <w:pPr>
        <w:spacing w:after="120" w:line="276" w:lineRule="auto"/>
        <w:jc w:val="both"/>
      </w:pPr>
      <w:r>
        <w:t>La recomendación es construir un producto mínimo viable acotado a una sola vía del ciclo de gasto y una sola tasa de recaudación, de</w:t>
      </w:r>
      <w:r>
        <w:t>mostrar valor rápido y luego escalar. Se prioriza por valor entregado y por riesgo controlado.</w:t>
      </w:r>
    </w:p>
    <w:p w14:paraId="65232517" w14:textId="77777777" w:rsidR="00686644" w:rsidRDefault="00CE2D96">
      <w:pPr>
        <w:pStyle w:val="Ttulo2"/>
      </w:pPr>
      <w:r>
        <w:t>8.1. Alcance del MVP (qué sí y qué no)</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6644" w14:paraId="23883D4B"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052C3F1" w14:textId="77777777" w:rsidR="00686644" w:rsidRDefault="00CE2D96">
            <w:r>
              <w:rPr>
                <w:b/>
                <w:bCs/>
                <w:color w:val="FFFFFF"/>
              </w:rPr>
              <w:t>Incluir en el MVP</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233AD32" w14:textId="77777777" w:rsidR="00686644" w:rsidRDefault="00CE2D96">
            <w:r>
              <w:rPr>
                <w:b/>
                <w:bCs/>
                <w:color w:val="FFFFFF"/>
              </w:rPr>
              <w:t>Dejar para fases posteriores</w:t>
            </w:r>
          </w:p>
        </w:tc>
      </w:tr>
      <w:tr w:rsidR="00686644" w14:paraId="7AD559D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A42FD4" w14:textId="77777777" w:rsidR="00686644" w:rsidRDefault="00CE2D96">
            <w:r>
              <w:t>Nota de pedido por voz/texto con numeración y edición</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CB99BB" w14:textId="77777777" w:rsidR="00686644" w:rsidRDefault="00CE2D96">
            <w:r>
              <w:t>Subasta inversa completa</w:t>
            </w:r>
          </w:p>
        </w:tc>
      </w:tr>
      <w:tr w:rsidR="00686644" w14:paraId="6A3332F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E5B008" w14:textId="77777777" w:rsidR="00686644" w:rsidRDefault="00CE2D96">
            <w:r>
              <w:t>Solicitud de presupuesto por correo y cuadro comparativo simple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9F0297" w14:textId="77777777" w:rsidR="00686644" w:rsidRDefault="00CE2D96">
            <w:r>
              <w:t>Modelos avanzados de detección de evasión</w:t>
            </w:r>
          </w:p>
        </w:tc>
      </w:tr>
      <w:tr w:rsidR="00686644" w14:paraId="65331E6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37454F" w14:textId="77777777" w:rsidR="00686644" w:rsidRDefault="00CE2D96">
            <w:r>
              <w:t>Adjudicación con confirmación humana</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6AD325" w14:textId="77777777" w:rsidR="00686644" w:rsidRDefault="00CE2D96">
            <w:r>
              <w:t>Federación completa de agentes</w:t>
            </w:r>
          </w:p>
        </w:tc>
      </w:tr>
      <w:tr w:rsidR="00686644" w14:paraId="4F408A2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229887" w14:textId="77777777" w:rsidR="00686644" w:rsidRDefault="00CE2D96">
            <w:r>
              <w:t>Devengado por correo + conciliación básica</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B4272F2" w14:textId="77777777" w:rsidR="00686644" w:rsidRDefault="00CE2D96">
            <w:r>
              <w:t>Integración con todos los sistemas legados</w:t>
            </w:r>
          </w:p>
        </w:tc>
      </w:tr>
      <w:tr w:rsidR="00686644" w14:paraId="261BB0E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00C4A5" w14:textId="77777777" w:rsidR="00686644" w:rsidRDefault="00CE2D96">
            <w:r>
              <w:t>Una tasa parametrizable + plan de pago + recordatorios</w:t>
            </w:r>
          </w:p>
        </w:tc>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84DCEA" w14:textId="77777777" w:rsidR="00686644" w:rsidRDefault="00CE2D96">
            <w:r>
              <w:t>Tableros con analítica predictiva</w:t>
            </w:r>
          </w:p>
        </w:tc>
      </w:tr>
      <w:tr w:rsidR="00686644" w14:paraId="10966F3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5F95F2" w14:textId="77777777" w:rsidR="00686644" w:rsidRDefault="00CE2D96">
            <w:r>
              <w:t>Trazabilidad y 5–8 banderas rojas básicas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082593" w14:textId="77777777" w:rsidR="00686644" w:rsidRDefault="00CE2D96">
            <w:r>
              <w:t>Publicación OCDS completa</w:t>
            </w:r>
          </w:p>
        </w:tc>
      </w:tr>
    </w:tbl>
    <w:p w14:paraId="76365425" w14:textId="77777777" w:rsidR="00686644" w:rsidRDefault="00686644">
      <w:pPr>
        <w:spacing w:after="120"/>
      </w:pPr>
    </w:p>
    <w:p w14:paraId="1D46F93E" w14:textId="77777777" w:rsidR="00686644" w:rsidRDefault="00CE2D96">
      <w:pPr>
        <w:pStyle w:val="Ttulo2"/>
      </w:pPr>
      <w:r>
        <w:t xml:space="preserve">8.2. </w:t>
      </w:r>
      <w:proofErr w:type="spellStart"/>
      <w:r>
        <w:t>Roadmap</w:t>
      </w:r>
      <w:proofErr w:type="spellEnd"/>
      <w:r>
        <w:t xml:space="preserve"> por fases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686644" w14:paraId="1FE7EC14"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D48548" w14:textId="77777777" w:rsidR="00686644" w:rsidRDefault="00CE2D96">
            <w:r>
              <w:rPr>
                <w:b/>
                <w:bCs/>
                <w:color w:val="FFFFFF"/>
              </w:rPr>
              <w:t>Fase</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209F91D" w14:textId="77777777" w:rsidR="00686644" w:rsidRDefault="00CE2D96">
            <w:r>
              <w:rPr>
                <w:b/>
                <w:bCs/>
                <w:color w:val="FFFFFF"/>
              </w:rPr>
              <w:t>Duración estimada</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A6C532" w14:textId="77777777" w:rsidR="00686644" w:rsidRDefault="00CE2D96">
            <w:r>
              <w:rPr>
                <w:b/>
                <w:bCs/>
                <w:color w:val="FFFFFF"/>
              </w:rPr>
              <w:t>Entregable principal</w:t>
            </w:r>
          </w:p>
        </w:tc>
      </w:tr>
      <w:tr w:rsidR="00686644" w14:paraId="43CB6DA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5877BC" w14:textId="77777777" w:rsidR="00686644" w:rsidRDefault="00CE2D96">
            <w:r>
              <w:t>0 – Descubrimiento</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F6312E" w14:textId="77777777" w:rsidR="00686644" w:rsidRDefault="00CE2D96">
            <w:r>
              <w:t>3–4 semanas</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C968EF" w14:textId="77777777" w:rsidR="00686644" w:rsidRDefault="00CE2D96">
            <w:r>
              <w:t>Mapa de procesos, permisos y datos; definición de la “vía feliz” del gasto a automatizar.</w:t>
            </w:r>
          </w:p>
        </w:tc>
      </w:tr>
      <w:tr w:rsidR="00686644" w14:paraId="32BCB38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3A1E18" w14:textId="77777777" w:rsidR="00686644" w:rsidRDefault="00CE2D96">
            <w:r>
              <w:t>1 – MVP gasto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A15FAD" w14:textId="77777777" w:rsidR="00686644" w:rsidRDefault="00CE2D96">
            <w:r>
              <w:t>8–10 semanas</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E04B7C" w14:textId="77777777" w:rsidR="00686644" w:rsidRDefault="00CE2D96">
            <w:r>
              <w:t>Solicitud → cotización → adjudicación → devengado por voz/texto, con trazabilidad.</w:t>
            </w:r>
          </w:p>
        </w:tc>
      </w:tr>
      <w:tr w:rsidR="00686644" w14:paraId="5D53B2C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3F4571" w14:textId="77777777" w:rsidR="00686644" w:rsidRDefault="00CE2D96">
            <w:r>
              <w:t>2 – MVP recaudación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57B0E7" w14:textId="77777777" w:rsidR="00686644" w:rsidRDefault="00CE2D96">
            <w:r>
              <w:t>6–8 semanas</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2A783E" w14:textId="77777777" w:rsidR="00686644" w:rsidRDefault="00CE2D96">
            <w:r>
              <w:t>Una tasa parametrizable, pago ciudadano, planes e intimaciones.</w:t>
            </w:r>
          </w:p>
        </w:tc>
      </w:tr>
      <w:tr w:rsidR="00686644" w14:paraId="2431B24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FE1E02" w14:textId="77777777" w:rsidR="00686644" w:rsidRDefault="00CE2D96">
            <w:r>
              <w:t>3 – Transparencia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D228E4" w14:textId="77777777" w:rsidR="00686644" w:rsidRDefault="00CE2D96">
            <w:r>
              <w:t>6 semanas</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77778A" w14:textId="77777777" w:rsidR="00686644" w:rsidRDefault="00CE2D96">
            <w:r>
              <w:t>Publicación de datos abiertos y tablero de banderas rojas.</w:t>
            </w:r>
          </w:p>
        </w:tc>
      </w:tr>
      <w:tr w:rsidR="00686644" w14:paraId="1FEB0FB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9098F9" w14:textId="77777777" w:rsidR="00686644" w:rsidRDefault="00CE2D96">
            <w:r>
              <w:t>4 – Escala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4939C3" w14:textId="77777777" w:rsidR="00686644" w:rsidRDefault="00CE2D96">
            <w:r>
              <w:t>Continuo</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39B53F" w14:textId="77777777" w:rsidR="00686644" w:rsidRDefault="00CE2D96">
            <w:r>
              <w:t>Más rubros, subastas, federación de agentes, analítica avanzada.</w:t>
            </w:r>
          </w:p>
        </w:tc>
      </w:tr>
    </w:tbl>
    <w:p w14:paraId="17C60964" w14:textId="77777777" w:rsidR="00686644" w:rsidRDefault="00686644">
      <w:pPr>
        <w:spacing w:after="120"/>
      </w:pPr>
    </w:p>
    <w:p w14:paraId="2363001F" w14:textId="77777777" w:rsidR="00686644" w:rsidRDefault="00CE2D96">
      <w:pPr>
        <w:pStyle w:val="Ttulo2"/>
      </w:pPr>
      <w:r>
        <w:t>8.3. Componentes técnicos sugeridos</w:t>
      </w:r>
    </w:p>
    <w:p w14:paraId="280860FB" w14:textId="77777777" w:rsidR="00686644" w:rsidRDefault="00CE2D96">
      <w:pPr>
        <w:pStyle w:val="Prrafodelista"/>
        <w:numPr>
          <w:ilvl w:val="0"/>
          <w:numId w:val="2"/>
        </w:numPr>
        <w:spacing w:after="60" w:line="264" w:lineRule="auto"/>
      </w:pPr>
      <w:r>
        <w:rPr>
          <w:b/>
          <w:bCs/>
        </w:rPr>
        <w:t xml:space="preserve">Entrada de voz y lenguaje natural: </w:t>
      </w:r>
      <w:r>
        <w:t>transcripción de voz a texto + un modelo de lenguaje que clasifica intención (acotada por permisos) y extrae entidades (rubro, cantidad, especificación).</w:t>
      </w:r>
    </w:p>
    <w:p w14:paraId="647D4E1B" w14:textId="77777777" w:rsidR="00686644" w:rsidRDefault="00CE2D96">
      <w:pPr>
        <w:pStyle w:val="Prrafodelista"/>
        <w:numPr>
          <w:ilvl w:val="0"/>
          <w:numId w:val="2"/>
        </w:numPr>
        <w:spacing w:after="60" w:line="264" w:lineRule="auto"/>
      </w:pPr>
      <w:r>
        <w:rPr>
          <w:b/>
          <w:bCs/>
        </w:rPr>
        <w:t xml:space="preserve">Orquestación de agentes: </w:t>
      </w:r>
      <w:r>
        <w:t>un orquestador que enruta la intención al agente correcto y mantiene el estad</w:t>
      </w:r>
      <w:r>
        <w:t>o de cada nota/expediente.</w:t>
      </w:r>
    </w:p>
    <w:p w14:paraId="362A423E" w14:textId="77777777" w:rsidR="00686644" w:rsidRDefault="00CE2D96">
      <w:pPr>
        <w:pStyle w:val="Prrafodelista"/>
        <w:numPr>
          <w:ilvl w:val="0"/>
          <w:numId w:val="2"/>
        </w:numPr>
        <w:spacing w:after="60" w:line="264" w:lineRule="auto"/>
      </w:pPr>
      <w:r>
        <w:rPr>
          <w:b/>
          <w:bCs/>
        </w:rPr>
        <w:t xml:space="preserve">Núcleo financiero: </w:t>
      </w:r>
      <w:r>
        <w:t>registro de notas, órdenes, devengado y pagos con estados y numeración; base de datos auditable (</w:t>
      </w:r>
      <w:proofErr w:type="spellStart"/>
      <w:r>
        <w:t>append-only</w:t>
      </w:r>
      <w:proofErr w:type="spellEnd"/>
      <w:r>
        <w:t xml:space="preserve"> para el registro de eventos).</w:t>
      </w:r>
    </w:p>
    <w:p w14:paraId="0E3C1599" w14:textId="77777777" w:rsidR="00686644" w:rsidRDefault="00CE2D96">
      <w:pPr>
        <w:pStyle w:val="Prrafodelista"/>
        <w:numPr>
          <w:ilvl w:val="0"/>
          <w:numId w:val="2"/>
        </w:numPr>
        <w:spacing w:after="60" w:line="264" w:lineRule="auto"/>
      </w:pPr>
      <w:r>
        <w:rPr>
          <w:b/>
          <w:bCs/>
        </w:rPr>
        <w:t xml:space="preserve">Procesamiento de correo y facturas: </w:t>
      </w:r>
      <w:r>
        <w:t xml:space="preserve">casillas dedicadas + extracción de </w:t>
      </w:r>
      <w:r>
        <w:t>datos de factura y conciliación.</w:t>
      </w:r>
    </w:p>
    <w:p w14:paraId="32155697" w14:textId="77777777" w:rsidR="00686644" w:rsidRDefault="00CE2D96">
      <w:pPr>
        <w:pStyle w:val="Prrafodelista"/>
        <w:numPr>
          <w:ilvl w:val="0"/>
          <w:numId w:val="2"/>
        </w:numPr>
        <w:spacing w:after="60" w:line="264" w:lineRule="auto"/>
      </w:pPr>
      <w:r>
        <w:rPr>
          <w:b/>
          <w:bCs/>
        </w:rPr>
        <w:t xml:space="preserve">Capa de integridad: </w:t>
      </w:r>
      <w:r>
        <w:t>motor de reglas para banderas rojas y publicación de datos abiertos.</w:t>
      </w:r>
    </w:p>
    <w:p w14:paraId="77A7A7AF" w14:textId="77777777" w:rsidR="00686644" w:rsidRDefault="00CE2D96">
      <w:pPr>
        <w:pStyle w:val="Prrafodelista"/>
        <w:numPr>
          <w:ilvl w:val="0"/>
          <w:numId w:val="2"/>
        </w:numPr>
        <w:spacing w:after="60" w:line="264" w:lineRule="auto"/>
      </w:pPr>
      <w:r>
        <w:rPr>
          <w:b/>
          <w:bCs/>
        </w:rPr>
        <w:t xml:space="preserve">Seguridad: </w:t>
      </w:r>
      <w:r>
        <w:t>autenticación fuerte, cifrado, control de acceso por rol y registro inmutable de auditoría.</w:t>
      </w:r>
    </w:p>
    <w:p w14:paraId="75D8D3B1" w14:textId="77777777" w:rsidR="00686644" w:rsidRDefault="00CE2D96">
      <w:pPr>
        <w:pStyle w:val="Ttulo2"/>
      </w:pPr>
      <w:r>
        <w:t>8.4. Métricas de éxito del MVP</w:t>
      </w:r>
    </w:p>
    <w:p w14:paraId="1A3E1587" w14:textId="77777777" w:rsidR="00686644" w:rsidRDefault="00CE2D96">
      <w:pPr>
        <w:pStyle w:val="Prrafodelista"/>
        <w:numPr>
          <w:ilvl w:val="0"/>
          <w:numId w:val="2"/>
        </w:numPr>
        <w:spacing w:after="60" w:line="264" w:lineRule="auto"/>
      </w:pPr>
      <w:r>
        <w:t>Tiempo promedio para generar una nota de pedido (objetivo: &lt; 1 minuto por voz).</w:t>
      </w:r>
    </w:p>
    <w:p w14:paraId="5ACCA8FE" w14:textId="77777777" w:rsidR="00686644" w:rsidRDefault="00CE2D96">
      <w:pPr>
        <w:pStyle w:val="Prrafodelista"/>
        <w:numPr>
          <w:ilvl w:val="0"/>
          <w:numId w:val="2"/>
        </w:numPr>
        <w:spacing w:after="60" w:line="264" w:lineRule="auto"/>
      </w:pPr>
      <w:r>
        <w:t>Porcentaje de expedientes con documentación de respaldo completa al cierre (objetivo: &gt; 95%).</w:t>
      </w:r>
    </w:p>
    <w:p w14:paraId="787C0704" w14:textId="77777777" w:rsidR="00686644" w:rsidRDefault="00CE2D96">
      <w:pPr>
        <w:pStyle w:val="Prrafodelista"/>
        <w:numPr>
          <w:ilvl w:val="0"/>
          <w:numId w:val="2"/>
        </w:numPr>
        <w:spacing w:after="60" w:line="264" w:lineRule="auto"/>
      </w:pPr>
      <w:r>
        <w:t>Reducción del tiempo de ciclo solicitud-a-pago respecto del proceso actual.</w:t>
      </w:r>
    </w:p>
    <w:p w14:paraId="49261020" w14:textId="77777777" w:rsidR="00686644" w:rsidRDefault="00CE2D96">
      <w:pPr>
        <w:pStyle w:val="Prrafodelista"/>
        <w:numPr>
          <w:ilvl w:val="0"/>
          <w:numId w:val="2"/>
        </w:numPr>
        <w:spacing w:after="60" w:line="264" w:lineRule="auto"/>
      </w:pPr>
      <w:r>
        <w:t>Tasa d</w:t>
      </w:r>
      <w:r>
        <w:t>e mora de la tasa piloto y porcentaje de adhesión a planes de pago.</w:t>
      </w:r>
    </w:p>
    <w:p w14:paraId="54457636" w14:textId="77777777" w:rsidR="00686644" w:rsidRDefault="00CE2D96">
      <w:pPr>
        <w:pStyle w:val="Prrafodelista"/>
        <w:numPr>
          <w:ilvl w:val="0"/>
          <w:numId w:val="2"/>
        </w:numPr>
        <w:spacing w:after="60" w:line="264" w:lineRule="auto"/>
      </w:pPr>
      <w:r>
        <w:t>Número de banderas rojas detectadas y revisadas.</w:t>
      </w:r>
    </w:p>
    <w:p w14:paraId="07D4E69D" w14:textId="77777777" w:rsidR="00686644" w:rsidRDefault="00CE2D96">
      <w:pPr>
        <w:pStyle w:val="Prrafodelista"/>
        <w:numPr>
          <w:ilvl w:val="0"/>
          <w:numId w:val="2"/>
        </w:numPr>
        <w:spacing w:after="60" w:line="264" w:lineRule="auto"/>
      </w:pPr>
      <w:r>
        <w:t>Satisfacción del empleado novel con la capacitación incorporada.</w:t>
      </w:r>
    </w:p>
    <w:p w14:paraId="0D9FC538" w14:textId="77777777" w:rsidR="00686644" w:rsidRDefault="00CE2D96">
      <w:pPr>
        <w:pStyle w:val="Ttulo2"/>
      </w:pPr>
      <w:r>
        <w:t>8.5. Riesgos y mitigaciones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686644" w14:paraId="45CDB53D" w14:textId="77777777">
        <w:tblPrEx>
          <w:tblCellMar>
            <w:top w:w="0" w:type="dxa"/>
            <w:bottom w:w="0" w:type="dxa"/>
          </w:tblCellMar>
        </w:tblPrEx>
        <w:trPr>
          <w:tblHeader/>
        </w:trPr>
        <w:tc>
          <w:tcPr>
            <w:tcW w:w="3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55DA0F4" w14:textId="77777777" w:rsidR="00686644" w:rsidRDefault="00CE2D96">
            <w:r>
              <w:rPr>
                <w:b/>
                <w:bCs/>
                <w:color w:val="FFFFFF"/>
              </w:rPr>
              <w:t>Riesgo</w:t>
            </w:r>
          </w:p>
        </w:tc>
        <w:tc>
          <w:tcPr>
            <w:tcW w:w="54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F47F8B" w14:textId="77777777" w:rsidR="00686644" w:rsidRDefault="00CE2D96">
            <w:r>
              <w:rPr>
                <w:b/>
                <w:bCs/>
                <w:color w:val="FFFFFF"/>
              </w:rPr>
              <w:t>Mitigación</w:t>
            </w:r>
          </w:p>
        </w:tc>
      </w:tr>
      <w:tr w:rsidR="00686644" w14:paraId="3BD60665" w14:textId="77777777">
        <w:tblPrEx>
          <w:tblCellMar>
            <w:top w:w="0" w:type="dxa"/>
            <w:bottom w:w="0" w:type="dxa"/>
          </w:tblCellMar>
        </w:tblPrEx>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AEB268" w14:textId="77777777" w:rsidR="00686644" w:rsidRDefault="00CE2D96">
            <w:r>
              <w:t>Resistencia al cambio de los usuarios (causa frecuente de fracaso de los GFMIS)</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FF4A65" w14:textId="77777777" w:rsidR="00686644" w:rsidRDefault="00CE2D96">
            <w:r>
              <w:t>Capacitación incorporada, MVP acotado y participación temprana de los empleados.</w:t>
            </w:r>
          </w:p>
        </w:tc>
      </w:tr>
      <w:tr w:rsidR="00686644" w14:paraId="2A29EA05" w14:textId="77777777">
        <w:tblPrEx>
          <w:tblCellMar>
            <w:top w:w="0" w:type="dxa"/>
            <w:bottom w:w="0" w:type="dxa"/>
          </w:tblCellMar>
        </w:tblPrEx>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C0145B" w14:textId="77777777" w:rsidR="00686644" w:rsidRDefault="00CE2D96">
            <w:r>
              <w:t>IA opaca o sesgada en decisiones sensibles</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D99B5D" w14:textId="77777777" w:rsidR="00686644" w:rsidRDefault="00CE2D96">
            <w:proofErr w:type="spellStart"/>
            <w:r>
              <w:t>Explicabilidad</w:t>
            </w:r>
            <w:proofErr w:type="spellEnd"/>
            <w:r>
              <w:t xml:space="preserve"> obligatoria, revisión humana y auditoría de modelos.</w:t>
            </w:r>
          </w:p>
        </w:tc>
      </w:tr>
      <w:tr w:rsidR="00686644" w14:paraId="54B1D89A" w14:textId="77777777">
        <w:tblPrEx>
          <w:tblCellMar>
            <w:top w:w="0" w:type="dxa"/>
            <w:bottom w:w="0" w:type="dxa"/>
          </w:tblCellMar>
        </w:tblPrEx>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03943D" w14:textId="77777777" w:rsidR="00686644" w:rsidRDefault="00CE2D96">
            <w:r>
              <w:t>Errores de interpretación de voz</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5ABA82" w14:textId="77777777" w:rsidR="00686644" w:rsidRDefault="00CE2D96">
            <w:r>
              <w:t>Confirmación visual de cada acción antes de ejecutarla; edición simple.</w:t>
            </w:r>
          </w:p>
        </w:tc>
      </w:tr>
      <w:tr w:rsidR="00686644" w14:paraId="3CA68FCC" w14:textId="77777777">
        <w:tblPrEx>
          <w:tblCellMar>
            <w:top w:w="0" w:type="dxa"/>
            <w:bottom w:w="0" w:type="dxa"/>
          </w:tblCellMar>
        </w:tblPrEx>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5CF81CF" w14:textId="77777777" w:rsidR="00686644" w:rsidRDefault="00CE2D96">
            <w:r>
              <w:t>Clasificación excesiva de información como confidencial</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4B3B153" w14:textId="77777777" w:rsidR="00686644" w:rsidRDefault="00CE2D96">
            <w:r>
              <w:t>Política de apertura por diseño con excepciones justificadas.</w:t>
            </w:r>
          </w:p>
        </w:tc>
      </w:tr>
      <w:tr w:rsidR="00686644" w14:paraId="4A208B18" w14:textId="77777777">
        <w:tblPrEx>
          <w:tblCellMar>
            <w:top w:w="0" w:type="dxa"/>
            <w:bottom w:w="0" w:type="dxa"/>
          </w:tblCellMar>
        </w:tblPrEx>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E76C5C" w14:textId="77777777" w:rsidR="00686644" w:rsidRDefault="00CE2D96">
            <w:r>
              <w:t>Dependencia de procesos débiles preexistentes</w:t>
            </w:r>
          </w:p>
        </w:tc>
        <w:tc>
          <w:tcPr>
            <w:tcW w:w="5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34EACD" w14:textId="77777777" w:rsidR="00686644" w:rsidRDefault="00CE2D96">
            <w:r>
              <w:t>Rediseñar el proceso antes de automatizarlo (la tecnología no arregla un mal proceso).</w:t>
            </w:r>
          </w:p>
        </w:tc>
      </w:tr>
    </w:tbl>
    <w:p w14:paraId="5D8502A4" w14:textId="77777777" w:rsidR="00686644" w:rsidRDefault="00686644">
      <w:pPr>
        <w:spacing w:after="120"/>
      </w:pPr>
    </w:p>
    <w:p w14:paraId="52C32F22" w14:textId="77777777" w:rsidR="00686644" w:rsidRDefault="00CE2D96">
      <w:r>
        <w:br w:type="page"/>
      </w:r>
    </w:p>
    <w:p w14:paraId="24F41839" w14:textId="77777777" w:rsidR="00686644" w:rsidRDefault="00CE2D96">
      <w:pPr>
        <w:pStyle w:val="Ttulo1"/>
      </w:pPr>
      <w:r>
        <w:t>9. Fuentes y referencias</w:t>
      </w:r>
    </w:p>
    <w:p w14:paraId="435219A0" w14:textId="77777777" w:rsidR="00686644" w:rsidRDefault="00CE2D96">
      <w:pPr>
        <w:spacing w:after="120" w:line="276" w:lineRule="auto"/>
        <w:jc w:val="both"/>
      </w:pPr>
      <w:r>
        <w:t>Las siguientes fuentes respaldan las mejores prácticas citadas a lo largo del documento:</w:t>
      </w:r>
    </w:p>
    <w:p w14:paraId="3FADDD93" w14:textId="77777777" w:rsidR="00686644" w:rsidRDefault="00CE2D96">
      <w:pPr>
        <w:pStyle w:val="Prrafodelista"/>
        <w:numPr>
          <w:ilvl w:val="0"/>
          <w:numId w:val="3"/>
        </w:numPr>
        <w:spacing w:after="80"/>
      </w:pPr>
      <w:r w:rsidRPr="00D454E1">
        <w:rPr>
          <w:lang w:val="en-US"/>
        </w:rPr>
        <w:t xml:space="preserve">FMI – PFM Blog (2019). GFMIS – A Tool for Improving Transparency and Accountability. </w:t>
      </w:r>
      <w:hyperlink r:id="rId7" w:history="1">
        <w:r>
          <w:rPr>
            <w:rStyle w:val="Hipervnculo"/>
            <w:color w:val="2E75B6"/>
          </w:rPr>
          <w:t>https://blog-pfm.imf.org/en/pfmblog/2019/01/gfmis-a-tool-for-improving-transparency-and-accountability</w:t>
        </w:r>
      </w:hyperlink>
    </w:p>
    <w:p w14:paraId="0C1A3110" w14:textId="77777777" w:rsidR="00686644" w:rsidRDefault="00CE2D96">
      <w:pPr>
        <w:pStyle w:val="Prrafodelista"/>
        <w:numPr>
          <w:ilvl w:val="0"/>
          <w:numId w:val="3"/>
        </w:numPr>
        <w:spacing w:after="80"/>
      </w:pPr>
      <w:r w:rsidRPr="00D454E1">
        <w:rPr>
          <w:lang w:val="en-US"/>
        </w:rPr>
        <w:t xml:space="preserve">Banco Mundial. A Handbook on Financial Management Information Systems for Government. </w:t>
      </w:r>
      <w:hyperlink r:id="rId8" w:history="1">
        <w:r>
          <w:rPr>
            <w:rStyle w:val="Hipervnculo"/>
            <w:color w:val="2E75B6"/>
          </w:rPr>
          <w:t>https://documents.worldbank.org/en/publication/documents-reports/documentdetail/147241467987856662</w:t>
        </w:r>
      </w:hyperlink>
    </w:p>
    <w:p w14:paraId="63D8F26D" w14:textId="77777777" w:rsidR="00686644" w:rsidRDefault="00CE2D96">
      <w:pPr>
        <w:pStyle w:val="Prrafodelista"/>
        <w:numPr>
          <w:ilvl w:val="0"/>
          <w:numId w:val="3"/>
        </w:numPr>
        <w:spacing w:after="80"/>
      </w:pPr>
      <w:r w:rsidRPr="00D454E1">
        <w:rPr>
          <w:lang w:val="en-US"/>
        </w:rPr>
        <w:t>OCDE (2024). Governing with Artificial Intelligence – AI in public procu</w:t>
      </w:r>
      <w:r w:rsidRPr="00D454E1">
        <w:rPr>
          <w:lang w:val="en-US"/>
        </w:rPr>
        <w:t xml:space="preserve">rement. </w:t>
      </w:r>
      <w:hyperlink r:id="rId9" w:history="1">
        <w:r>
          <w:rPr>
            <w:rStyle w:val="Hipervnculo"/>
            <w:color w:val="2E75B6"/>
          </w:rPr>
          <w:t>https://www.oecd.org/en/publications/governing-with-artificial-intelligence_795de142-en/full-</w:t>
        </w:r>
        <w:r>
          <w:rPr>
            <w:rStyle w:val="Hipervnculo"/>
            <w:color w:val="2E75B6"/>
          </w:rPr>
          <w:t>report/ai-in-public-procurement_2e095543.html</w:t>
        </w:r>
      </w:hyperlink>
    </w:p>
    <w:p w14:paraId="14D9219B" w14:textId="77777777" w:rsidR="00686644" w:rsidRDefault="00CE2D96">
      <w:pPr>
        <w:pStyle w:val="Prrafodelista"/>
        <w:numPr>
          <w:ilvl w:val="0"/>
          <w:numId w:val="3"/>
        </w:numPr>
        <w:spacing w:after="80"/>
      </w:pPr>
      <w:r w:rsidRPr="00D454E1">
        <w:rPr>
          <w:lang w:val="en-US"/>
        </w:rPr>
        <w:t xml:space="preserve">OCDE (2024). Governing with Artificial Intelligence – AI in tax administration. </w:t>
      </w:r>
      <w:hyperlink r:id="rId10" w:history="1">
        <w:r>
          <w:rPr>
            <w:rStyle w:val="Hipervnculo"/>
            <w:color w:val="2E75B6"/>
          </w:rPr>
          <w:t>https://www.oecd.org/en/publications/governing-with-artificial-intelligence_795de142-en/full-report/ai-in-tax-administration_30724e43.html</w:t>
        </w:r>
      </w:hyperlink>
    </w:p>
    <w:p w14:paraId="68EB0143" w14:textId="77777777" w:rsidR="00686644" w:rsidRDefault="00CE2D96">
      <w:pPr>
        <w:pStyle w:val="Prrafodelista"/>
        <w:numPr>
          <w:ilvl w:val="0"/>
          <w:numId w:val="3"/>
        </w:numPr>
        <w:spacing w:after="80"/>
      </w:pPr>
      <w:r>
        <w:t xml:space="preserve">OCDE. Principios de IA (OECD/LEGAL/0449), actualizados en mayo de 2024. </w:t>
      </w:r>
      <w:hyperlink r:id="rId11" w:history="1">
        <w:r>
          <w:rPr>
            <w:rStyle w:val="Hipervnculo"/>
            <w:color w:val="2E75B6"/>
          </w:rPr>
          <w:t>https://www.oecd.org/en/topics/ai-principles.html</w:t>
        </w:r>
      </w:hyperlink>
    </w:p>
    <w:p w14:paraId="1A9C4BE5" w14:textId="77777777" w:rsidR="00686644" w:rsidRDefault="00CE2D96">
      <w:pPr>
        <w:pStyle w:val="Prrafodelista"/>
        <w:numPr>
          <w:ilvl w:val="0"/>
          <w:numId w:val="3"/>
        </w:numPr>
        <w:spacing w:after="80"/>
      </w:pPr>
      <w:r w:rsidRPr="00D454E1">
        <w:rPr>
          <w:lang w:val="en-US"/>
        </w:rPr>
        <w:t xml:space="preserve">OCDE (2024/2025). Tax Administration Series – Compliance management &amp; digitalisation. </w:t>
      </w:r>
      <w:hyperlink r:id="rId12" w:history="1">
        <w:r>
          <w:rPr>
            <w:rStyle w:val="Hipervnculo"/>
            <w:color w:val="2E75B6"/>
          </w:rPr>
          <w:t>https://www.oecd.org/en/publications/tax-administration-2025_cc015ce8-en.html</w:t>
        </w:r>
      </w:hyperlink>
    </w:p>
    <w:p w14:paraId="791860E3" w14:textId="77777777" w:rsidR="00686644" w:rsidRDefault="00CE2D96">
      <w:pPr>
        <w:pStyle w:val="Prrafodelista"/>
        <w:numPr>
          <w:ilvl w:val="0"/>
          <w:numId w:val="3"/>
        </w:numPr>
        <w:spacing w:after="80"/>
      </w:pPr>
      <w:r w:rsidRPr="00D454E1">
        <w:rPr>
          <w:lang w:val="en-US"/>
        </w:rPr>
        <w:t xml:space="preserve">G7 (2024). Toolkit for Artificial Intelligence in the Public Sector. </w:t>
      </w:r>
      <w:hyperlink r:id="rId13" w:history="1">
        <w:r>
          <w:rPr>
            <w:rStyle w:val="Hipervnculo"/>
            <w:color w:val="2E75B6"/>
          </w:rPr>
          <w:t>https://www.oecd.org/content/dam/oecd/en/publications/reports/2024/10/g7-toolkit-for-artificial-intelligence-in-the-public-sector_f93fb9fb/421c1244-en.pdf</w:t>
        </w:r>
      </w:hyperlink>
    </w:p>
    <w:p w14:paraId="3749D65B" w14:textId="77777777" w:rsidR="00686644" w:rsidRDefault="00CE2D96">
      <w:pPr>
        <w:pStyle w:val="Prrafodelista"/>
        <w:numPr>
          <w:ilvl w:val="0"/>
          <w:numId w:val="3"/>
        </w:numPr>
        <w:spacing w:after="80"/>
      </w:pPr>
      <w:r w:rsidRPr="00D454E1">
        <w:rPr>
          <w:lang w:val="en-US"/>
        </w:rPr>
        <w:t>Open Contracting Pa</w:t>
      </w:r>
      <w:r w:rsidRPr="00D454E1">
        <w:rPr>
          <w:lang w:val="en-US"/>
        </w:rPr>
        <w:t xml:space="preserve">rtnership (2024). Red Flags in Public Procurement. </w:t>
      </w:r>
      <w:hyperlink r:id="rId14" w:history="1">
        <w:r>
          <w:rPr>
            <w:rStyle w:val="Hipervnculo"/>
            <w:color w:val="2E75B6"/>
          </w:rPr>
          <w:t>https://www.open-contracting.org/resources/red-flags-in-public</w:t>
        </w:r>
        <w:r>
          <w:rPr>
            <w:rStyle w:val="Hipervnculo"/>
            <w:color w:val="2E75B6"/>
          </w:rPr>
          <w:t>-procurement-a-guide-to-using-data-to-detect-and-mitigate-risks/</w:t>
        </w:r>
      </w:hyperlink>
    </w:p>
    <w:p w14:paraId="26B13E7F" w14:textId="77777777" w:rsidR="00686644" w:rsidRDefault="00CE2D96">
      <w:pPr>
        <w:pStyle w:val="Prrafodelista"/>
        <w:numPr>
          <w:ilvl w:val="0"/>
          <w:numId w:val="3"/>
        </w:numPr>
        <w:spacing w:after="80"/>
      </w:pPr>
      <w:r>
        <w:t xml:space="preserve">Open </w:t>
      </w:r>
      <w:proofErr w:type="spellStart"/>
      <w:r>
        <w:t>Contracting</w:t>
      </w:r>
      <w:proofErr w:type="spellEnd"/>
      <w:r>
        <w:t xml:space="preserve"> </w:t>
      </w:r>
      <w:proofErr w:type="spellStart"/>
      <w:r>
        <w:t>Partnership</w:t>
      </w:r>
      <w:proofErr w:type="spellEnd"/>
      <w:r>
        <w:t xml:space="preserve"> (2024). Cardinal – biblioteca de banderas rojas de código abierto. </w:t>
      </w:r>
      <w:hyperlink r:id="rId15" w:history="1">
        <w:r>
          <w:rPr>
            <w:rStyle w:val="Hipervnculo"/>
            <w:color w:val="2E75B6"/>
          </w:rPr>
          <w:t>https://www.open-contracting.org/2024/06/12/cardinal-an-open-source-library-to-calculate-public-procurement-red-flags/</w:t>
        </w:r>
      </w:hyperlink>
    </w:p>
    <w:p w14:paraId="78B75504" w14:textId="77777777" w:rsidR="00686644" w:rsidRDefault="00CE2D96">
      <w:pPr>
        <w:pStyle w:val="Prrafodelista"/>
        <w:numPr>
          <w:ilvl w:val="0"/>
          <w:numId w:val="3"/>
        </w:numPr>
        <w:spacing w:after="80"/>
      </w:pPr>
      <w:r w:rsidRPr="00D454E1">
        <w:rPr>
          <w:lang w:val="en-US"/>
        </w:rPr>
        <w:t xml:space="preserve">Open Contracting Data Standard (OCDS). </w:t>
      </w:r>
      <w:r>
        <w:t xml:space="preserve">Documentación. </w:t>
      </w:r>
      <w:hyperlink r:id="rId16" w:history="1">
        <w:r>
          <w:rPr>
            <w:rStyle w:val="Hipervnculo"/>
            <w:color w:val="2E75B6"/>
          </w:rPr>
          <w:t>https://en.wikipedia.org/wiki/Open_Contracting_Data_Standard</w:t>
        </w:r>
      </w:hyperlink>
    </w:p>
    <w:p w14:paraId="2C457437" w14:textId="77777777" w:rsidR="00686644" w:rsidRDefault="00CE2D96">
      <w:pPr>
        <w:spacing w:before="240"/>
      </w:pPr>
      <w:r>
        <w:rPr>
          <w:i/>
          <w:iCs/>
          <w:color w:val="595959"/>
          <w:sz w:val="18"/>
          <w:szCs w:val="18"/>
        </w:rPr>
        <w:t>Nota: este documento es un diseño conceptual de trabajo y no constituye asesoramiento legal ni financiero. La implementación debe ajustarse al marco normativo de</w:t>
      </w:r>
      <w:r>
        <w:rPr>
          <w:i/>
          <w:iCs/>
          <w:color w:val="595959"/>
          <w:sz w:val="18"/>
          <w:szCs w:val="18"/>
        </w:rPr>
        <w:t xml:space="preserve"> contrataciones y administración financiera de la jurisdicción correspondiente.</w:t>
      </w:r>
    </w:p>
    <w:sectPr w:rsidR="0068664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2A9884" w14:textId="77777777" w:rsidR="00CE2D96" w:rsidRDefault="00CE2D96">
      <w:r>
        <w:separator/>
      </w:r>
    </w:p>
  </w:endnote>
  <w:endnote w:type="continuationSeparator" w:id="0">
    <w:p w14:paraId="2A086444" w14:textId="77777777" w:rsidR="00CE2D96" w:rsidRDefault="00CE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99A06" w14:textId="77777777" w:rsidR="00686644" w:rsidRDefault="00CE2D96">
    <w:pPr>
      <w:pBdr>
        <w:top w:val="single" w:sz="4" w:space="4" w:color="D9D9D9"/>
      </w:pBdr>
      <w:jc w:val="center"/>
    </w:pPr>
    <w:r>
      <w:rPr>
        <w:color w:val="808080"/>
        <w:sz w:val="16"/>
        <w:szCs w:val="16"/>
      </w:rPr>
      <w:t xml:space="preserve">Documento de trabajo — v1.0   •   Página </w:t>
    </w:r>
    <w:r>
      <w:rPr>
        <w:color w:val="808080"/>
        <w:sz w:val="16"/>
        <w:szCs w:val="16"/>
      </w:rPr>
      <w:fldChar w:fldCharType="begin"/>
    </w:r>
    <w:r>
      <w:rPr>
        <w:color w:val="808080"/>
        <w:sz w:val="16"/>
        <w:szCs w:val="16"/>
      </w:rPr>
      <w:instrText>PAGE</w:instrText>
    </w:r>
    <w:r w:rsidR="00D454E1">
      <w:rPr>
        <w:color w:val="808080"/>
        <w:sz w:val="16"/>
        <w:szCs w:val="16"/>
      </w:rPr>
      <w:fldChar w:fldCharType="separate"/>
    </w:r>
    <w:r w:rsidR="00D454E1">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E98E4D" w14:textId="77777777" w:rsidR="00CE2D96" w:rsidRDefault="00CE2D96">
      <w:r>
        <w:separator/>
      </w:r>
    </w:p>
  </w:footnote>
  <w:footnote w:type="continuationSeparator" w:id="0">
    <w:p w14:paraId="484787E8" w14:textId="77777777" w:rsidR="00CE2D96" w:rsidRDefault="00CE2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E97DE6" w14:textId="77777777" w:rsidR="00686644" w:rsidRDefault="00CE2D96">
    <w:pPr>
      <w:pBdr>
        <w:bottom w:val="single" w:sz="4" w:space="4" w:color="D9D9D9"/>
      </w:pBdr>
      <w:jc w:val="right"/>
    </w:pPr>
    <w:r>
      <w:rPr>
        <w:color w:val="808080"/>
        <w:sz w:val="16"/>
        <w:szCs w:val="16"/>
      </w:rPr>
      <w:t>Administración Financiera Gubernamental con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AF29C0"/>
    <w:multiLevelType w:val="hybridMultilevel"/>
    <w:tmpl w:val="E154D5E0"/>
    <w:lvl w:ilvl="0" w:tplc="6F7EBD5C">
      <w:start w:val="1"/>
      <w:numFmt w:val="bullet"/>
      <w:lvlText w:val="●"/>
      <w:lvlJc w:val="left"/>
      <w:pPr>
        <w:ind w:left="720" w:hanging="360"/>
      </w:pPr>
    </w:lvl>
    <w:lvl w:ilvl="1" w:tplc="188AC53A">
      <w:start w:val="1"/>
      <w:numFmt w:val="bullet"/>
      <w:lvlText w:val="○"/>
      <w:lvlJc w:val="left"/>
      <w:pPr>
        <w:ind w:left="1440" w:hanging="360"/>
      </w:pPr>
    </w:lvl>
    <w:lvl w:ilvl="2" w:tplc="EAD8E230">
      <w:start w:val="1"/>
      <w:numFmt w:val="bullet"/>
      <w:lvlText w:val="■"/>
      <w:lvlJc w:val="left"/>
      <w:pPr>
        <w:ind w:left="2160" w:hanging="360"/>
      </w:pPr>
    </w:lvl>
    <w:lvl w:ilvl="3" w:tplc="FE62BD26">
      <w:start w:val="1"/>
      <w:numFmt w:val="bullet"/>
      <w:lvlText w:val="●"/>
      <w:lvlJc w:val="left"/>
      <w:pPr>
        <w:ind w:left="2880" w:hanging="360"/>
      </w:pPr>
    </w:lvl>
    <w:lvl w:ilvl="4" w:tplc="FF12EDD6">
      <w:start w:val="1"/>
      <w:numFmt w:val="bullet"/>
      <w:lvlText w:val="○"/>
      <w:lvlJc w:val="left"/>
      <w:pPr>
        <w:ind w:left="3600" w:hanging="360"/>
      </w:pPr>
    </w:lvl>
    <w:lvl w:ilvl="5" w:tplc="DEF2AF34">
      <w:start w:val="1"/>
      <w:numFmt w:val="bullet"/>
      <w:lvlText w:val="■"/>
      <w:lvlJc w:val="left"/>
      <w:pPr>
        <w:ind w:left="4320" w:hanging="360"/>
      </w:pPr>
    </w:lvl>
    <w:lvl w:ilvl="6" w:tplc="E880065A">
      <w:start w:val="1"/>
      <w:numFmt w:val="bullet"/>
      <w:lvlText w:val="●"/>
      <w:lvlJc w:val="left"/>
      <w:pPr>
        <w:ind w:left="5040" w:hanging="360"/>
      </w:pPr>
    </w:lvl>
    <w:lvl w:ilvl="7" w:tplc="075A484C">
      <w:start w:val="1"/>
      <w:numFmt w:val="bullet"/>
      <w:lvlText w:val="●"/>
      <w:lvlJc w:val="left"/>
      <w:pPr>
        <w:ind w:left="5760" w:hanging="360"/>
      </w:pPr>
    </w:lvl>
    <w:lvl w:ilvl="8" w:tplc="1550E436">
      <w:start w:val="1"/>
      <w:numFmt w:val="bullet"/>
      <w:lvlText w:val="●"/>
      <w:lvlJc w:val="left"/>
      <w:pPr>
        <w:ind w:left="6480" w:hanging="360"/>
      </w:pPr>
    </w:lvl>
  </w:abstractNum>
  <w:abstractNum w:abstractNumId="1" w15:restartNumberingAfterBreak="0">
    <w:nsid w:val="596A7C6D"/>
    <w:multiLevelType w:val="hybridMultilevel"/>
    <w:tmpl w:val="8B72F91A"/>
    <w:lvl w:ilvl="0" w:tplc="035090D2">
      <w:start w:val="1"/>
      <w:numFmt w:val="bullet"/>
      <w:lvlText w:val="•"/>
      <w:lvlJc w:val="left"/>
      <w:pPr>
        <w:ind w:left="720" w:hanging="360"/>
      </w:pPr>
    </w:lvl>
    <w:lvl w:ilvl="1" w:tplc="3A0EA3DA">
      <w:start w:val="1"/>
      <w:numFmt w:val="bullet"/>
      <w:lvlText w:val="◦"/>
      <w:lvlJc w:val="left"/>
      <w:pPr>
        <w:ind w:left="1440" w:hanging="360"/>
      </w:pPr>
    </w:lvl>
    <w:lvl w:ilvl="2" w:tplc="5A04E874">
      <w:numFmt w:val="decimal"/>
      <w:lvlText w:val=""/>
      <w:lvlJc w:val="left"/>
    </w:lvl>
    <w:lvl w:ilvl="3" w:tplc="516E60D4">
      <w:numFmt w:val="decimal"/>
      <w:lvlText w:val=""/>
      <w:lvlJc w:val="left"/>
    </w:lvl>
    <w:lvl w:ilvl="4" w:tplc="21320640">
      <w:numFmt w:val="decimal"/>
      <w:lvlText w:val=""/>
      <w:lvlJc w:val="left"/>
    </w:lvl>
    <w:lvl w:ilvl="5" w:tplc="2D125DD2">
      <w:numFmt w:val="decimal"/>
      <w:lvlText w:val=""/>
      <w:lvlJc w:val="left"/>
    </w:lvl>
    <w:lvl w:ilvl="6" w:tplc="A6EE78D6">
      <w:numFmt w:val="decimal"/>
      <w:lvlText w:val=""/>
      <w:lvlJc w:val="left"/>
    </w:lvl>
    <w:lvl w:ilvl="7" w:tplc="07023980">
      <w:numFmt w:val="decimal"/>
      <w:lvlText w:val=""/>
      <w:lvlJc w:val="left"/>
    </w:lvl>
    <w:lvl w:ilvl="8" w:tplc="76E0E4D2">
      <w:numFmt w:val="decimal"/>
      <w:lvlText w:val=""/>
      <w:lvlJc w:val="left"/>
    </w:lvl>
  </w:abstractNum>
  <w:abstractNum w:abstractNumId="2" w15:restartNumberingAfterBreak="0">
    <w:nsid w:val="72480544"/>
    <w:multiLevelType w:val="hybridMultilevel"/>
    <w:tmpl w:val="78B41F20"/>
    <w:lvl w:ilvl="0" w:tplc="7018E074">
      <w:start w:val="1"/>
      <w:numFmt w:val="decimal"/>
      <w:lvlText w:val="%1."/>
      <w:lvlJc w:val="left"/>
      <w:pPr>
        <w:ind w:left="600" w:hanging="360"/>
      </w:pPr>
    </w:lvl>
    <w:lvl w:ilvl="1" w:tplc="78165B2E">
      <w:numFmt w:val="decimal"/>
      <w:lvlText w:val=""/>
      <w:lvlJc w:val="left"/>
    </w:lvl>
    <w:lvl w:ilvl="2" w:tplc="739485E2">
      <w:numFmt w:val="decimal"/>
      <w:lvlText w:val=""/>
      <w:lvlJc w:val="left"/>
    </w:lvl>
    <w:lvl w:ilvl="3" w:tplc="A5D6B0C6">
      <w:numFmt w:val="decimal"/>
      <w:lvlText w:val=""/>
      <w:lvlJc w:val="left"/>
    </w:lvl>
    <w:lvl w:ilvl="4" w:tplc="4F2004DE">
      <w:numFmt w:val="decimal"/>
      <w:lvlText w:val=""/>
      <w:lvlJc w:val="left"/>
    </w:lvl>
    <w:lvl w:ilvl="5" w:tplc="2BF836DE">
      <w:numFmt w:val="decimal"/>
      <w:lvlText w:val=""/>
      <w:lvlJc w:val="left"/>
    </w:lvl>
    <w:lvl w:ilvl="6" w:tplc="58E4BDF8">
      <w:numFmt w:val="decimal"/>
      <w:lvlText w:val=""/>
      <w:lvlJc w:val="left"/>
    </w:lvl>
    <w:lvl w:ilvl="7" w:tplc="892E1E0E">
      <w:numFmt w:val="decimal"/>
      <w:lvlText w:val=""/>
      <w:lvlJc w:val="left"/>
    </w:lvl>
    <w:lvl w:ilvl="8" w:tplc="5846F3E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644"/>
    <w:rsid w:val="00686644"/>
    <w:rsid w:val="00CE2D96"/>
    <w:rsid w:val="00D454E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F6CD"/>
  <w15:docId w15:val="{17DAE09E-AE46-41FB-8446-92DC9561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4E79"/>
      <w:sz w:val="32"/>
      <w:szCs w:val="32"/>
    </w:rPr>
  </w:style>
  <w:style w:type="paragraph" w:styleId="Ttulo2">
    <w:name w:val="heading 2"/>
    <w:uiPriority w:val="9"/>
    <w:unhideWhenUsed/>
    <w:qFormat/>
    <w:pPr>
      <w:spacing w:before="200" w:after="120"/>
      <w:outlineLvl w:val="1"/>
    </w:pPr>
    <w:rPr>
      <w:b/>
      <w:bCs/>
      <w:color w:val="2E4D6B"/>
      <w:sz w:val="26"/>
      <w:szCs w:val="26"/>
    </w:rPr>
  </w:style>
  <w:style w:type="paragraph" w:styleId="Ttulo3">
    <w:name w:val="heading 3"/>
    <w:uiPriority w:val="9"/>
    <w:semiHidden/>
    <w:unhideWhenUsed/>
    <w:qFormat/>
    <w:pPr>
      <w:spacing w:before="16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uments.worldbank.org/en/publication/documents-reports/documentdetail/147241467987856662" TargetMode="External"/><Relationship Id="rId13" Type="http://schemas.openxmlformats.org/officeDocument/2006/relationships/hyperlink" Target="https://www.oecd.org/content/dam/oecd/en/publications/reports/2024/10/g7-toolkit-for-artificial-intelligence-in-the-public-sector_f93fb9fb/421c1244-en.pdf"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log-pfm.imf.org/en/pfmblog/2019/01/gfmis-a-tool-for-improving-transparency-and-accountability" TargetMode="External"/><Relationship Id="rId12" Type="http://schemas.openxmlformats.org/officeDocument/2006/relationships/hyperlink" Target="https://www.oecd.org/en/publications/tax-administration-2025_cc015ce8-en.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n.wikipedia.org/wiki/Open_Contracting_Data_Standar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ecd.org/en/topics/ai-principles.html" TargetMode="External"/><Relationship Id="rId5" Type="http://schemas.openxmlformats.org/officeDocument/2006/relationships/footnotes" Target="footnotes.xml"/><Relationship Id="rId15" Type="http://schemas.openxmlformats.org/officeDocument/2006/relationships/hyperlink" Target="https://www.open-contracting.org/2024/06/12/cardinal-an-open-source-library-to-calculate-public-procurement-red-flags/" TargetMode="External"/><Relationship Id="rId10" Type="http://schemas.openxmlformats.org/officeDocument/2006/relationships/hyperlink" Target="https://www.oecd.org/en/publications/governing-with-artificial-intelligence_795de142-en/full-report/ai-in-tax-administration_30724e43.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ecd.org/en/publications/governing-with-artificial-intelligence_795de142-en/full-report/ai-in-public-procurement_2e095543.html" TargetMode="External"/><Relationship Id="rId14" Type="http://schemas.openxmlformats.org/officeDocument/2006/relationships/hyperlink" Target="https://www.open-contracting.org/resources/red-flags-in-public-procurement-a-guide-to-using-data-to-detect-and-mitigate-risk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3817</Words>
  <Characters>20999</Characters>
  <Application>Microsoft Office Word</Application>
  <DocSecurity>0</DocSecurity>
  <Lines>174</Lines>
  <Paragraphs>49</Paragraphs>
  <ScaleCrop>false</ScaleCrop>
  <Company/>
  <LinksUpToDate>false</LinksUpToDate>
  <CharactersWithSpaces>24767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Administración Financiera Gubernamental conducido por IA</dc:title>
  <dc:creator>Sistema AdmFin IA</dc:creator>
  <cp:lastModifiedBy>Aldo Marino Elettore</cp:lastModifiedBy>
  <cp:revision>2</cp:revision>
  <dcterms:created xsi:type="dcterms:W3CDTF">2026-06-13T15:56:00Z</dcterms:created>
  <dcterms:modified xsi:type="dcterms:W3CDTF">2026-06-13T15:56:00Z</dcterms:modified>
</cp:coreProperties>
</file>