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HIPAA Business Associate Addendum</w:t>
      </w:r>
    </w:p>
    <w:p>
      <w:pPr>
        <w:spacing w:after="320"/>
        <w:jc w:val="center"/>
      </w:pPr>
      <w:r>
        <w:rPr>
          <w:rFonts w:ascii="Aptos" w:hAnsi="Aptos"/>
          <w:color w:val="6B7280"/>
          <w:sz w:val="20"/>
        </w:rPr>
        <w:t>Refidly — a product of InnovareHP</w:t>
      </w:r>
    </w:p>
    <w:p>
      <w:pPr>
        <w:spacing w:after="320"/>
        <w:jc w:val="center"/>
      </w:pPr>
      <w:r>
        <w:rPr>
          <w:rFonts w:ascii="Aptos" w:hAnsi="Aptos"/>
          <w:color w:val="6B7280"/>
          <w:sz w:val="20"/>
        </w:rPr>
        <w:t>Version 2026-08-11</w:t>
      </w:r>
    </w:p>
    <w:p>
      <w:r>
        <w:t>This HIPAA Business Associate Addendum (this "Addendum") is made as of the date an authorized signer completes electronic signature through Refidly's in-product signing flow (the "Effective Date"), by and between [______________________________], a(n) [_______________] [corporation / limited liability company / other] having its principal offices at [_____________________________________] ("Customer" or "Covered Entity"), and Refidly, a product of InnovareHP ("Refidly" or "Business Associate"). This Addendum is expressly made part of, and incorporated into, the Refidly Customer Agreement between the parties (the "Agreement"), and applies only where Customer subscribes to a plan for which Refidly offers a BAA.</w:t>
      </w:r>
    </w:p>
    <w:p>
      <w:pPr>
        <w:pStyle w:val="Heading1"/>
      </w:pPr>
      <w:r>
        <w:t>Background</w:t>
      </w:r>
    </w:p>
    <w:p>
      <w:r>
        <w:t>A. Customer is a Covered Entity, or is a Business Associate to a Covered Entity, and wishes to create, receive, maintain, or exchange Protected Health Information through the Service.</w:t>
      </w:r>
    </w:p>
    <w:p>
      <w:r>
        <w:t>B. Refidly creates, receives, maintains, and transmits PHI on Customer's behalf in a manner that makes Refidly a Business Associate under HIPAA rather than a transmission-only conduit, and the parties agree Refidly will perform, and be bound by, the full obligations of a Business Associate set out in this Addendum.</w:t>
      </w:r>
    </w:p>
    <w:p>
      <w:r>
        <w:t>C. The purpose of this Addendum is to satisfy the applicable standards and requirements of HIPAA, the HITECH Act, and the HIPAA Regulations with respect to the Service.</w:t>
      </w:r>
    </w:p>
    <w:p>
      <w:pPr>
        <w:pStyle w:val="Heading1"/>
      </w:pPr>
      <w:r>
        <w:t>1. Definitions</w:t>
      </w:r>
    </w:p>
    <w:p>
      <w:r>
        <w:t>Terms used but not otherwise defined carry the meanings given in HIPAA, the HITECH Act, or the HIPAA Regulations.</w:t>
      </w:r>
    </w:p>
    <w:p>
      <w:pPr>
        <w:pStyle w:val="BAABullet"/>
      </w:pPr>
      <w:r>
        <w:rPr>
          <w:b w:val="0"/>
        </w:rPr>
        <w:t xml:space="preserve">– </w:t>
      </w:r>
      <w:r>
        <w:t>"Breach" has the meaning given in 45 C.F.R. § 164.402.</w:t>
      </w:r>
    </w:p>
    <w:p>
      <w:pPr>
        <w:pStyle w:val="BAABullet"/>
      </w:pPr>
      <w:r>
        <w:rPr>
          <w:b w:val="0"/>
        </w:rPr>
        <w:t xml:space="preserve">– </w:t>
      </w:r>
      <w:r>
        <w:t>"Breach Notification Rule" means Subpart D of 45 C.F.R. Part 164, together with the related provisions of 45 C.F.R. Part 160 and Subpart A of Part 164.</w:t>
      </w:r>
    </w:p>
    <w:p>
      <w:pPr>
        <w:pStyle w:val="BAABullet"/>
      </w:pPr>
      <w:r>
        <w:rPr>
          <w:b w:val="0"/>
        </w:rPr>
        <w:t xml:space="preserve">– </w:t>
      </w:r>
      <w:r>
        <w:t>"Business Associate" and "Covered Entity" have the meanings given in 45 C.F.R. § 160.103.</w:t>
      </w:r>
    </w:p>
    <w:p>
      <w:pPr>
        <w:pStyle w:val="BAABullet"/>
      </w:pPr>
      <w:r>
        <w:rPr>
          <w:b w:val="0"/>
        </w:rPr>
        <w:t xml:space="preserve">– </w:t>
      </w:r>
      <w:r>
        <w:t>"Data Aggregation" and "Designated Record Set" have the meanings given in 45 C.F.R. § 164.501.</w:t>
      </w:r>
    </w:p>
    <w:p>
      <w:pPr>
        <w:pStyle w:val="BAABullet"/>
      </w:pPr>
      <w:r>
        <w:rPr>
          <w:b w:val="0"/>
        </w:rPr>
        <w:t xml:space="preserve">– </w:t>
      </w:r>
      <w:r>
        <w:t>"De-Identify" means to alter PHI so that the result meets the requirements of 45 C.F.R. §§ 164.514(a) and (b).</w:t>
      </w:r>
    </w:p>
    <w:p>
      <w:pPr>
        <w:pStyle w:val="BAABullet"/>
      </w:pPr>
      <w:r>
        <w:rPr>
          <w:b w:val="0"/>
        </w:rPr>
        <w:t xml:space="preserve">– </w:t>
      </w:r>
      <w:r>
        <w:t>"Disclosure" / "Disclose" have the meanings given in 45 C.F.R. § 160.103.</w:t>
      </w:r>
    </w:p>
    <w:p>
      <w:pPr>
        <w:pStyle w:val="BAABullet"/>
      </w:pPr>
      <w:r>
        <w:rPr>
          <w:b w:val="0"/>
        </w:rPr>
        <w:t xml:space="preserve">– </w:t>
      </w:r>
      <w:r>
        <w:t>"Electronic PHI" has the meaning given in 45 C.F.R. § 160.103.</w:t>
      </w:r>
    </w:p>
    <w:p>
      <w:pPr>
        <w:pStyle w:val="BAABullet"/>
      </w:pPr>
      <w:r>
        <w:rPr>
          <w:b w:val="0"/>
        </w:rPr>
        <w:t xml:space="preserve">– </w:t>
      </w:r>
      <w:r>
        <w:t>"HIPAA" means the Health Insurance Portability and Accountability Act of 1996, and "HITECH Act" means Subtitle D of the Health Information Technology for Economic and Clinical Health Act, 42 U.S.C. §§ 17921–17953; the Privacy Rule, Security Rule, and Breach Notification Rule issued thereunder are the "HIPAA Regulations."</w:t>
      </w:r>
    </w:p>
    <w:p>
      <w:pPr>
        <w:pStyle w:val="BAABullet"/>
      </w:pPr>
      <w:r>
        <w:rPr>
          <w:b w:val="0"/>
        </w:rPr>
        <w:t xml:space="preserve">– </w:t>
      </w:r>
      <w:r>
        <w:t>"Individual" has the meaning given in 45 C.F.R. § 160.103, including a personal representative under 45 C.F.R. § 164.502(g).</w:t>
      </w:r>
    </w:p>
    <w:p>
      <w:pPr>
        <w:pStyle w:val="BAABullet"/>
      </w:pPr>
      <w:r>
        <w:rPr>
          <w:b w:val="0"/>
        </w:rPr>
        <w:t xml:space="preserve">– </w:t>
      </w:r>
      <w:r>
        <w:t>"PHI" or "Protected Health Information" has the meaning given in 45 C.F.R. § 160.103.</w:t>
      </w:r>
    </w:p>
    <w:p>
      <w:pPr>
        <w:pStyle w:val="BAABullet"/>
      </w:pPr>
      <w:r>
        <w:rPr>
          <w:b w:val="0"/>
        </w:rPr>
        <w:t xml:space="preserve">– </w:t>
      </w:r>
      <w:r>
        <w:t>"Security Incident" has the meaning given in 45 C.F.R. § 164.304.</w:t>
      </w:r>
    </w:p>
    <w:p>
      <w:pPr>
        <w:pStyle w:val="BAABullet"/>
      </w:pPr>
      <w:r>
        <w:rPr>
          <w:b w:val="0"/>
        </w:rPr>
        <w:t xml:space="preserve">– </w:t>
      </w:r>
      <w:r>
        <w:t>"Privacy Rule" means Subpart E of 45 C.F.R. Part 164, together with the related provisions of Part 160 and Subpart A of Part 164.</w:t>
      </w:r>
    </w:p>
    <w:p>
      <w:pPr>
        <w:pStyle w:val="BAABullet"/>
      </w:pPr>
      <w:r>
        <w:rPr>
          <w:b w:val="0"/>
        </w:rPr>
        <w:t xml:space="preserve">– </w:t>
      </w:r>
      <w:r>
        <w:t>"Security Rule" means Subpart C of 45 C.F.R. Part 164.</w:t>
      </w:r>
    </w:p>
    <w:p>
      <w:pPr>
        <w:pStyle w:val="BAABullet"/>
      </w:pPr>
      <w:r>
        <w:rPr>
          <w:b w:val="0"/>
        </w:rPr>
        <w:t xml:space="preserve">– </w:t>
      </w:r>
      <w:r>
        <w:t>"Subcontractor" has the meaning given in 45 C.F.R. § 160.103.</w:t>
      </w:r>
    </w:p>
    <w:p>
      <w:pPr>
        <w:pStyle w:val="BAABullet"/>
      </w:pPr>
      <w:r>
        <w:rPr>
          <w:b w:val="0"/>
        </w:rPr>
        <w:t xml:space="preserve">– </w:t>
      </w:r>
      <w:r>
        <w:t>"Unsecured PHI" has the meaning given in 45 C.F.R. § 164.402.</w:t>
      </w:r>
    </w:p>
    <w:p>
      <w:pPr>
        <w:pStyle w:val="BAABullet"/>
      </w:pPr>
      <w:r>
        <w:rPr>
          <w:b w:val="0"/>
        </w:rPr>
        <w:t xml:space="preserve">– </w:t>
      </w:r>
      <w:r>
        <w:t>"Service" means Refidly's referral and facility records, custom fields, notes and attachments, field activity logs, calendar and booking tools, outreach and fax delivery, analytics, exports, and AI-assisted features.</w:t>
      </w:r>
    </w:p>
    <w:p>
      <w:pPr>
        <w:pStyle w:val="Heading1"/>
      </w:pPr>
      <w:r>
        <w:t>2. Obligations and Activities of Business Associate</w:t>
      </w:r>
    </w:p>
    <w:p>
      <w:r>
        <w:t>Refidly will:</w:t>
      </w:r>
    </w:p>
    <w:p>
      <w:pPr>
        <w:pStyle w:val="BAABullet"/>
      </w:pPr>
      <w:r>
        <w:rPr>
          <w:b w:val="0"/>
        </w:rPr>
        <w:t xml:space="preserve">– </w:t>
      </w:r>
      <w:r>
        <w:t>not use or disclose PHI other than as permitted by this Addendum or as required by law;</w:t>
      </w:r>
    </w:p>
    <w:p>
      <w:pPr>
        <w:pStyle w:val="BAABullet"/>
      </w:pPr>
      <w:r>
        <w:rPr>
          <w:b w:val="0"/>
        </w:rPr>
        <w:t xml:space="preserve">– </w:t>
      </w:r>
      <w:r>
        <w:t>apply appropriate administrative, physical, and technical safeguards and comply with the Security Rule, including encryption in transit and at rest, access scoped to the customer's own organization, unique user identification, a second authentication factor for PHI access, optional network allowlisting under the customer's control, and audit logging of record changes;</w:t>
      </w:r>
    </w:p>
    <w:p>
      <w:pPr>
        <w:pStyle w:val="BAABullet"/>
      </w:pPr>
      <w:r>
        <w:rPr>
          <w:b w:val="0"/>
        </w:rPr>
        <w:t xml:space="preserve">– </w:t>
      </w:r>
      <w:r>
        <w:t>report, in accordance with the Breach Notification Rule, any security incident, any use or disclosure of PHI not permitted by this Addendum, and any Breach of Unsecured PHI, without unreasonable delay and in no event later than 60 calendar days after discovery, with affected individuals, nature, PHI involved, and corrective steps; unsuccessful access attempts will be reported in aggregate on request;</w:t>
      </w:r>
    </w:p>
    <w:p>
      <w:pPr>
        <w:pStyle w:val="BAABullet"/>
      </w:pPr>
      <w:r>
        <w:rPr>
          <w:b w:val="0"/>
        </w:rPr>
        <w:t xml:space="preserve">– </w:t>
      </w:r>
      <w:r>
        <w:t>ensure that any Subcontractor involved in hosting, storage, fax delivery, or AI processing agrees in writing to restrictions and conditions at least as protective as those in this Addendum;</w:t>
      </w:r>
    </w:p>
    <w:p>
      <w:pPr>
        <w:pStyle w:val="BAABullet"/>
      </w:pPr>
      <w:r>
        <w:rPr>
          <w:b w:val="0"/>
        </w:rPr>
        <w:t xml:space="preserve">– </w:t>
      </w:r>
      <w:r>
        <w:t>make PHI in a Designated Record Set available to Customer within 10 business days of a request, so Customer can respond to an Individual's access request under 45 C.F.R. § 164.524;</w:t>
      </w:r>
    </w:p>
    <w:p>
      <w:pPr>
        <w:pStyle w:val="BAABullet"/>
      </w:pPr>
      <w:r>
        <w:rPr>
          <w:b w:val="0"/>
        </w:rPr>
        <w:t xml:space="preserve">– </w:t>
      </w:r>
      <w:r>
        <w:t>make PHI available for amendment and incorporate amendments directed by Customer in accordance with 45 C.F.R. § 164.526;</w:t>
      </w:r>
    </w:p>
    <w:p>
      <w:pPr>
        <w:pStyle w:val="BAABullet"/>
      </w:pPr>
      <w:r>
        <w:rPr>
          <w:b w:val="0"/>
        </w:rPr>
        <w:t xml:space="preserve">– </w:t>
      </w:r>
      <w:r>
        <w:t>maintain and make available information required to provide an accounting of disclosures under 45 C.F.R. § 164.528, and forward to Customer any request an Individual makes directly to Refidly;</w:t>
      </w:r>
    </w:p>
    <w:p>
      <w:pPr>
        <w:pStyle w:val="BAABullet"/>
      </w:pPr>
      <w:r>
        <w:rPr>
          <w:b w:val="0"/>
        </w:rPr>
        <w:t xml:space="preserve">– </w:t>
      </w:r>
      <w:r>
        <w:t>make internal practices, books, and records relating to the use and disclosure of PHI available to the Secretary of Health and Human Services; and</w:t>
      </w:r>
    </w:p>
    <w:p>
      <w:pPr>
        <w:pStyle w:val="BAABullet"/>
      </w:pPr>
      <w:r>
        <w:rPr>
          <w:b w:val="0"/>
        </w:rPr>
        <w:t xml:space="preserve">– </w:t>
      </w:r>
      <w:r>
        <w:t>mitigate, to the extent practicable, any known harmful effects of a use or disclosure of PHI in violation of this Addendum.</w:t>
      </w:r>
    </w:p>
    <w:p>
      <w:pPr>
        <w:pStyle w:val="Heading1"/>
      </w:pPr>
      <w:r>
        <w:t>3. Permitted Uses and Disclosures by Business Associate</w:t>
      </w:r>
    </w:p>
    <w:p>
      <w:r>
        <w:t>Except as otherwise limited in this Addendum, Refidly may use and disclose PHI (a) to perform the Service under the Agreement; (b) for Refidly's proper management and administration, or to carry out its legal responsibilities, provided that any disclosure to a third party is either required by law or is subject to reasonable assurances of confidentiality, of use or further disclosure only as required by law or for the purpose for which it was disclosed, and of prompt notification to Refidly of any breach of confidentiality; (c) to provide Data Aggregation services relating to Customer's health care operations, if requested; and (d) to De-Identify PHI in accordance with 45 C.F.R. § 164.514, after which the resulting information is no longer PHI and is not subject to this Addendum. The minimum necessary standard applies. Refidly will not sell PHI or use PHI for marketing without written authorization.</w:t>
      </w:r>
    </w:p>
    <w:p>
      <w:r>
        <w:t>Product-specific: AI features transmit workspace content to an AI subprocessor only when a user triggers them, processing is transient and organization-scoped, and no workspace content trains any model. Outreach email leaves through the mailbox the customer's user connects, under the customer's own sending identity.</w:t>
      </w:r>
    </w:p>
    <w:p>
      <w:pPr>
        <w:pStyle w:val="Heading1"/>
      </w:pPr>
      <w:r>
        <w:t>4. Obligations of Covered Entity</w:t>
      </w:r>
    </w:p>
    <w:p>
      <w:r>
        <w:t>Customer will provide only the minimum necessary PHI, provide notice of applicable privacy-practice limitations and authorization changes, and not request uses or disclosures that would be impermissible if done by Customer directly.</w:t>
      </w:r>
    </w:p>
    <w:p>
      <w:pPr>
        <w:pStyle w:val="BAABullet"/>
      </w:pPr>
      <w:r>
        <w:rPr>
          <w:b w:val="0"/>
        </w:rPr>
        <w:t xml:space="preserve">– </w:t>
      </w:r>
      <w:r>
        <w:t>Customer configures its own custom fields and is responsible for what they hold;</w:t>
      </w:r>
    </w:p>
    <w:p>
      <w:pPr>
        <w:pStyle w:val="BAABullet"/>
      </w:pPr>
      <w:r>
        <w:rPr>
          <w:b w:val="0"/>
        </w:rPr>
        <w:t xml:space="preserve">– </w:t>
      </w:r>
      <w:r>
        <w:t>PHI must not be placed in the Service before the Addendum is in effect;</w:t>
      </w:r>
    </w:p>
    <w:p>
      <w:pPr>
        <w:pStyle w:val="BAABullet"/>
      </w:pPr>
      <w:r>
        <w:rPr>
          <w:b w:val="0"/>
        </w:rPr>
        <w:t xml:space="preserve">– </w:t>
      </w:r>
      <w:r>
        <w:t>Customer provisions its own users and assigns their roles;</w:t>
      </w:r>
    </w:p>
    <w:p>
      <w:pPr>
        <w:pStyle w:val="BAABullet"/>
      </w:pPr>
      <w:r>
        <w:rPr>
          <w:b w:val="0"/>
        </w:rPr>
        <w:t xml:space="preserve">– </w:t>
      </w:r>
      <w:r>
        <w:t>Customer owns the content, recipients, and consent basis of outreach and fax it sends; and</w:t>
      </w:r>
    </w:p>
    <w:p>
      <w:pPr>
        <w:pStyle w:val="BAABullet"/>
      </w:pPr>
      <w:r>
        <w:rPr>
          <w:b w:val="0"/>
        </w:rPr>
        <w:t xml:space="preserve">– </w:t>
      </w:r>
      <w:r>
        <w:t>Customer selects its own retention period.</w:t>
      </w:r>
    </w:p>
    <w:p>
      <w:pPr>
        <w:pStyle w:val="Heading1"/>
      </w:pPr>
      <w:r>
        <w:t>5. Term and Termination</w:t>
      </w:r>
    </w:p>
    <w:p>
      <w:pPr>
        <w:pStyle w:val="Heading2"/>
      </w:pPr>
      <w:r>
        <w:t>5.1 Conditions to validity</w:t>
      </w:r>
    </w:p>
    <w:p>
      <w:r>
        <w:t>This Addendum is valid and binding only once signature is completed and Customer maintains an active subscription to a plan for which Refidly offers a BAA. A signed-in-anticipation BAA does not take effect until both conditions are satisfied.</w:t>
      </w:r>
    </w:p>
    <w:p>
      <w:pPr>
        <w:pStyle w:val="Heading2"/>
      </w:pPr>
      <w:r>
        <w:t>5.2 Term coextensive with billing cycle</w:t>
      </w:r>
    </w:p>
    <w:p>
      <w:r>
        <w:t>This Addendum runs with the current billing cycle and renews automatically on timely renewal payment, without a new signature.</w:t>
      </w:r>
    </w:p>
    <w:p>
      <w:pPr>
        <w:pStyle w:val="Heading2"/>
      </w:pPr>
      <w:r>
        <w:t>5.3 Automatic lapse</w:t>
      </w:r>
    </w:p>
    <w:p>
      <w:r>
        <w:t>This Addendum automatically lapses if the plan is changed to a non-BAA plan, the Agreement is cancelled, or the Service is suspended for non-payment after notice. A lapse does not terminate the Agreement, but PHI may not be placed or processed while lapsed.</w:t>
      </w:r>
    </w:p>
    <w:p>
      <w:pPr>
        <w:pStyle w:val="Heading2"/>
      </w:pPr>
      <w:r>
        <w:t>5.4 Overall term and breach</w:t>
      </w:r>
    </w:p>
    <w:p>
      <w:r>
        <w:t>This Addendum is effective from the Effective Date until the Agreement terminates or all PHI is returned or destroyed, whichever is later. Material breach carries a 30-day cure period before termination for cause.</w:t>
      </w:r>
    </w:p>
    <w:p>
      <w:pPr>
        <w:pStyle w:val="Heading1"/>
      </w:pPr>
      <w:r>
        <w:t>6. Effect of Termination</w:t>
      </w:r>
    </w:p>
    <w:p>
      <w:r>
        <w:t>On termination, Refidly will, at Customer's election, return or destroy PHI, subject to the standard infeasibility carve-out. Protections continue for retained PHI, including PHI in backups and audit records, until those records expire under the applicable retention schedule. Destruction renders PHI unreadable and unreconstructable.</w:t>
      </w:r>
    </w:p>
    <w:p>
      <w:pPr>
        <w:pStyle w:val="Heading1"/>
      </w:pPr>
      <w:r>
        <w:t>7. Indemnification and Liability</w:t>
      </w:r>
    </w:p>
    <w:p>
      <w:r>
        <w:t>Refidly indemnifies Customer for its own failure to perform as Business Associate, including a Breach caused by failure to implement Section 2 safeguards, and that obligation is not subject to the Agreement's general liability cap where such a limit would be unenforceable. Customer indemnifies Refidly for PHI placed in the Service outside the Addendum's scope, including on a plan with no executed BAA.</w:t>
      </w:r>
    </w:p>
    <w:p>
      <w:pPr>
        <w:pStyle w:val="Heading1"/>
      </w:pPr>
      <w:r>
        <w:t>8. Miscellaneous</w:t>
      </w:r>
    </w:p>
    <w:p>
      <w:pPr>
        <w:pStyle w:val="BAABullet"/>
      </w:pPr>
      <w:r>
        <w:rPr>
          <w:b w:val="0"/>
        </w:rPr>
        <w:t xml:space="preserve">– </w:t>
      </w:r>
      <w:r>
        <w:t>Amendment: the parties will amend this Addendum as necessary for continued HIPAA compliance.</w:t>
      </w:r>
    </w:p>
    <w:p>
      <w:pPr>
        <w:pStyle w:val="BAABullet"/>
      </w:pPr>
      <w:r>
        <w:rPr>
          <w:b w:val="0"/>
        </w:rPr>
        <w:t xml:space="preserve">– </w:t>
      </w:r>
      <w:r>
        <w:t>Interpretation: ambiguities will be resolved toward compliance with the HIPAA Regulations, and a reference to a section of HIPAA means that section as in effect or as amended.</w:t>
      </w:r>
    </w:p>
    <w:p>
      <w:pPr>
        <w:pStyle w:val="BAABullet"/>
      </w:pPr>
      <w:r>
        <w:rPr>
          <w:b w:val="0"/>
        </w:rPr>
        <w:t xml:space="preserve">– </w:t>
      </w:r>
      <w:r>
        <w:t>No third-party beneficiaries: nothing in this Addendum confers rights on persons other than the parties.</w:t>
      </w:r>
    </w:p>
    <w:p>
      <w:pPr>
        <w:pStyle w:val="BAABullet"/>
      </w:pPr>
      <w:r>
        <w:rPr>
          <w:b w:val="0"/>
        </w:rPr>
        <w:t xml:space="preserve">– </w:t>
      </w:r>
      <w:r>
        <w:t>Survival: obligations relating to return, destruction, continued protection of PHI, and pre-termination indemnity survive termination.</w:t>
      </w:r>
    </w:p>
    <w:p>
      <w:pPr>
        <w:pStyle w:val="BAABullet"/>
      </w:pPr>
      <w:r>
        <w:rPr>
          <w:b w:val="0"/>
        </w:rPr>
        <w:t xml:space="preserve">– </w:t>
      </w:r>
      <w:r>
        <w:t>Order of precedence: this Addendum controls over the Agreement as to PHI.</w:t>
      </w:r>
    </w:p>
    <w:p>
      <w:pPr>
        <w:pStyle w:val="BAABullet"/>
      </w:pPr>
      <w:r>
        <w:rPr>
          <w:b w:val="0"/>
        </w:rPr>
        <w:t xml:space="preserve">– </w:t>
      </w:r>
      <w:r>
        <w:t>Governing law: the law of the Customer's jurisdiction of formation governs.</w:t>
      </w:r>
    </w:p>
    <w:p>
      <w:pPr>
        <w:pStyle w:val="Heading1"/>
      </w:pPr>
      <w:r>
        <w:t>Signatures</w:t>
      </w:r>
    </w:p>
    <w:p>
      <w:r>
        <w:t>Electronic signature through the in-product flow satisfies E-SIGN and UETA. This Addendum is executed when an authorized signer for Customer completes that flow against the countersignature of Refidly recorded below. The signed PDF and the signing record — signer name, title, email, network address, timestamp — are the authoritative record of acceptance.</w:t>
      </w:r>
    </w:p>
    <w:p>
      <w:r>
        <w:br w:type="page"/>
      </w:r>
    </w:p>
    <w:p>
      <w:pPr>
        <w:jc w:val="center"/>
      </w:pPr>
      <w:r>
        <w:rPr>
          <w:b/>
          <w:color w:val="1F2937"/>
          <w:sz w:val="36"/>
        </w:rPr>
        <w:t>Execution &amp; Signing Information</w:t>
      </w:r>
    </w:p>
    <w:p>
      <w:pPr>
        <w:spacing w:after="300"/>
        <w:jc w:val="center"/>
      </w:pPr>
      <w:r>
        <w:rPr>
          <w:color w:val="6B7280"/>
          <w:sz w:val="19"/>
        </w:rPr>
        <w:t>Please complete the highlighted fields below before signing.</w:t>
      </w:r>
    </w:p>
    <w:tbl>
      <w:tblPr>
        <w:tblW w:type="auto" w:w="0"/>
        <w:jc w:val="center"/>
        <w:tblLayout w:type="fixed"/>
        <w:tblLook w:firstColumn="1" w:firstRow="1" w:lastColumn="0" w:lastRow="0" w:noHBand="0" w:noVBand="1" w:val="04A0"/>
      </w:tblPr>
      <w:tblGrid>
        <w:gridCol w:w="9792"/>
      </w:tblGrid>
      <w:tr>
        <w:tc>
          <w:tcPr>
            <w:tcW w:type="dxa" w:w="9936"/>
            <w:shd w:fill="F8FAFC"/>
            <w:tcMar>
              <w:top w:w="150" w:type="dxa"/>
              <w:start w:w="180" w:type="dxa"/>
              <w:bottom w:w="150" w:type="dxa"/>
              <w:end w:w="180" w:type="dxa"/>
            </w:tcMar>
          </w:tcPr>
          <w:p>
            <w:pPr>
              <w:spacing w:after="100"/>
            </w:pPr>
            <w:r>
              <w:rPr>
                <w:rFonts w:ascii="Aptos" w:hAnsi="Aptos"/>
                <w:b/>
                <w:sz w:val="22"/>
              </w:rPr>
              <w:t>1. Customer / Covered Entity Information</w:t>
            </w:r>
          </w:p>
          <w:p>
            <w:pPr>
              <w:spacing w:after="100"/>
            </w:pPr>
            <w:r>
              <w:rPr>
                <w:rFonts w:ascii="Aptos" w:hAnsi="Aptos"/>
                <w:sz w:val="20"/>
              </w:rPr>
              <w:t>Legal Name:  ______________________________________________________________</w:t>
            </w:r>
          </w:p>
          <w:p>
            <w:pPr>
              <w:spacing w:after="100"/>
            </w:pPr>
            <w:r>
              <w:rPr>
                <w:rFonts w:ascii="Aptos" w:hAnsi="Aptos"/>
                <w:sz w:val="20"/>
              </w:rPr>
              <w:t>State:  ______________________________    Entity Type:  ______________________________</w:t>
            </w:r>
          </w:p>
          <w:p>
            <w:pPr>
              <w:spacing w:after="100"/>
            </w:pPr>
            <w:r>
              <w:rPr>
                <w:rFonts w:ascii="Aptos" w:hAnsi="Aptos"/>
                <w:sz w:val="20"/>
              </w:rPr>
              <w:t>Principal Office Address:  ____________________________________________________________</w:t>
            </w:r>
          </w:p>
          <w:p>
            <w:pPr>
              <w:spacing w:after="100"/>
            </w:pPr>
            <w:r>
              <w:rPr>
                <w:rFonts w:ascii="Aptos" w:hAnsi="Aptos"/>
                <w:sz w:val="20"/>
              </w:rPr>
              <w:t>________________________________________________________________________________</w:t>
            </w:r>
          </w:p>
        </w:tc>
      </w:tr>
    </w:tbl>
    <w:p>
      <w:pPr>
        <w:spacing w:after="40"/>
      </w:pPr>
    </w:p>
    <w:tbl>
      <w:tblPr>
        <w:tblW w:type="auto" w:w="0"/>
        <w:jc w:val="center"/>
        <w:tblLayout w:type="fixed"/>
        <w:tblLook w:firstColumn="1" w:firstRow="1" w:lastColumn="0" w:lastRow="0" w:noHBand="0" w:noVBand="1" w:val="04A0"/>
      </w:tblPr>
      <w:tblGrid>
        <w:gridCol w:w="9792"/>
      </w:tblGrid>
      <w:tr>
        <w:tc>
          <w:tcPr>
            <w:tcW w:type="dxa" w:w="9936"/>
            <w:shd w:fill="F8FAFC"/>
            <w:tcMar>
              <w:top w:w="150" w:type="dxa"/>
              <w:start w:w="180" w:type="dxa"/>
              <w:bottom w:w="150" w:type="dxa"/>
              <w:end w:w="180" w:type="dxa"/>
            </w:tcMar>
          </w:tcPr>
          <w:p>
            <w:pPr>
              <w:spacing w:after="100"/>
            </w:pPr>
            <w:r>
              <w:rPr>
                <w:rFonts w:ascii="Aptos" w:hAnsi="Aptos"/>
                <w:b/>
                <w:sz w:val="22"/>
              </w:rPr>
              <w:t>2. Customer Authorized Signer</w:t>
            </w:r>
          </w:p>
          <w:p>
            <w:pPr>
              <w:spacing w:after="100"/>
            </w:pPr>
            <w:r>
              <w:rPr>
                <w:rFonts w:ascii="Aptos" w:hAnsi="Aptos"/>
                <w:sz w:val="20"/>
              </w:rPr>
              <w:t>Full Name:  __________________________________________________________________</w:t>
            </w:r>
          </w:p>
          <w:p>
            <w:pPr>
              <w:spacing w:after="100"/>
            </w:pPr>
            <w:r>
              <w:rPr>
                <w:rFonts w:ascii="Aptos" w:hAnsi="Aptos"/>
                <w:sz w:val="20"/>
              </w:rPr>
              <w:t>Title:  _______________________________________________________________________</w:t>
            </w:r>
          </w:p>
          <w:p>
            <w:pPr>
              <w:spacing w:after="100"/>
            </w:pPr>
            <w:r>
              <w:rPr>
                <w:rFonts w:ascii="Aptos" w:hAnsi="Aptos"/>
                <w:sz w:val="20"/>
              </w:rPr>
              <w:t>Email:  ______________________________________________________________________</w:t>
            </w:r>
          </w:p>
          <w:p>
            <w:pPr>
              <w:spacing w:after="100"/>
            </w:pPr>
            <w:r>
              <w:rPr>
                <w:rFonts w:ascii="Aptos" w:hAnsi="Aptos"/>
                <w:sz w:val="20"/>
              </w:rPr>
              <w:t>Signature:  __________________________________________________________________</w:t>
            </w:r>
          </w:p>
          <w:p>
            <w:pPr>
              <w:spacing w:after="100"/>
            </w:pPr>
            <w:r>
              <w:rPr>
                <w:rFonts w:ascii="Aptos" w:hAnsi="Aptos"/>
                <w:sz w:val="20"/>
              </w:rPr>
              <w:t>Date:  ________________________________________________________________________</w:t>
            </w:r>
          </w:p>
        </w:tc>
      </w:tr>
    </w:tbl>
    <w:p>
      <w:pPr>
        <w:spacing w:after="40"/>
      </w:pPr>
    </w:p>
    <w:tbl>
      <w:tblPr>
        <w:tblW w:type="auto" w:w="0"/>
        <w:jc w:val="center"/>
        <w:tblLayout w:type="fixed"/>
        <w:tblLook w:firstColumn="1" w:firstRow="1" w:lastColumn="0" w:lastRow="0" w:noHBand="0" w:noVBand="1" w:val="04A0"/>
      </w:tblPr>
      <w:tblGrid>
        <w:gridCol w:w="9792"/>
      </w:tblGrid>
      <w:tr>
        <w:tc>
          <w:tcPr>
            <w:tcW w:type="dxa" w:w="9936"/>
            <w:shd w:fill="F8FAFC"/>
            <w:tcMar>
              <w:top w:w="150" w:type="dxa"/>
              <w:start w:w="180" w:type="dxa"/>
              <w:bottom w:w="150" w:type="dxa"/>
              <w:end w:w="180" w:type="dxa"/>
            </w:tcMar>
          </w:tcPr>
          <w:p>
            <w:pPr>
              <w:spacing w:after="100"/>
            </w:pPr>
            <w:r>
              <w:rPr>
                <w:rFonts w:ascii="Aptos" w:hAnsi="Aptos"/>
                <w:b/>
                <w:sz w:val="22"/>
              </w:rPr>
              <w:t>3. Refidly / Business Associate Authorized Signer</w:t>
            </w:r>
          </w:p>
          <w:p>
            <w:pPr>
              <w:spacing w:after="100"/>
            </w:pPr>
            <w:r>
              <w:rPr>
                <w:rFonts w:ascii="Aptos" w:hAnsi="Aptos"/>
                <w:sz w:val="20"/>
              </w:rPr>
              <w:t>Full Name:  __________________________________________________________________</w:t>
            </w:r>
          </w:p>
          <w:p>
            <w:pPr>
              <w:spacing w:after="100"/>
            </w:pPr>
            <w:r>
              <w:rPr>
                <w:rFonts w:ascii="Aptos" w:hAnsi="Aptos"/>
                <w:sz w:val="20"/>
              </w:rPr>
              <w:t>Title:  _______________________________________________________________________</w:t>
            </w:r>
          </w:p>
          <w:p>
            <w:pPr>
              <w:spacing w:after="100"/>
            </w:pPr>
            <w:r>
              <w:rPr>
                <w:rFonts w:ascii="Aptos" w:hAnsi="Aptos"/>
                <w:sz w:val="20"/>
              </w:rPr>
              <w:t>Email:  ______________________________________________________________________</w:t>
            </w:r>
          </w:p>
          <w:p>
            <w:pPr>
              <w:spacing w:after="100"/>
            </w:pPr>
            <w:r>
              <w:rPr>
                <w:rFonts w:ascii="Aptos" w:hAnsi="Aptos"/>
                <w:sz w:val="20"/>
              </w:rPr>
              <w:t>Signature:  __________________________________________________________________</w:t>
            </w:r>
          </w:p>
          <w:p>
            <w:pPr>
              <w:spacing w:after="100"/>
            </w:pPr>
            <w:r>
              <w:rPr>
                <w:rFonts w:ascii="Aptos" w:hAnsi="Aptos"/>
                <w:sz w:val="20"/>
              </w:rPr>
              <w:t>Date:  ________________________________________________________________________</w:t>
            </w:r>
          </w:p>
        </w:tc>
      </w:tr>
    </w:tbl>
    <w:p>
      <w:pPr>
        <w:spacing w:after="40"/>
      </w:pPr>
    </w:p>
    <w:tbl>
      <w:tblPr>
        <w:tblW w:type="auto" w:w="0"/>
        <w:jc w:val="center"/>
        <w:tblLayout w:type="fixed"/>
        <w:tblLook w:firstColumn="1" w:firstRow="1" w:lastColumn="0" w:lastRow="0" w:noHBand="0" w:noVBand="1" w:val="04A0"/>
      </w:tblPr>
      <w:tblGrid>
        <w:gridCol w:w="9792"/>
      </w:tblGrid>
      <w:tr>
        <w:tc>
          <w:tcPr>
            <w:tcW w:type="dxa" w:w="9936"/>
            <w:shd w:fill="F8FAFC"/>
            <w:tcMar>
              <w:top w:w="150" w:type="dxa"/>
              <w:start w:w="180" w:type="dxa"/>
              <w:bottom w:w="150" w:type="dxa"/>
              <w:end w:w="180" w:type="dxa"/>
            </w:tcMar>
          </w:tcPr>
          <w:p>
            <w:pPr>
              <w:spacing w:after="100"/>
            </w:pPr>
            <w:r>
              <w:rPr>
                <w:rFonts w:ascii="Aptos" w:hAnsi="Aptos"/>
                <w:b/>
                <w:sz w:val="22"/>
              </w:rPr>
              <w:t>4. Electronic Signing Record</w:t>
            </w:r>
          </w:p>
          <w:p>
            <w:pPr>
              <w:spacing w:after="100"/>
            </w:pPr>
            <w:r>
              <w:rPr>
                <w:rFonts w:ascii="Aptos" w:hAnsi="Aptos"/>
                <w:sz w:val="20"/>
              </w:rPr>
              <w:t>Signer Name:  ________________________________________________________________</w:t>
            </w:r>
          </w:p>
          <w:p>
            <w:pPr>
              <w:spacing w:after="100"/>
            </w:pPr>
            <w:r>
              <w:rPr>
                <w:rFonts w:ascii="Aptos" w:hAnsi="Aptos"/>
                <w:sz w:val="20"/>
              </w:rPr>
              <w:t>Signer Title:  _______________________________________________________________</w:t>
            </w:r>
          </w:p>
          <w:p>
            <w:pPr>
              <w:spacing w:after="100"/>
            </w:pPr>
            <w:r>
              <w:rPr>
                <w:rFonts w:ascii="Aptos" w:hAnsi="Aptos"/>
                <w:sz w:val="20"/>
              </w:rPr>
              <w:t>Signer Email:  _______________________________________________________________</w:t>
            </w:r>
          </w:p>
          <w:p>
            <w:pPr>
              <w:spacing w:after="100"/>
            </w:pPr>
            <w:r>
              <w:rPr>
                <w:rFonts w:ascii="Aptos" w:hAnsi="Aptos"/>
                <w:sz w:val="20"/>
              </w:rPr>
              <w:t>Network Address:  ____________________________________________________________</w:t>
            </w:r>
          </w:p>
          <w:p>
            <w:pPr>
              <w:spacing w:after="100"/>
            </w:pPr>
            <w:r>
              <w:rPr>
                <w:rFonts w:ascii="Aptos" w:hAnsi="Aptos"/>
                <w:sz w:val="20"/>
              </w:rPr>
              <w:t>Timestamp:  __________________________________________________________________</w:t>
            </w:r>
          </w:p>
        </w:tc>
      </w:tr>
    </w:tbl>
    <w:p>
      <w:pPr>
        <w:spacing w:after="40"/>
      </w:pPr>
    </w:p>
    <w:p>
      <w:pPr>
        <w:spacing w:before="160"/>
      </w:pPr>
      <w:r>
        <w:rPr>
          <w:color w:val="4B5563"/>
          <w:sz w:val="17"/>
        </w:rPr>
        <w:t>Execution note: Electronic signature through Refidly's in-product flow satisfies E-SIGN and UETA. The signed PDF and associated signing record constitute the authoritative record of acceptance.</w:t>
      </w:r>
    </w:p>
    <w:sectPr w:rsidR="00FC693F" w:rsidRPr="0006063C" w:rsidSect="00034616">
      <w:headerReference w:type="default" r:id="rId9"/>
      <w:footerReference w:type="default" r:id="rId10"/>
      <w:pgSz w:w="12240" w:h="15840"/>
      <w:pgMar w:top="1080"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color w:val="6B7280"/>
        <w:sz w:val="16"/>
      </w:rPr>
      <w:t xml:space="preserve">BAA Version 2026-08-11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rFonts w:ascii="Aptos" w:hAnsi="Aptos"/>
        <w:color w:val="6B7280"/>
        <w:sz w:val="16"/>
      </w:rPr>
      <w:t>Refidly  |  HIPAA Business Associate Addendum</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76" w:lineRule="auto"/>
    </w:pPr>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Aptos" w:hAnsi="Aptos"/>
      <w:b/>
      <w:bCs/>
      <w:color w:val="111827"/>
      <w:sz w:val="28"/>
      <w:szCs w:val="28"/>
    </w:rPr>
  </w:style>
  <w:style w:type="paragraph" w:styleId="Heading2">
    <w:name w:val="heading 2"/>
    <w:basedOn w:val="Normal"/>
    <w:next w:val="Normal"/>
    <w:link w:val="Heading2Char"/>
    <w:uiPriority w:val="9"/>
    <w:unhideWhenUsed/>
    <w:qFormat/>
    <w:rsid w:val="00FC693F"/>
    <w:pPr>
      <w:keepNext/>
      <w:keepLines/>
      <w:spacing w:before="180" w:after="80"/>
      <w:outlineLvl w:val="1"/>
    </w:pPr>
    <w:rPr>
      <w:rFonts w:asciiTheme="majorHAnsi" w:eastAsiaTheme="majorEastAsia" w:hAnsiTheme="majorHAnsi" w:cstheme="majorBidi" w:ascii="Aptos" w:hAnsi="Aptos"/>
      <w:b/>
      <w:bCs/>
      <w:color w:val="111827"/>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b/>
      <w:color w:val="1F2937"/>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BAABullet">
    <w:name w:val="BAA Bullet"/>
    <w:pPr>
      <w:spacing w:after="100" w:line="269" w:lineRule="auto"/>
      <w:ind w:left="317" w:hanging="202"/>
    </w:pPr>
    <w:rPr>
      <w:rFonts w:ascii="Aptos" w:hAnsi="Aptos"/>
      <w:sz w:val="20"/>
    </w:rPr>
  </w:style>
  <w:style w:type="paragraph" w:customStyle="1" w:styleId="BAASmall">
    <w:name w:val="BAA Small"/>
    <w:pPr>
      <w:spacing w:after="80"/>
    </w:pPr>
    <w:rPr>
      <w:rFonts w:ascii="Aptos" w:hAnsi="Aptos"/>
      <w:color w:val="4B5563"/>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