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pPr>
      <w:r>
        <w:rPr>
          <w:rFonts w:ascii="Aptos Display" w:hAnsi="Aptos Display" w:eastAsia="Aptos Display"/>
          <w:b/>
          <w:color w:val="007698"/>
          <w:sz w:val="36"/>
        </w:rPr>
        <w:t>Java &amp; Angular Fullstack Bootcamp</w:t>
      </w:r>
    </w:p>
    <w:p>
      <w:pPr>
        <w:spacing w:after="80" w:before="0"/>
      </w:pPr>
      <w:r>
        <w:rPr>
          <w:rFonts w:ascii="Aptos Display" w:hAnsi="Aptos Display" w:eastAsia="Aptos Display"/>
          <w:b/>
          <w:color w:val="021A32"/>
          <w:sz w:val="28"/>
        </w:rPr>
        <w:t>Capstone Project</w:t>
      </w:r>
    </w:p>
    <w:p>
      <w:pPr>
        <w:spacing w:after="160" w:before="0"/>
      </w:pPr>
      <w:r>
        <w:rPr>
          <w:rFonts w:ascii="Aptos Display" w:hAnsi="Aptos Display" w:eastAsia="Aptos Display"/>
          <w:b/>
          <w:color w:val="021A32"/>
          <w:sz w:val="44"/>
        </w:rPr>
        <w:t>Delivering an Enterprise Customer Management Platform End to End</w:t>
      </w:r>
    </w:p>
    <w:p>
      <w:pPr>
        <w:spacing w:after="40" w:before="0"/>
      </w:pPr>
      <w:r>
        <w:rPr>
          <w:rFonts w:ascii="Aptos" w:hAnsi="Aptos" w:eastAsia="Aptos"/>
          <w:b/>
          <w:color w:val="010D18"/>
          <w:sz w:val="24"/>
        </w:rPr>
        <w:t>Duration: 1 Week (Modules / Labs 48–52)</w:t>
      </w:r>
    </w:p>
    <w:p>
      <w:pPr>
        <w:spacing w:after="200" w:before="0"/>
      </w:pPr>
      <w:r>
        <w:rPr>
          <w:rFonts w:ascii="Aptos" w:hAnsi="Aptos" w:eastAsia="Aptos"/>
          <w:b w:val="0"/>
          <w:color w:val="010D18"/>
          <w:sz w:val="22"/>
        </w:rPr>
        <w:t>Team-Based Project | Final Stakeholder Presentation | AI Thread: AI in the Capstone</w:t>
      </w:r>
    </w:p>
    <w:p>
      <w:pPr>
        <w:spacing w:after="200" w:before="0"/>
      </w:pPr>
      <w:r>
        <w:rPr>
          <w:rFonts w:ascii="Aptos Display" w:hAnsi="Aptos Display" w:eastAsia="Aptos Display"/>
          <w:b/>
          <w:color w:val="021A32"/>
          <w:sz w:val="36"/>
        </w:rPr>
        <w:t>Delivering an Enterprise Customer Management Platform End to End</w:t>
      </w:r>
    </w:p>
    <w:p>
      <w:pPr>
        <w:pStyle w:val="Heading2"/>
        <w:spacing w:before="280" w:after="120"/>
      </w:pPr>
      <w:r>
        <w:rPr>
          <w:rFonts w:ascii="Aptos Display" w:hAnsi="Aptos Display" w:eastAsia="Aptos Display"/>
          <w:b/>
          <w:color w:val="007698"/>
          <w:sz w:val="28"/>
        </w:rPr>
        <w:t>Background</w:t>
      </w:r>
    </w:p>
    <w:p>
      <w:pPr>
        <w:spacing w:after="120" w:before="0"/>
      </w:pPr>
      <w:r>
        <w:rPr>
          <w:rFonts w:ascii="Aptos" w:hAnsi="Aptos" w:eastAsia="Aptos"/>
          <w:b w:val="0"/>
          <w:color w:val="010D18"/>
          <w:sz w:val="22"/>
        </w:rPr>
        <w:t>Your organization needs a Customer Relationship Management (CRM) / Customer Management Platform for service agents. Over five weeks, participants have built the surrounding enterprise toolchain: Java and JVM foundations; Maven-based backend design with Copilot-assisted quality practices; Spring Boot REST APIs with OpenAPI contracts, security, transactions, and validation; Kafka messaging and resilience; Angular front ends (TypeScript, standalone components, Signals, RxJS, HttpClient); PostgreSQL persistence via Spring Data JPA; and DevOps practices including Docker, OpenShift, GitHub Actions with code scanning, and infrastructure automation patterns. A continuous AI thread has run alongside each week—governance, domain impact, and agentic tools—and closes in Week 6.</w:t>
      </w:r>
    </w:p>
    <w:p>
      <w:pPr>
        <w:spacing w:after="120" w:before="0"/>
      </w:pPr>
      <w:r>
        <w:rPr>
          <w:rFonts w:ascii="Aptos" w:hAnsi="Aptos" w:eastAsia="Aptos"/>
          <w:b w:val="0"/>
          <w:color w:val="010D18"/>
          <w:sz w:val="22"/>
        </w:rPr>
        <w:t>Those skills are still fragmented if left as disconnected lab demos. Leadership expects one coherent product narrative: from architecture decisions through implementation, automated verification, secure release, and a defendable operational posture—with synthetic customer data only and no shortcuts that weaken security, evidence, recoverability, or AI review standards.</w:t>
      </w:r>
    </w:p>
    <w:p>
      <w:pPr>
        <w:pStyle w:val="Heading2"/>
        <w:spacing w:before="280" w:after="120"/>
      </w:pPr>
      <w:r>
        <w:rPr>
          <w:rFonts w:ascii="Aptos Display" w:hAnsi="Aptos Display" w:eastAsia="Aptos Display"/>
          <w:b/>
          <w:color w:val="007698"/>
          <w:sz w:val="28"/>
        </w:rPr>
        <w:t>The Problem</w:t>
      </w:r>
    </w:p>
    <w:p>
      <w:pPr>
        <w:spacing w:after="120" w:before="0"/>
      </w:pPr>
      <w:r>
        <w:rPr>
          <w:rFonts w:ascii="Aptos" w:hAnsi="Aptos" w:eastAsia="Aptos"/>
          <w:b w:val="0"/>
          <w:color w:val="010D18"/>
          <w:sz w:val="22"/>
        </w:rPr>
        <w:t>Design, build, secure, automate, and deploy a representative vertical slice of the enterprise CRM platform—an agent-facing Angular journey backed by Spring Boot REST APIs, PostgreSQL, and Kafka—through a single, evidence-driven delivery workflow.</w:t>
      </w:r>
    </w:p>
    <w:p>
      <w:pPr>
        <w:spacing w:after="80" w:before="0"/>
      </w:pPr>
      <w:r>
        <w:rPr>
          <w:rFonts w:ascii="Aptos" w:hAnsi="Aptos" w:eastAsia="Aptos"/>
          <w:b/>
          <w:color w:val="010D18"/>
          <w:sz w:val="22"/>
        </w:rPr>
        <w:t>Your solution must:</w:t>
      </w:r>
    </w:p>
    <w:p>
      <w:pPr>
        <w:pStyle w:val="ListParagraph"/>
        <w:spacing w:after="60"/>
      </w:pPr>
      <w:r>
        <w:rPr>
          <w:rFonts w:ascii="Aptos" w:hAnsi="Aptos" w:eastAsia="Aptos"/>
          <w:b w:val="0"/>
          <w:color w:val="010D18"/>
          <w:sz w:val="22"/>
        </w:rPr>
        <w:t>Produce an executable architecture plan with measurable non-functional requirements, ADRs, a prioritized vertical backlog, a scored risk register, and an AI usage plan with review boundaries</w:t>
      </w:r>
    </w:p>
    <w:p>
      <w:pPr>
        <w:pStyle w:val="ListParagraph"/>
        <w:spacing w:after="60"/>
      </w:pPr>
      <w:r>
        <w:rPr>
          <w:rFonts w:ascii="Aptos" w:hAnsi="Aptos" w:eastAsia="Aptos"/>
          <w:b w:val="0"/>
          <w:color w:val="010D18"/>
          <w:sz w:val="22"/>
        </w:rPr>
        <w:t>Implement Spring Boot REST APIs (OpenAPI / JSON) with clear service and repository layers, validation, transactions, and JWT / role-based access control</w:t>
      </w:r>
    </w:p>
    <w:p>
      <w:pPr>
        <w:pStyle w:val="ListParagraph"/>
        <w:spacing w:after="60"/>
      </w:pPr>
      <w:r>
        <w:rPr>
          <w:rFonts w:ascii="Aptos" w:hAnsi="Aptos" w:eastAsia="Aptos"/>
          <w:b w:val="0"/>
          <w:color w:val="010D18"/>
          <w:sz w:val="22"/>
        </w:rPr>
        <w:t>Integrate versioned Kafka events with resilient consumption patterns for processing and audit</w:t>
      </w:r>
    </w:p>
    <w:p>
      <w:pPr>
        <w:pStyle w:val="ListParagraph"/>
        <w:spacing w:after="60"/>
      </w:pPr>
      <w:r>
        <w:rPr>
          <w:rFonts w:ascii="Aptos" w:hAnsi="Aptos" w:eastAsia="Aptos"/>
          <w:b w:val="0"/>
          <w:color w:val="010D18"/>
          <w:sz w:val="22"/>
        </w:rPr>
        <w:t>Deliver a usable Angular agent journey (search, profile, interactions) using HttpClient and interceptors, persisted through Spring Data JPA on PostgreSQL</w:t>
      </w:r>
    </w:p>
    <w:p>
      <w:pPr>
        <w:pStyle w:val="ListParagraph"/>
        <w:spacing w:after="60"/>
      </w:pPr>
      <w:r>
        <w:rPr>
          <w:rFonts w:ascii="Aptos" w:hAnsi="Aptos" w:eastAsia="Aptos"/>
          <w:b w:val="0"/>
          <w:color w:val="010D18"/>
          <w:sz w:val="22"/>
        </w:rPr>
        <w:t>Validate the system with automated unit, integration, and Angular UI/smoke checks (Selenium as assigned), plus at least one deliberate failure path</w:t>
      </w:r>
    </w:p>
    <w:p>
      <w:pPr>
        <w:pStyle w:val="ListParagraph"/>
        <w:spacing w:after="60"/>
      </w:pPr>
      <w:r>
        <w:rPr>
          <w:rFonts w:ascii="Aptos" w:hAnsi="Aptos" w:eastAsia="Aptos"/>
          <w:b w:val="0"/>
          <w:color w:val="010D18"/>
          <w:sz w:val="22"/>
        </w:rPr>
        <w:t>Release through GitHub Actions with Java and Angular build/test jobs, code scanning / SAST gates, immutable container image identity, OpenShift deployment, smoke verification, and a documented rollback path</w:t>
      </w:r>
    </w:p>
    <w:p>
      <w:pPr>
        <w:pStyle w:val="ListParagraph"/>
        <w:spacing w:after="60"/>
      </w:pPr>
      <w:r>
        <w:rPr>
          <w:rFonts w:ascii="Aptos" w:hAnsi="Aptos" w:eastAsia="Aptos"/>
          <w:b w:val="0"/>
          <w:color w:val="010D18"/>
          <w:sz w:val="22"/>
        </w:rPr>
        <w:t>Defend the work in a stakeholder presentation with an evidence index another engineer can follow, including honest AI-thread notes (governance, where AI accelerated delivery, agentic tools in the workflow)</w:t>
      </w:r>
    </w:p>
    <w:p>
      <w:pPr>
        <w:spacing w:after="120" w:before="0"/>
      </w:pPr>
      <w:r>
        <w:rPr>
          <w:rFonts w:ascii="Aptos" w:hAnsi="Aptos" w:eastAsia="Aptos"/>
          <w:b w:val="0"/>
          <w:color w:val="010D18"/>
          <w:sz w:val="22"/>
        </w:rPr>
        <w:t>You are delivering a training-environment CRM platform—not inventing a new product category. Use the authorized stack (Angular, REST, PostgreSQL, GitHub Actions, OpenShift—not React, SOAP, Oracle, Bitbucket Pipelines, or laptop k3s) and synthetic fixtures (CUS-1001 Amina Khan, CUS-1002 Ravi Singh, correlation lab-request-001). Seed story CAP-12 (record customer interaction) drives Labs 49–50.</w:t>
      </w:r>
    </w:p>
    <w:p>
      <w:pPr>
        <w:pStyle w:val="Heading2"/>
        <w:spacing w:before="280" w:after="120"/>
      </w:pPr>
      <w:r>
        <w:rPr>
          <w:rFonts w:ascii="Aptos Display" w:hAnsi="Aptos Display" w:eastAsia="Aptos Display"/>
          <w:b/>
          <w:color w:val="007698"/>
          <w:sz w:val="28"/>
        </w:rPr>
        <w:t>Constraints and Starting Point</w:t>
      </w:r>
    </w:p>
    <w:p>
      <w:pPr>
        <w:spacing w:after="80" w:before="0"/>
      </w:pPr>
      <w:r>
        <w:rPr>
          <w:rFonts w:ascii="Aptos" w:hAnsi="Aptos" w:eastAsia="Aptos"/>
          <w:b/>
          <w:color w:val="010D18"/>
          <w:sz w:val="22"/>
        </w:rPr>
        <w:t>Each team will be provided with:</w:t>
      </w:r>
    </w:p>
    <w:p>
      <w:pPr>
        <w:pStyle w:val="ListParagraph"/>
        <w:spacing w:after="60"/>
      </w:pPr>
      <w:r>
        <w:rPr>
          <w:rFonts w:ascii="Aptos" w:hAnsi="Aptos" w:eastAsia="Aptos"/>
          <w:b w:val="0"/>
          <w:color w:val="010D18"/>
          <w:sz w:val="22"/>
        </w:rPr>
        <w:t>Access to the instructor-authorized training environment (laptop lab workspace) with JDK 21, Maven, Node 22 / Angular CLI, Docker, and Git</w:t>
      </w:r>
    </w:p>
    <w:p>
      <w:pPr>
        <w:pStyle w:val="ListParagraph"/>
        <w:spacing w:after="60"/>
      </w:pPr>
      <w:r>
        <w:rPr>
          <w:rFonts w:ascii="Aptos" w:hAnsi="Aptos" w:eastAsia="Aptos"/>
          <w:b w:val="0"/>
          <w:color w:val="010D18"/>
          <w:sz w:val="22"/>
        </w:rPr>
        <w:t>Progressive CRM lab evidence and patterns from Weeks 1–5 (labs 0–47), including Angular UI labs and REST/OpenAPI contracts</w:t>
      </w:r>
    </w:p>
    <w:p>
      <w:pPr>
        <w:pStyle w:val="ListParagraph"/>
        <w:spacing w:after="60"/>
      </w:pPr>
      <w:r>
        <w:rPr>
          <w:rFonts w:ascii="Aptos" w:hAnsi="Aptos" w:eastAsia="Aptos"/>
          <w:b w:val="0"/>
          <w:color w:val="010D18"/>
          <w:sz w:val="22"/>
        </w:rPr>
        <w:t>PostgreSQL for persistence, Kafka for events, and an instructor-hosted OpenShift project (or approved cluster target) for deployment</w:t>
      </w:r>
    </w:p>
    <w:p>
      <w:pPr>
        <w:pStyle w:val="ListParagraph"/>
        <w:spacing w:after="60"/>
      </w:pPr>
      <w:r>
        <w:rPr>
          <w:rFonts w:ascii="Aptos" w:hAnsi="Aptos" w:eastAsia="Aptos"/>
          <w:b w:val="0"/>
          <w:color w:val="010D18"/>
          <w:sz w:val="22"/>
        </w:rPr>
        <w:t>GitHub Actions with ability to run Maven and Angular (npm ci / ng build) build, test, and security scanning stages</w:t>
      </w:r>
    </w:p>
    <w:p>
      <w:pPr>
        <w:pStyle w:val="ListParagraph"/>
        <w:spacing w:after="60"/>
      </w:pPr>
      <w:r>
        <w:rPr>
          <w:rFonts w:ascii="Aptos" w:hAnsi="Aptos" w:eastAsia="Aptos"/>
          <w:b w:val="0"/>
          <w:color w:val="010D18"/>
          <w:sz w:val="22"/>
        </w:rPr>
        <w:t>A shared product repository layout (customer-management-platform) with room for backend, frontend (Angular), openshift, infra, docs, defense, and reports</w:t>
      </w:r>
    </w:p>
    <w:p>
      <w:pPr>
        <w:pStyle w:val="ListParagraph"/>
        <w:spacing w:after="60"/>
      </w:pPr>
      <w:r>
        <w:rPr>
          <w:rFonts w:ascii="Aptos" w:hAnsi="Aptos" w:eastAsia="Aptos"/>
          <w:b w:val="0"/>
          <w:color w:val="010D18"/>
          <w:sz w:val="22"/>
        </w:rPr>
        <w:t>Synthetic-only test data; no production systems, real PII, or customer secrets</w:t>
      </w:r>
    </w:p>
    <w:p>
      <w:pPr>
        <w:spacing w:after="120" w:before="0"/>
      </w:pPr>
      <w:r>
        <w:rPr>
          <w:rFonts w:ascii="Aptos" w:hAnsi="Aptos" w:eastAsia="Aptos"/>
          <w:b w:val="0"/>
          <w:color w:val="010D18"/>
          <w:sz w:val="22"/>
        </w:rPr>
        <w:t>You are not permitted to weaken authorization, TLS, scanning, validation, or tests merely to obtain a green demo. AI-generated code, tests, and IaC drafts must be reviewed against DTOs, PostgreSQL migrations, and secret hygiene before they count as evidence. If an outcome cannot be shown with reproducible evidence from the repository and approved tooling, it does not count toward evaluation.</w:t>
      </w:r>
    </w:p>
    <w:p>
      <w:pPr>
        <w:pStyle w:val="Heading2"/>
        <w:spacing w:before="280" w:after="120"/>
      </w:pPr>
      <w:r>
        <w:rPr>
          <w:rFonts w:ascii="Aptos Display" w:hAnsi="Aptos Display" w:eastAsia="Aptos Display"/>
          <w:b/>
          <w:color w:val="007698"/>
          <w:sz w:val="28"/>
        </w:rPr>
        <w:t>Expected Outcome</w:t>
      </w:r>
    </w:p>
    <w:p>
      <w:pPr>
        <w:spacing w:after="80" w:before="0"/>
      </w:pPr>
      <w:r>
        <w:rPr>
          <w:rFonts w:ascii="Aptos" w:hAnsi="Aptos" w:eastAsia="Aptos"/>
          <w:b/>
          <w:color w:val="010D18"/>
          <w:sz w:val="22"/>
        </w:rPr>
        <w:t>At the end of the capstone, your platform should demonstrate:</w:t>
      </w:r>
    </w:p>
    <w:p>
      <w:pPr>
        <w:pStyle w:val="ListParagraph"/>
        <w:spacing w:after="60"/>
      </w:pPr>
      <w:r>
        <w:rPr>
          <w:rFonts w:ascii="Aptos" w:hAnsi="Aptos" w:eastAsia="Aptos"/>
          <w:b w:val="0"/>
          <w:color w:val="010D18"/>
          <w:sz w:val="22"/>
        </w:rPr>
        <w:t>Traceability from business outcomes → architecture → backlog stories → tests → GitHub Actions pipeline → OpenShift deployment → operations</w:t>
      </w:r>
    </w:p>
    <w:p>
      <w:pPr>
        <w:pStyle w:val="ListParagraph"/>
        <w:spacing w:after="60"/>
      </w:pPr>
      <w:r>
        <w:rPr>
          <w:rFonts w:ascii="Aptos" w:hAnsi="Aptos" w:eastAsia="Aptos"/>
          <w:b w:val="0"/>
          <w:color w:val="010D18"/>
          <w:sz w:val="22"/>
        </w:rPr>
        <w:t>A working Angular agent journey on synthetic data with durable PostgreSQL persistence and Kafka event evidence</w:t>
      </w:r>
    </w:p>
    <w:p>
      <w:pPr>
        <w:pStyle w:val="ListParagraph"/>
        <w:spacing w:after="60"/>
      </w:pPr>
      <w:r>
        <w:rPr>
          <w:rFonts w:ascii="Aptos" w:hAnsi="Aptos" w:eastAsia="Aptos"/>
          <w:b w:val="0"/>
          <w:color w:val="010D18"/>
          <w:sz w:val="22"/>
        </w:rPr>
        <w:t>Secure API access (JWT/RBAC) with negative authorization paths proven; the Angular client is not treated as the security boundary</w:t>
      </w:r>
    </w:p>
    <w:p>
      <w:pPr>
        <w:pStyle w:val="ListParagraph"/>
        <w:spacing w:after="60"/>
      </w:pPr>
      <w:r>
        <w:rPr>
          <w:rFonts w:ascii="Aptos" w:hAnsi="Aptos" w:eastAsia="Aptos"/>
          <w:b w:val="0"/>
          <w:color w:val="010D18"/>
          <w:sz w:val="22"/>
        </w:rPr>
        <w:t>A CI/CD-gated path producing an immutable image, deployed smoke-tested OpenShift release, and rollback notes (oc rollout undo or documented equivalent)</w:t>
      </w:r>
    </w:p>
    <w:p>
      <w:pPr>
        <w:pStyle w:val="ListParagraph"/>
        <w:spacing w:after="60"/>
      </w:pPr>
      <w:r>
        <w:rPr>
          <w:rFonts w:ascii="Aptos" w:hAnsi="Aptos" w:eastAsia="Aptos"/>
          <w:b w:val="0"/>
          <w:color w:val="010D18"/>
          <w:sz w:val="22"/>
        </w:rPr>
        <w:t>Observability sufficient to answer: did the request succeed, what is the correlation ID, is the service healthy, and what failed when a negative path was forced</w:t>
      </w:r>
    </w:p>
    <w:p>
      <w:pPr>
        <w:pStyle w:val="ListParagraph"/>
        <w:spacing w:after="60"/>
      </w:pPr>
      <w:r>
        <w:rPr>
          <w:rFonts w:ascii="Aptos" w:hAnsi="Aptos" w:eastAsia="Aptos"/>
          <w:b w:val="0"/>
          <w:color w:val="010D18"/>
          <w:sz w:val="22"/>
        </w:rPr>
        <w:t>Honest residual risks with owners and dates, plus an AI usage report that distinguishes human-owned decisions from AI-assisted drafts</w:t>
      </w:r>
    </w:p>
    <w:p>
      <w:pPr>
        <w:pStyle w:val="Heading2"/>
        <w:spacing w:before="280" w:after="120"/>
      </w:pPr>
      <w:r>
        <w:rPr>
          <w:rFonts w:ascii="Aptos Display" w:hAnsi="Aptos Display" w:eastAsia="Aptos Display"/>
          <w:b/>
          <w:color w:val="007698"/>
          <w:sz w:val="28"/>
        </w:rPr>
        <w:t>Week 6 structure (Modules 48–52)</w:t>
      </w:r>
    </w:p>
    <w:p>
      <w:pPr>
        <w:spacing w:after="120" w:before="0"/>
      </w:pPr>
      <w:r>
        <w:rPr>
          <w:rFonts w:ascii="Aptos" w:hAnsi="Aptos" w:eastAsia="Aptos"/>
          <w:b w:val="0"/>
          <w:color w:val="010D18"/>
          <w:sz w:val="22"/>
        </w:rPr>
        <w:t>Week 6 is delivery week, not another technology survey. The Angular outline adds AI Thread: AI in the Capstone alongside the five numbered modules.</w:t>
      </w:r>
    </w:p>
    <w:tbl>
      <w:tblPr>
        <w:tblW w:type="auto" w:w="0"/>
        <w:tblLayout w:type="autofit"/>
        <w:tblLook w:firstColumn="1" w:firstRow="1" w:lastColumn="0" w:lastRow="0" w:noHBand="0" w:noVBand="1" w:val="04A0"/>
      </w:tblPr>
      <w:tblGrid>
        <w:gridCol w:w="3120"/>
        <w:gridCol w:w="3120"/>
        <w:gridCol w:w="3120"/>
      </w:tblGrid>
      <w:tr>
        <w:tc>
          <w:tcPr>
            <w:tcW w:type="dxa" w:w="1728"/>
            <w:shd w:val="clear" w:color="auto" w:fill="021A32"/>
          </w:tcPr>
          <w:p>
            <w:r/>
            <w:r>
              <w:rPr>
                <w:rFonts w:ascii="Arial" w:hAnsi="Arial" w:eastAsia="Arial"/>
                <w:b/>
                <w:color w:val="FFFFFF"/>
                <w:sz w:val="22"/>
              </w:rPr>
              <w:t>Phase</w:t>
            </w:r>
          </w:p>
        </w:tc>
        <w:tc>
          <w:tcPr>
            <w:tcW w:type="dxa" w:w="1296"/>
            <w:shd w:val="clear" w:color="auto" w:fill="021A32"/>
          </w:tcPr>
          <w:p>
            <w:r/>
            <w:r>
              <w:rPr>
                <w:rFonts w:ascii="Arial" w:hAnsi="Arial" w:eastAsia="Arial"/>
                <w:b/>
                <w:color w:val="FFFFFF"/>
                <w:sz w:val="22"/>
              </w:rPr>
              <w:t>Module</w:t>
            </w:r>
          </w:p>
        </w:tc>
        <w:tc>
          <w:tcPr>
            <w:tcW w:type="dxa" w:w="7200"/>
            <w:shd w:val="clear" w:color="auto" w:fill="021A32"/>
          </w:tcPr>
          <w:p>
            <w:r/>
            <w:r>
              <w:rPr>
                <w:rFonts w:ascii="Arial" w:hAnsi="Arial" w:eastAsia="Arial"/>
                <w:b/>
                <w:color w:val="FFFFFF"/>
                <w:sz w:val="22"/>
              </w:rPr>
              <w:t>What participants produce</w:t>
            </w:r>
          </w:p>
        </w:tc>
      </w:tr>
      <w:tr>
        <w:tc>
          <w:tcPr>
            <w:tcW w:type="dxa" w:w="1728"/>
          </w:tcPr>
          <w:p>
            <w:r/>
            <w:r>
              <w:rPr>
                <w:rFonts w:ascii="Arial" w:hAnsi="Arial" w:eastAsia="Arial"/>
                <w:b w:val="0"/>
                <w:color w:val="010D18"/>
                <w:sz w:val="18"/>
              </w:rPr>
              <w:t>Plan</w:t>
            </w:r>
          </w:p>
        </w:tc>
        <w:tc>
          <w:tcPr>
            <w:tcW w:type="dxa" w:w="1296"/>
          </w:tcPr>
          <w:p>
            <w:r/>
            <w:r>
              <w:rPr>
                <w:rFonts w:ascii="Arial" w:hAnsi="Arial" w:eastAsia="Arial"/>
                <w:b w:val="0"/>
                <w:color w:val="010D18"/>
                <w:sz w:val="18"/>
              </w:rPr>
              <w:t>48</w:t>
            </w:r>
          </w:p>
        </w:tc>
        <w:tc>
          <w:tcPr>
            <w:tcW w:type="dxa" w:w="7200"/>
          </w:tcPr>
          <w:p>
            <w:r/>
            <w:r>
              <w:rPr>
                <w:rFonts w:ascii="Arial" w:hAnsi="Arial" w:eastAsia="Arial"/>
                <w:b w:val="0"/>
                <w:color w:val="010D18"/>
                <w:sz w:val="18"/>
              </w:rPr>
              <w:t>C4 context/containers, measurable NFRs, ADRs, backlog, risk register, AI usage plan, GitHub Actions / OpenShift delivery path</w:t>
            </w:r>
          </w:p>
        </w:tc>
      </w:tr>
      <w:tr>
        <w:tc>
          <w:tcPr>
            <w:tcW w:type="dxa" w:w="1728"/>
            <w:shd w:val="clear" w:color="auto" w:fill="F4F8FA"/>
          </w:tcPr>
          <w:p>
            <w:r/>
            <w:r>
              <w:rPr>
                <w:rFonts w:ascii="Arial" w:hAnsi="Arial" w:eastAsia="Arial"/>
                <w:b w:val="0"/>
                <w:color w:val="010D18"/>
                <w:sz w:val="18"/>
              </w:rPr>
              <w:t>Backend</w:t>
            </w:r>
          </w:p>
        </w:tc>
        <w:tc>
          <w:tcPr>
            <w:tcW w:type="dxa" w:w="1296"/>
            <w:shd w:val="clear" w:color="auto" w:fill="F4F8FA"/>
          </w:tcPr>
          <w:p>
            <w:r/>
            <w:r>
              <w:rPr>
                <w:rFonts w:ascii="Arial" w:hAnsi="Arial" w:eastAsia="Arial"/>
                <w:b w:val="0"/>
                <w:color w:val="010D18"/>
                <w:sz w:val="18"/>
              </w:rPr>
              <w:t>49</w:t>
            </w:r>
          </w:p>
        </w:tc>
        <w:tc>
          <w:tcPr>
            <w:tcW w:type="dxa" w:w="7200"/>
            <w:shd w:val="clear" w:color="auto" w:fill="F4F8FA"/>
          </w:tcPr>
          <w:p>
            <w:r/>
            <w:r>
              <w:rPr>
                <w:rFonts w:ascii="Arial" w:hAnsi="Arial" w:eastAsia="Arial"/>
                <w:b w:val="0"/>
                <w:color w:val="010D18"/>
                <w:sz w:val="18"/>
              </w:rPr>
              <w:t>Spring Boot REST vertical slice, service/repository layers, Kafka producer/consumer, unit and integration tests</w:t>
            </w:r>
          </w:p>
        </w:tc>
      </w:tr>
      <w:tr>
        <w:tc>
          <w:tcPr>
            <w:tcW w:type="dxa" w:w="1728"/>
          </w:tcPr>
          <w:p>
            <w:r/>
            <w:r>
              <w:rPr>
                <w:rFonts w:ascii="Arial" w:hAnsi="Arial" w:eastAsia="Arial"/>
                <w:b w:val="0"/>
                <w:color w:val="010D18"/>
                <w:sz w:val="18"/>
              </w:rPr>
              <w:t>Full stack</w:t>
            </w:r>
          </w:p>
        </w:tc>
        <w:tc>
          <w:tcPr>
            <w:tcW w:type="dxa" w:w="1296"/>
          </w:tcPr>
          <w:p>
            <w:r/>
            <w:r>
              <w:rPr>
                <w:rFonts w:ascii="Arial" w:hAnsi="Arial" w:eastAsia="Arial"/>
                <w:b w:val="0"/>
                <w:color w:val="010D18"/>
                <w:sz w:val="18"/>
              </w:rPr>
              <w:t>50</w:t>
            </w:r>
          </w:p>
        </w:tc>
        <w:tc>
          <w:tcPr>
            <w:tcW w:type="dxa" w:w="7200"/>
          </w:tcPr>
          <w:p>
            <w:r/>
            <w:r>
              <w:rPr>
                <w:rFonts w:ascii="Arial" w:hAnsi="Arial" w:eastAsia="Arial"/>
                <w:b w:val="0"/>
                <w:color w:val="010D18"/>
                <w:sz w:val="18"/>
              </w:rPr>
              <w:t>Angular agent journey + PostgreSQL/JPA end-to-end flow, HttpClient/interceptors, accessible UI, UI→DB verification</w:t>
            </w:r>
          </w:p>
        </w:tc>
      </w:tr>
      <w:tr>
        <w:tc>
          <w:tcPr>
            <w:tcW w:type="dxa" w:w="1728"/>
            <w:shd w:val="clear" w:color="auto" w:fill="F4F8FA"/>
          </w:tcPr>
          <w:p>
            <w:r/>
            <w:r>
              <w:rPr>
                <w:rFonts w:ascii="Arial" w:hAnsi="Arial" w:eastAsia="Arial"/>
                <w:b w:val="0"/>
                <w:color w:val="010D18"/>
                <w:sz w:val="18"/>
              </w:rPr>
              <w:t>Release</w:t>
            </w:r>
          </w:p>
        </w:tc>
        <w:tc>
          <w:tcPr>
            <w:tcW w:type="dxa" w:w="1296"/>
            <w:shd w:val="clear" w:color="auto" w:fill="F4F8FA"/>
          </w:tcPr>
          <w:p>
            <w:r/>
            <w:r>
              <w:rPr>
                <w:rFonts w:ascii="Arial" w:hAnsi="Arial" w:eastAsia="Arial"/>
                <w:b w:val="0"/>
                <w:color w:val="010D18"/>
                <w:sz w:val="18"/>
              </w:rPr>
              <w:t>51</w:t>
            </w:r>
          </w:p>
        </w:tc>
        <w:tc>
          <w:tcPr>
            <w:tcW w:type="dxa" w:w="7200"/>
            <w:shd w:val="clear" w:color="auto" w:fill="F4F8FA"/>
          </w:tcPr>
          <w:p>
            <w:r/>
            <w:r>
              <w:rPr>
                <w:rFonts w:ascii="Arial" w:hAnsi="Arial" w:eastAsia="Arial"/>
                <w:b w:val="0"/>
                <w:color w:val="010D18"/>
                <w:sz w:val="18"/>
              </w:rPr>
              <w:t>JWT/RBAC hardening, GitHub Actions gates (Java + Angular), Docker digests, OpenShift deploy, smoke + rollback</w:t>
            </w:r>
          </w:p>
        </w:tc>
      </w:tr>
      <w:tr>
        <w:tc>
          <w:tcPr>
            <w:tcW w:type="dxa" w:w="1728"/>
          </w:tcPr>
          <w:p>
            <w:r/>
            <w:r>
              <w:rPr>
                <w:rFonts w:ascii="Arial" w:hAnsi="Arial" w:eastAsia="Arial"/>
                <w:b w:val="0"/>
                <w:color w:val="010D18"/>
                <w:sz w:val="18"/>
              </w:rPr>
              <w:t>Defend</w:t>
            </w:r>
          </w:p>
        </w:tc>
        <w:tc>
          <w:tcPr>
            <w:tcW w:type="dxa" w:w="1296"/>
          </w:tcPr>
          <w:p>
            <w:r/>
            <w:r>
              <w:rPr>
                <w:rFonts w:ascii="Arial" w:hAnsi="Arial" w:eastAsia="Arial"/>
                <w:b w:val="0"/>
                <w:color w:val="010D18"/>
                <w:sz w:val="18"/>
              </w:rPr>
              <w:t>52</w:t>
            </w:r>
          </w:p>
        </w:tc>
        <w:tc>
          <w:tcPr>
            <w:tcW w:type="dxa" w:w="7200"/>
          </w:tcPr>
          <w:p>
            <w:r/>
            <w:r>
              <w:rPr>
                <w:rFonts w:ascii="Arial" w:hAnsi="Arial" w:eastAsia="Arial"/>
                <w:b w:val="0"/>
                <w:color w:val="010D18"/>
                <w:sz w:val="18"/>
              </w:rPr>
              <w:t>Stakeholder demo, evidence-backed Q&amp;A, architecture review, retrospective, individual reflection, AI-thread close-out</w:t>
            </w:r>
          </w:p>
        </w:tc>
      </w:tr>
    </w:tbl>
    <w:p>
      <w:pPr>
        <w:pStyle w:val="Heading2"/>
        <w:spacing w:before="280" w:after="120"/>
      </w:pPr>
      <w:r>
        <w:rPr>
          <w:rFonts w:ascii="Aptos Display" w:hAnsi="Aptos Display" w:eastAsia="Aptos Display"/>
          <w:b/>
          <w:color w:val="007698"/>
          <w:sz w:val="28"/>
        </w:rPr>
        <w:t>Final Demonstration Scenario</w:t>
      </w:r>
    </w:p>
    <w:p>
      <w:pPr>
        <w:spacing w:after="120" w:before="0"/>
      </w:pPr>
      <w:r>
        <w:rPr>
          <w:rFonts w:ascii="Aptos" w:hAnsi="Aptos" w:eastAsia="Aptos"/>
          <w:b w:val="0"/>
          <w:color w:val="010D18"/>
          <w:sz w:val="22"/>
        </w:rPr>
        <w:t>Your final presentation must include a live (preferred) or recorded demonstration of an end-to-end CRM release story:</w:t>
      </w:r>
    </w:p>
    <w:p>
      <w:pPr>
        <w:spacing w:after="120" w:before="0"/>
      </w:pPr>
      <w:r>
        <w:rPr>
          <w:rFonts w:ascii="Aptos" w:hAnsi="Aptos" w:eastAsia="Aptos"/>
          <w:b w:val="0"/>
          <w:color w:val="010D18"/>
          <w:sz w:val="22"/>
        </w:rPr>
        <w:t>An agent searches for customer CUS-1001 (Amina Khan) in the Angular UI, opens the profile, and records an interaction. Angular HttpClient (with JWT interceptor) calls the Spring Boot REST API, which authenticates and authorizes the request, persists data in PostgreSQL, and publishes a versioned Kafka event. The team shows automated test evidence (including at least one Angular UI/Selenium path as assigned), a GitHub Actions run with quality/SAST gates for Java and Angular, the deployed image digest on OpenShift, and health/metrics or structured logs keyed by correlation ID lab-request-001 (or the team’s documented ID). During the demo the team intentionally injects a failure—invalid transition, unauthorized role, broken consumer, failed probe, or failed promotion gate—detects it through tests or observability, corrects it through code and pipeline (not silent manual console edits), and re-runs to a successful verified state.</w:t>
      </w:r>
    </w:p>
    <w:p>
      <w:pPr>
        <w:spacing w:after="80" w:before="0"/>
      </w:pPr>
      <w:r>
        <w:rPr>
          <w:rFonts w:ascii="Aptos" w:hAnsi="Aptos" w:eastAsia="Aptos"/>
          <w:b/>
          <w:color w:val="010D18"/>
          <w:sz w:val="22"/>
        </w:rPr>
        <w:t>Your team must be able to explain:</w:t>
      </w:r>
    </w:p>
    <w:p>
      <w:pPr>
        <w:pStyle w:val="ListParagraph"/>
        <w:spacing w:after="60"/>
      </w:pPr>
      <w:r>
        <w:rPr>
          <w:rFonts w:ascii="Aptos" w:hAnsi="Aptos" w:eastAsia="Aptos"/>
          <w:b w:val="0"/>
          <w:color w:val="010D18"/>
          <w:sz w:val="22"/>
        </w:rPr>
        <w:t>How the change flowed from backlog item / commit to the running Angular agent journey</w:t>
      </w:r>
    </w:p>
    <w:p>
      <w:pPr>
        <w:pStyle w:val="ListParagraph"/>
        <w:spacing w:after="60"/>
      </w:pPr>
      <w:r>
        <w:rPr>
          <w:rFonts w:ascii="Aptos" w:hAnsi="Aptos" w:eastAsia="Aptos"/>
          <w:b w:val="0"/>
          <w:color w:val="010D18"/>
          <w:sz w:val="22"/>
        </w:rPr>
        <w:t>Where the failure was detected and how evidence surfaced it</w:t>
      </w:r>
    </w:p>
    <w:p>
      <w:pPr>
        <w:pStyle w:val="ListParagraph"/>
        <w:spacing w:after="60"/>
      </w:pPr>
      <w:r>
        <w:rPr>
          <w:rFonts w:ascii="Aptos" w:hAnsi="Aptos" w:eastAsia="Aptos"/>
          <w:b w:val="0"/>
          <w:color w:val="010D18"/>
          <w:sz w:val="22"/>
        </w:rPr>
        <w:t>How the corrective action was applied through code, tests, and GitHub Actions—not ad-hoc cluster edits</w:t>
      </w:r>
    </w:p>
    <w:p>
      <w:pPr>
        <w:pStyle w:val="ListParagraph"/>
        <w:spacing w:after="60"/>
      </w:pPr>
      <w:r>
        <w:rPr>
          <w:rFonts w:ascii="Aptos" w:hAnsi="Aptos" w:eastAsia="Aptos"/>
          <w:b w:val="0"/>
          <w:color w:val="010D18"/>
          <w:sz w:val="22"/>
        </w:rPr>
        <w:t>How the platform confirms successful recovery (API, Angular UI, PostgreSQL, events, OpenShift deploy)</w:t>
      </w:r>
    </w:p>
    <w:p>
      <w:pPr>
        <w:pStyle w:val="ListParagraph"/>
        <w:spacing w:after="60"/>
      </w:pPr>
      <w:r>
        <w:rPr>
          <w:rFonts w:ascii="Aptos" w:hAnsi="Aptos" w:eastAsia="Aptos"/>
          <w:b w:val="0"/>
          <w:color w:val="010D18"/>
          <w:sz w:val="22"/>
        </w:rPr>
        <w:t>Where AI was used, how it was reviewed, and which decisions remain human-owned</w:t>
      </w:r>
    </w:p>
    <w:p>
      <w:pPr>
        <w:pStyle w:val="Heading2"/>
        <w:spacing w:before="280" w:after="120"/>
      </w:pPr>
      <w:r>
        <w:rPr>
          <w:rFonts w:ascii="Aptos Display" w:hAnsi="Aptos Display" w:eastAsia="Aptos Display"/>
          <w:b/>
          <w:color w:val="007698"/>
          <w:sz w:val="28"/>
        </w:rPr>
        <w:t>Deliverables</w:t>
      </w:r>
    </w:p>
    <w:p>
      <w:pPr>
        <w:pStyle w:val="ListParagraph"/>
        <w:spacing w:after="60"/>
      </w:pPr>
      <w:r>
        <w:rPr>
          <w:rFonts w:ascii="Aptos" w:hAnsi="Aptos" w:eastAsia="Aptos"/>
          <w:b w:val="0"/>
          <w:color w:val="010D18"/>
          <w:sz w:val="22"/>
        </w:rPr>
        <w:t>A single Git repository (or clearly linked monorepo) containing backend, Angular frontend, Flyway migrations, messaging contracts, GitHub Actions workflow, OpenShift manifests, and supporting docs, with a clear README</w:t>
      </w:r>
    </w:p>
    <w:p>
      <w:pPr>
        <w:pStyle w:val="ListParagraph"/>
        <w:spacing w:after="60"/>
      </w:pPr>
      <w:r>
        <w:rPr>
          <w:rFonts w:ascii="Aptos" w:hAnsi="Aptos" w:eastAsia="Aptos"/>
          <w:b w:val="0"/>
          <w:color w:val="010D18"/>
          <w:sz w:val="22"/>
        </w:rPr>
        <w:t>Architecture package: context/container views, measurable NFRs, ADRs, backlog, risk register, AI usage plan</w:t>
      </w:r>
    </w:p>
    <w:p>
      <w:pPr>
        <w:pStyle w:val="ListParagraph"/>
        <w:spacing w:after="60"/>
      </w:pPr>
      <w:r>
        <w:rPr>
          <w:rFonts w:ascii="Aptos" w:hAnsi="Aptos" w:eastAsia="Aptos"/>
          <w:b w:val="0"/>
          <w:color w:val="010D18"/>
          <w:sz w:val="22"/>
        </w:rPr>
        <w:t>Working Spring Boot REST vertical slice with Kafka producer/consumer evidence and tests</w:t>
      </w:r>
    </w:p>
    <w:p>
      <w:pPr>
        <w:pStyle w:val="ListParagraph"/>
        <w:spacing w:after="60"/>
      </w:pPr>
      <w:r>
        <w:rPr>
          <w:rFonts w:ascii="Aptos" w:hAnsi="Aptos" w:eastAsia="Aptos"/>
          <w:b w:val="0"/>
          <w:color w:val="010D18"/>
          <w:sz w:val="22"/>
        </w:rPr>
        <w:t>Angular agent journey with PostgreSQL/JPA persistence and UI→DB verification</w:t>
      </w:r>
    </w:p>
    <w:p>
      <w:pPr>
        <w:pStyle w:val="ListParagraph"/>
        <w:spacing w:after="60"/>
      </w:pPr>
      <w:r>
        <w:rPr>
          <w:rFonts w:ascii="Aptos" w:hAnsi="Aptos" w:eastAsia="Aptos"/>
          <w:b w:val="0"/>
          <w:color w:val="010D18"/>
          <w:sz w:val="22"/>
        </w:rPr>
        <w:t>Security evidence: JWT/RBAC configuration, negative tests, sanitized SAST / code-scanning reports</w:t>
      </w:r>
    </w:p>
    <w:p>
      <w:pPr>
        <w:pStyle w:val="ListParagraph"/>
        <w:spacing w:after="60"/>
      </w:pPr>
      <w:r>
        <w:rPr>
          <w:rFonts w:ascii="Aptos" w:hAnsi="Aptos" w:eastAsia="Aptos"/>
          <w:b w:val="0"/>
          <w:color w:val="010D18"/>
          <w:sz w:val="22"/>
        </w:rPr>
        <w:t>CI/CD evidence: GitHub Actions run, immutable image digest, OpenShift deploy/smoke/rollback notes</w:t>
      </w:r>
    </w:p>
    <w:p>
      <w:pPr>
        <w:pStyle w:val="ListParagraph"/>
        <w:spacing w:after="60"/>
      </w:pPr>
      <w:r>
        <w:rPr>
          <w:rFonts w:ascii="Aptos" w:hAnsi="Aptos" w:eastAsia="Aptos"/>
          <w:b w:val="0"/>
          <w:color w:val="010D18"/>
          <w:sz w:val="22"/>
        </w:rPr>
        <w:t>Observability artifacts: Actuator health/metrics excerpts and/or structured log evidence with correlation IDs</w:t>
      </w:r>
    </w:p>
    <w:p>
      <w:pPr>
        <w:pStyle w:val="ListParagraph"/>
        <w:spacing w:after="60"/>
      </w:pPr>
      <w:r>
        <w:rPr>
          <w:rFonts w:ascii="Aptos" w:hAnsi="Aptos" w:eastAsia="Aptos"/>
          <w:b w:val="0"/>
          <w:color w:val="010D18"/>
          <w:sz w:val="22"/>
        </w:rPr>
        <w:t>AI-thread close-out: governance/security notes, where AI accelerated design/build/delivery, and agentic tools in the team workflow</w:t>
      </w:r>
    </w:p>
    <w:p>
      <w:pPr>
        <w:pStyle w:val="ListParagraph"/>
        <w:spacing w:after="60"/>
      </w:pPr>
      <w:r>
        <w:rPr>
          <w:rFonts w:ascii="Aptos" w:hAnsi="Aptos" w:eastAsia="Aptos"/>
          <w:b w:val="0"/>
          <w:color w:val="010D18"/>
          <w:sz w:val="22"/>
        </w:rPr>
        <w:t>Defense packet: presentation deck (10–15 minutes plus Q&amp;A), demo script, evidence index, retrospective, individual reflection</w:t>
      </w:r>
    </w:p>
    <w:p>
      <w:pPr>
        <w:pStyle w:val="Heading2"/>
        <w:spacing w:before="280" w:after="120"/>
      </w:pPr>
      <w:r>
        <w:rPr>
          <w:rFonts w:ascii="Aptos Display" w:hAnsi="Aptos Display" w:eastAsia="Aptos Display"/>
          <w:b/>
          <w:color w:val="007698"/>
          <w:sz w:val="28"/>
        </w:rPr>
        <w:t>Working Assumptions and Guardrails</w:t>
      </w:r>
    </w:p>
    <w:p>
      <w:pPr>
        <w:pStyle w:val="ListParagraph"/>
        <w:spacing w:after="60"/>
      </w:pPr>
      <w:r>
        <w:rPr>
          <w:rFonts w:ascii="Aptos" w:hAnsi="Aptos" w:eastAsia="Aptos"/>
          <w:b w:val="0"/>
          <w:color w:val="010D18"/>
          <w:sz w:val="22"/>
        </w:rPr>
        <w:t>All credentials must use approved secret mechanisms—never plaintext in the repository</w:t>
      </w:r>
    </w:p>
    <w:p>
      <w:pPr>
        <w:pStyle w:val="ListParagraph"/>
        <w:spacing w:after="60"/>
      </w:pPr>
      <w:r>
        <w:rPr>
          <w:rFonts w:ascii="Aptos" w:hAnsi="Aptos" w:eastAsia="Aptos"/>
          <w:b w:val="0"/>
          <w:color w:val="010D18"/>
          <w:sz w:val="22"/>
        </w:rPr>
        <w:t>Synthetic data only (for example amina.khan@example.test); never real customer information</w:t>
      </w:r>
    </w:p>
    <w:p>
      <w:pPr>
        <w:pStyle w:val="ListParagraph"/>
        <w:spacing w:after="60"/>
      </w:pPr>
      <w:r>
        <w:rPr>
          <w:rFonts w:ascii="Aptos" w:hAnsi="Aptos" w:eastAsia="Aptos"/>
          <w:b w:val="0"/>
          <w:color w:val="010D18"/>
          <w:sz w:val="22"/>
        </w:rPr>
        <w:t>Any change executed during the demo must be reproducible from a clean clone using documented commands</w:t>
      </w:r>
    </w:p>
    <w:p>
      <w:pPr>
        <w:pStyle w:val="ListParagraph"/>
        <w:spacing w:after="60"/>
      </w:pPr>
      <w:r>
        <w:rPr>
          <w:rFonts w:ascii="Aptos" w:hAnsi="Aptos" w:eastAsia="Aptos"/>
          <w:b w:val="0"/>
          <w:color w:val="010D18"/>
          <w:sz w:val="22"/>
        </w:rPr>
        <w:t>Pairing and rotation are encouraged—every team member should be able to walk through any major part of the solution, including the Angular client and the OpenShift release path</w:t>
      </w:r>
    </w:p>
    <w:p>
      <w:pPr>
        <w:pStyle w:val="ListParagraph"/>
        <w:spacing w:after="60"/>
      </w:pPr>
      <w:r>
        <w:rPr>
          <w:rFonts w:ascii="Aptos" w:hAnsi="Aptos" w:eastAsia="Aptos"/>
          <w:b w:val="0"/>
          <w:color w:val="010D18"/>
          <w:sz w:val="22"/>
        </w:rPr>
        <w:t>Stop before destructive database or infrastructure actions and obtain instructor approval</w:t>
      </w:r>
    </w:p>
    <w:p>
      <w:pPr>
        <w:pStyle w:val="ListParagraph"/>
        <w:spacing w:after="60"/>
      </w:pPr>
      <w:r>
        <w:rPr>
          <w:rFonts w:ascii="Aptos" w:hAnsi="Aptos" w:eastAsia="Aptos"/>
          <w:b w:val="0"/>
          <w:color w:val="010D18"/>
          <w:sz w:val="22"/>
        </w:rPr>
        <w:t>Do not treat React, SOAP, Oracle, Bitbucket Pipelines, or laptop k3s/kubectl as the taught path</w:t>
      </w:r>
    </w:p>
    <w:p>
      <w:pPr>
        <w:spacing w:after="120" w:before="0"/>
      </w:pPr>
      <w:r>
        <w:rPr>
          <w:rFonts w:ascii="Aptos" w:hAnsi="Aptos" w:eastAsia="Aptos"/>
          <w:b w:val="0"/>
          <w:color w:val="010D18"/>
          <w:sz w:val="20"/>
        </w:rPr>
        <w:t>Related day-to-day guides: Labs 48–52 under labs/Week 6 - Capstone Project/. Evaluation uses Java_Angular_Fullstack_Capstone_Rubric.docx.</w:t>
      </w:r>
    </w:p>
    <w:sectPr w:rsidR="00FB5B43">
      <w:headerReference w:type="default" r:id="rId8"/>
      <w:footerReference w:type="default" r:id="rId9"/>
      <w:pgSz w:w="12240" w:h="15840"/>
      <w:pgMar w:top="1800" w:right="1440" w:bottom="1440" w:left="1440" w:header="36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FA250" w14:textId="77777777" w:rsidR="00B7250D" w:rsidRDefault="00B7250D">
      <w:r>
        <w:separator/>
      </w:r>
    </w:p>
  </w:endnote>
  <w:endnote w:type="continuationSeparator" w:id="0">
    <w:p w14:paraId="6E04C884" w14:textId="77777777" w:rsidR="00B7250D" w:rsidRDefault="00B72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FB8A" w14:textId="47058926" w:rsidR="00FB5B43" w:rsidRDefault="00CA1AD6">
    <w:pPr>
      <w:jc w:val="center"/>
    </w:pPr>
    <w:r>
      <w:rPr>
        <w:color w:val="007698"/>
        <w:sz w:val="16"/>
        <w:szCs w:val="16"/>
      </w:rPr>
      <w:t xml:space="preserve">TEKsystems Global Services | </w:t>
    </w:r>
    <w:r w:rsidR="00F2393A">
      <w:rPr>
        <w:color w:val="007698"/>
        <w:sz w:val="16"/>
        <w:szCs w:val="16"/>
      </w:rPr>
      <w:t>Java Software Engineer</w:t>
    </w:r>
    <w:r>
      <w:rPr>
        <w:color w:val="007698"/>
        <w:sz w:val="16"/>
        <w:szCs w:val="16"/>
      </w:rPr>
      <w:t xml:space="preserve"> Bootcamp Capstone</w:t>
    </w:r>
  </w:p>
  <w:p w14:paraId="1AD0FB8B" w14:textId="0BB834EE" w:rsidR="00FB5B43" w:rsidRDefault="00CA1AD6">
    <w:pPr>
      <w:spacing w:before="60"/>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A40FF4">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A40FF4">
      <w:rPr>
        <w:noProof/>
        <w:color w:val="777777"/>
        <w:sz w:val="16"/>
        <w:szCs w:val="16"/>
      </w:rPr>
      <w:t>6</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E8438" w14:textId="77777777" w:rsidR="00B7250D" w:rsidRDefault="00B7250D">
      <w:r>
        <w:separator/>
      </w:r>
    </w:p>
  </w:footnote>
  <w:footnote w:type="continuationSeparator" w:id="0">
    <w:p w14:paraId="6D9A0BCE" w14:textId="77777777" w:rsidR="00B7250D" w:rsidRDefault="00B72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FB89" w14:textId="77777777" w:rsidR="00FB5B43" w:rsidRDefault="00CA1AD6">
    <w:pPr>
      <w:jc w:val="center"/>
    </w:pPr>
    <w:r>
      <w:rPr>
        <w:noProof/>
      </w:rPr>
      <w:drawing>
        <wp:inline distT="0" distB="0" distL="0" distR="0" wp14:anchorId="60037649" wp14:editId="6003764A">
          <wp:extent cx="5829300" cy="685800"/>
          <wp:effectExtent l="0" t="0" r="0" b="0"/>
          <wp:docPr id="1837469709" name="tgsbanner" descr="TEKsystems Global Services banner" title="TG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8293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403D"/>
    <w:multiLevelType w:val="hybridMultilevel"/>
    <w:tmpl w:val="61B014A0"/>
    <w:lvl w:ilvl="0" w:tplc="9238D120">
      <w:start w:val="1"/>
      <w:numFmt w:val="bullet"/>
      <w:lvlText w:val="•"/>
      <w:lvlJc w:val="left"/>
      <w:pPr>
        <w:ind w:left="720" w:hanging="360"/>
      </w:pPr>
    </w:lvl>
    <w:lvl w:ilvl="1" w:tplc="3C5633F4">
      <w:numFmt w:val="decimal"/>
      <w:lvlText w:val=""/>
      <w:lvlJc w:val="left"/>
    </w:lvl>
    <w:lvl w:ilvl="2" w:tplc="9ED496BA">
      <w:numFmt w:val="decimal"/>
      <w:lvlText w:val=""/>
      <w:lvlJc w:val="left"/>
    </w:lvl>
    <w:lvl w:ilvl="3" w:tplc="F782C94E">
      <w:numFmt w:val="decimal"/>
      <w:lvlText w:val=""/>
      <w:lvlJc w:val="left"/>
    </w:lvl>
    <w:lvl w:ilvl="4" w:tplc="73C49D92">
      <w:numFmt w:val="decimal"/>
      <w:lvlText w:val=""/>
      <w:lvlJc w:val="left"/>
    </w:lvl>
    <w:lvl w:ilvl="5" w:tplc="6EE00A54">
      <w:numFmt w:val="decimal"/>
      <w:lvlText w:val=""/>
      <w:lvlJc w:val="left"/>
    </w:lvl>
    <w:lvl w:ilvl="6" w:tplc="990E2A8E">
      <w:numFmt w:val="decimal"/>
      <w:lvlText w:val=""/>
      <w:lvlJc w:val="left"/>
    </w:lvl>
    <w:lvl w:ilvl="7" w:tplc="E0280538">
      <w:numFmt w:val="decimal"/>
      <w:lvlText w:val=""/>
      <w:lvlJc w:val="left"/>
    </w:lvl>
    <w:lvl w:ilvl="8" w:tplc="98FC631E">
      <w:numFmt w:val="decimal"/>
      <w:lvlText w:val=""/>
      <w:lvlJc w:val="left"/>
    </w:lvl>
  </w:abstractNum>
  <w:abstractNum w:abstractNumId="1" w15:restartNumberingAfterBreak="0">
    <w:nsid w:val="0CBA7DB3"/>
    <w:multiLevelType w:val="hybridMultilevel"/>
    <w:tmpl w:val="2A509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A67360"/>
    <w:multiLevelType w:val="hybridMultilevel"/>
    <w:tmpl w:val="14B02C28"/>
    <w:lvl w:ilvl="0" w:tplc="687606BC">
      <w:start w:val="1"/>
      <w:numFmt w:val="bullet"/>
      <w:lvlText w:val="•"/>
      <w:lvlJc w:val="left"/>
      <w:pPr>
        <w:ind w:left="720" w:hanging="360"/>
      </w:pPr>
    </w:lvl>
    <w:lvl w:ilvl="1" w:tplc="DD90951E">
      <w:numFmt w:val="decimal"/>
      <w:lvlText w:val=""/>
      <w:lvlJc w:val="left"/>
    </w:lvl>
    <w:lvl w:ilvl="2" w:tplc="2F52D65C">
      <w:numFmt w:val="decimal"/>
      <w:lvlText w:val=""/>
      <w:lvlJc w:val="left"/>
    </w:lvl>
    <w:lvl w:ilvl="3" w:tplc="33B633D2">
      <w:numFmt w:val="decimal"/>
      <w:lvlText w:val=""/>
      <w:lvlJc w:val="left"/>
    </w:lvl>
    <w:lvl w:ilvl="4" w:tplc="8E945520">
      <w:numFmt w:val="decimal"/>
      <w:lvlText w:val=""/>
      <w:lvlJc w:val="left"/>
    </w:lvl>
    <w:lvl w:ilvl="5" w:tplc="4080E9CC">
      <w:numFmt w:val="decimal"/>
      <w:lvlText w:val=""/>
      <w:lvlJc w:val="left"/>
    </w:lvl>
    <w:lvl w:ilvl="6" w:tplc="D1A8D384">
      <w:numFmt w:val="decimal"/>
      <w:lvlText w:val=""/>
      <w:lvlJc w:val="left"/>
    </w:lvl>
    <w:lvl w:ilvl="7" w:tplc="24705A72">
      <w:numFmt w:val="decimal"/>
      <w:lvlText w:val=""/>
      <w:lvlJc w:val="left"/>
    </w:lvl>
    <w:lvl w:ilvl="8" w:tplc="25941892">
      <w:numFmt w:val="decimal"/>
      <w:lvlText w:val=""/>
      <w:lvlJc w:val="left"/>
    </w:lvl>
  </w:abstractNum>
  <w:abstractNum w:abstractNumId="3" w15:restartNumberingAfterBreak="0">
    <w:nsid w:val="198D6BAA"/>
    <w:multiLevelType w:val="hybridMultilevel"/>
    <w:tmpl w:val="53D81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7D15F4"/>
    <w:multiLevelType w:val="hybridMultilevel"/>
    <w:tmpl w:val="D7A42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4248C7"/>
    <w:multiLevelType w:val="hybridMultilevel"/>
    <w:tmpl w:val="615808A8"/>
    <w:lvl w:ilvl="0" w:tplc="55D2EFAE">
      <w:start w:val="1"/>
      <w:numFmt w:val="bullet"/>
      <w:lvlText w:val="●"/>
      <w:lvlJc w:val="left"/>
      <w:pPr>
        <w:ind w:left="720" w:hanging="360"/>
      </w:pPr>
    </w:lvl>
    <w:lvl w:ilvl="1" w:tplc="AED824A8">
      <w:start w:val="1"/>
      <w:numFmt w:val="bullet"/>
      <w:lvlText w:val="○"/>
      <w:lvlJc w:val="left"/>
      <w:pPr>
        <w:ind w:left="1440" w:hanging="360"/>
      </w:pPr>
    </w:lvl>
    <w:lvl w:ilvl="2" w:tplc="85F230DC">
      <w:start w:val="1"/>
      <w:numFmt w:val="bullet"/>
      <w:lvlText w:val="■"/>
      <w:lvlJc w:val="left"/>
      <w:pPr>
        <w:ind w:left="2160" w:hanging="360"/>
      </w:pPr>
    </w:lvl>
    <w:lvl w:ilvl="3" w:tplc="E7A40B82">
      <w:start w:val="1"/>
      <w:numFmt w:val="bullet"/>
      <w:lvlText w:val="●"/>
      <w:lvlJc w:val="left"/>
      <w:pPr>
        <w:ind w:left="2880" w:hanging="360"/>
      </w:pPr>
    </w:lvl>
    <w:lvl w:ilvl="4" w:tplc="D534B432">
      <w:start w:val="1"/>
      <w:numFmt w:val="bullet"/>
      <w:lvlText w:val="○"/>
      <w:lvlJc w:val="left"/>
      <w:pPr>
        <w:ind w:left="3600" w:hanging="360"/>
      </w:pPr>
    </w:lvl>
    <w:lvl w:ilvl="5" w:tplc="90603E60">
      <w:start w:val="1"/>
      <w:numFmt w:val="bullet"/>
      <w:lvlText w:val="■"/>
      <w:lvlJc w:val="left"/>
      <w:pPr>
        <w:ind w:left="4320" w:hanging="360"/>
      </w:pPr>
    </w:lvl>
    <w:lvl w:ilvl="6" w:tplc="448C2166">
      <w:start w:val="1"/>
      <w:numFmt w:val="bullet"/>
      <w:lvlText w:val="●"/>
      <w:lvlJc w:val="left"/>
      <w:pPr>
        <w:ind w:left="5040" w:hanging="360"/>
      </w:pPr>
    </w:lvl>
    <w:lvl w:ilvl="7" w:tplc="C46617E0">
      <w:start w:val="1"/>
      <w:numFmt w:val="bullet"/>
      <w:lvlText w:val="●"/>
      <w:lvlJc w:val="left"/>
      <w:pPr>
        <w:ind w:left="5760" w:hanging="360"/>
      </w:pPr>
    </w:lvl>
    <w:lvl w:ilvl="8" w:tplc="6142A728">
      <w:start w:val="1"/>
      <w:numFmt w:val="bullet"/>
      <w:lvlText w:val="●"/>
      <w:lvlJc w:val="left"/>
      <w:pPr>
        <w:ind w:left="6480" w:hanging="360"/>
      </w:pPr>
    </w:lvl>
  </w:abstractNum>
  <w:abstractNum w:abstractNumId="6" w15:restartNumberingAfterBreak="0">
    <w:nsid w:val="65664646"/>
    <w:multiLevelType w:val="hybridMultilevel"/>
    <w:tmpl w:val="407EB5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FD02AAA"/>
    <w:multiLevelType w:val="hybridMultilevel"/>
    <w:tmpl w:val="F34A1DC0"/>
    <w:lvl w:ilvl="0" w:tplc="9EBE4B22">
      <w:start w:val="1"/>
      <w:numFmt w:val="bullet"/>
      <w:lvlText w:val="●"/>
      <w:lvlJc w:val="left"/>
      <w:pPr>
        <w:ind w:left="720" w:hanging="360"/>
      </w:pPr>
    </w:lvl>
    <w:lvl w:ilvl="1" w:tplc="AFECA5EE">
      <w:start w:val="1"/>
      <w:numFmt w:val="bullet"/>
      <w:lvlText w:val="○"/>
      <w:lvlJc w:val="left"/>
      <w:pPr>
        <w:ind w:left="1440" w:hanging="360"/>
      </w:pPr>
    </w:lvl>
    <w:lvl w:ilvl="2" w:tplc="3DEAC150">
      <w:start w:val="1"/>
      <w:numFmt w:val="bullet"/>
      <w:lvlText w:val="■"/>
      <w:lvlJc w:val="left"/>
      <w:pPr>
        <w:ind w:left="2160" w:hanging="360"/>
      </w:pPr>
    </w:lvl>
    <w:lvl w:ilvl="3" w:tplc="BFF0EE7E">
      <w:start w:val="1"/>
      <w:numFmt w:val="bullet"/>
      <w:lvlText w:val="●"/>
      <w:lvlJc w:val="left"/>
      <w:pPr>
        <w:ind w:left="2880" w:hanging="360"/>
      </w:pPr>
    </w:lvl>
    <w:lvl w:ilvl="4" w:tplc="21D44D1E">
      <w:start w:val="1"/>
      <w:numFmt w:val="bullet"/>
      <w:lvlText w:val="○"/>
      <w:lvlJc w:val="left"/>
      <w:pPr>
        <w:ind w:left="3600" w:hanging="360"/>
      </w:pPr>
    </w:lvl>
    <w:lvl w:ilvl="5" w:tplc="EB7E08AC">
      <w:start w:val="1"/>
      <w:numFmt w:val="bullet"/>
      <w:lvlText w:val="■"/>
      <w:lvlJc w:val="left"/>
      <w:pPr>
        <w:ind w:left="4320" w:hanging="360"/>
      </w:pPr>
    </w:lvl>
    <w:lvl w:ilvl="6" w:tplc="F00205CE">
      <w:start w:val="1"/>
      <w:numFmt w:val="bullet"/>
      <w:lvlText w:val="●"/>
      <w:lvlJc w:val="left"/>
      <w:pPr>
        <w:ind w:left="5040" w:hanging="360"/>
      </w:pPr>
    </w:lvl>
    <w:lvl w:ilvl="7" w:tplc="ECEC9F30">
      <w:start w:val="1"/>
      <w:numFmt w:val="bullet"/>
      <w:lvlText w:val="●"/>
      <w:lvlJc w:val="left"/>
      <w:pPr>
        <w:ind w:left="5760" w:hanging="360"/>
      </w:pPr>
    </w:lvl>
    <w:lvl w:ilvl="8" w:tplc="8D58D27C">
      <w:start w:val="1"/>
      <w:numFmt w:val="bullet"/>
      <w:lvlText w:val="●"/>
      <w:lvlJc w:val="left"/>
      <w:pPr>
        <w:ind w:left="6480" w:hanging="360"/>
      </w:pPr>
    </w:lvl>
  </w:abstractNum>
  <w:num w:numId="1" w16cid:durableId="1989624732">
    <w:abstractNumId w:val="7"/>
    <w:lvlOverride w:ilvl="0">
      <w:startOverride w:val="1"/>
    </w:lvlOverride>
  </w:num>
  <w:num w:numId="2" w16cid:durableId="419521292">
    <w:abstractNumId w:val="2"/>
    <w:lvlOverride w:ilvl="0">
      <w:startOverride w:val="1"/>
    </w:lvlOverride>
  </w:num>
  <w:num w:numId="3" w16cid:durableId="509685787">
    <w:abstractNumId w:val="5"/>
    <w:lvlOverride w:ilvl="0">
      <w:startOverride w:val="1"/>
    </w:lvlOverride>
  </w:num>
  <w:num w:numId="4" w16cid:durableId="452601900">
    <w:abstractNumId w:val="0"/>
    <w:lvlOverride w:ilvl="0">
      <w:startOverride w:val="1"/>
    </w:lvlOverride>
  </w:num>
  <w:num w:numId="5" w16cid:durableId="334194056">
    <w:abstractNumId w:val="6"/>
  </w:num>
  <w:num w:numId="6" w16cid:durableId="1784303137">
    <w:abstractNumId w:val="3"/>
  </w:num>
  <w:num w:numId="7" w16cid:durableId="447966658">
    <w:abstractNumId w:val="1"/>
  </w:num>
  <w:num w:numId="8" w16cid:durableId="1899246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9F4"/>
    <w:rsid w:val="001D12B9"/>
    <w:rsid w:val="00294429"/>
    <w:rsid w:val="002A1157"/>
    <w:rsid w:val="002A59D4"/>
    <w:rsid w:val="003C7BA7"/>
    <w:rsid w:val="006141EC"/>
    <w:rsid w:val="00937B87"/>
    <w:rsid w:val="00A07CF0"/>
    <w:rsid w:val="00A40FF4"/>
    <w:rsid w:val="00B7250D"/>
    <w:rsid w:val="00CA1AD6"/>
    <w:rsid w:val="00CC39F4"/>
    <w:rsid w:val="00D76878"/>
    <w:rsid w:val="00D92F73"/>
    <w:rsid w:val="00DB35BE"/>
    <w:rsid w:val="00ED55A8"/>
    <w:rsid w:val="00F2393A"/>
    <w:rsid w:val="00FB5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0FB3C"/>
  <w15:docId w15:val="{0BB18A2B-DB18-1E4A-8B79-628CAADA3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21A32"/>
      <w:sz w:val="36"/>
      <w:szCs w:val="36"/>
    </w:rPr>
  </w:style>
  <w:style w:type="paragraph" w:styleId="Heading2">
    <w:name w:val="heading 2"/>
    <w:uiPriority w:val="9"/>
    <w:unhideWhenUsed/>
    <w:qFormat/>
    <w:pPr>
      <w:spacing w:before="280" w:after="140"/>
      <w:outlineLvl w:val="1"/>
    </w:pPr>
    <w:rPr>
      <w:b/>
      <w:bCs/>
      <w:color w:val="007698"/>
      <w:sz w:val="28"/>
      <w:szCs w:val="28"/>
    </w:rPr>
  </w:style>
  <w:style w:type="paragraph" w:styleId="Heading3">
    <w:name w:val="heading 3"/>
    <w:uiPriority w:val="9"/>
    <w:semiHidden/>
    <w:unhideWhenUsed/>
    <w:qFormat/>
    <w:pPr>
      <w:spacing w:before="200" w:after="100"/>
      <w:outlineLvl w:val="2"/>
    </w:pPr>
    <w:rPr>
      <w:b/>
      <w:bCs/>
      <w:color w:val="021A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7CF0"/>
    <w:pPr>
      <w:tabs>
        <w:tab w:val="center" w:pos="4680"/>
        <w:tab w:val="right" w:pos="9360"/>
      </w:tabs>
    </w:pPr>
  </w:style>
  <w:style w:type="character" w:customStyle="1" w:styleId="HeaderChar">
    <w:name w:val="Header Char"/>
    <w:basedOn w:val="DefaultParagraphFont"/>
    <w:link w:val="Header"/>
    <w:uiPriority w:val="99"/>
    <w:rsid w:val="00A07CF0"/>
  </w:style>
  <w:style w:type="paragraph" w:styleId="Footer">
    <w:name w:val="footer"/>
    <w:basedOn w:val="Normal"/>
    <w:link w:val="FooterChar"/>
    <w:uiPriority w:val="99"/>
    <w:unhideWhenUsed/>
    <w:rsid w:val="00A07CF0"/>
    <w:pPr>
      <w:tabs>
        <w:tab w:val="center" w:pos="4680"/>
        <w:tab w:val="right" w:pos="9360"/>
      </w:tabs>
    </w:pPr>
  </w:style>
  <w:style w:type="character" w:customStyle="1" w:styleId="FooterChar">
    <w:name w:val="Footer Char"/>
    <w:basedOn w:val="DefaultParagraphFont"/>
    <w:link w:val="Footer"/>
    <w:uiPriority w:val="99"/>
    <w:rsid w:val="00A07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1039</Words>
  <Characters>5925</Characters>
  <Application>Microsoft Office Word</Application>
  <DocSecurity>0</DocSecurity>
  <Lines>49</Lines>
  <Paragraphs>13</Paragraphs>
  <ScaleCrop>false</ScaleCrop>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Engineer Mainframe Bootcamp Capstone</dc:title>
  <dc:creator>TEKsystems Global Services</dc:creator>
  <cp:lastModifiedBy>Gurinderjeet Kaur</cp:lastModifiedBy>
  <cp:revision>10</cp:revision>
  <dcterms:created xsi:type="dcterms:W3CDTF">2026-05-16T00:43:00Z</dcterms:created>
  <dcterms:modified xsi:type="dcterms:W3CDTF">2026-07-14T20:44:00Z</dcterms:modified>
</cp:coreProperties>
</file>