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</w:p>
    <w:p>
      <w:pPr>
        <w:spacing w:before="0" w:after="120"/>
        <w:jc w:val="center"/>
      </w:pPr>
      <w:r>
        <w:rPr>
          <w:b/>
          <w:color w:val="007698"/>
          <w:sz w:val="36"/>
          <w:szCs w:val="36"/>
        </w:rPr>
        <w:t>Java &amp; Angular Fullstack Bootcamp</w:t>
      </w:r>
    </w:p>
    <w:p>
      <w:pPr>
        <w:spacing w:before="0" w:after="120"/>
        <w:jc w:val="center"/>
      </w:pPr>
      <w:r>
        <w:rPr>
          <w:color w:val="021A32"/>
          <w:sz w:val="28"/>
          <w:szCs w:val="28"/>
        </w:rPr>
        <w:t>Capstone Evaluation Rubric</w:t>
      </w:r>
    </w:p>
    <w:p>
      <w:pPr>
        <w:spacing w:before="800" w:after="80"/>
        <w:jc w:val="center"/>
      </w:pPr>
      <w:r>
        <w:rPr>
          <w:b/>
          <w:color w:val="021A32"/>
          <w:sz w:val="40"/>
          <w:szCs w:val="40"/>
        </w:rPr>
        <w:t>Delivering the CRM Platform: Architecture, Angular Full-Stack Build, Secure Release, and Defense</w:t>
      </w:r>
    </w:p>
    <w:p>
      <w:pPr>
        <w:spacing w:before="200" w:after="60"/>
        <w:jc w:val="center"/>
      </w:pPr>
      <w:r>
        <w:rPr>
          <w:i/>
          <w:color w:val="010D18"/>
          <w:sz w:val="24"/>
          <w:szCs w:val="24"/>
        </w:rPr>
        <w:t>Capstone Duration: 1 Week (Modules / Labs 48–52)  ·  AI Thread: AI in the Capstone</w:t>
      </w:r>
    </w:p>
    <w:p/>
    <w:p>
      <w:pPr>
        <w:spacing w:before="240" w:after="240"/>
      </w:pPr>
      <w:r>
        <w:rPr>
          <w:b/>
          <w:color w:val="021A32"/>
          <w:sz w:val="36"/>
          <w:szCs w:val="36"/>
        </w:rPr>
        <w:t>Capstone Evaluation Rubric</w:t>
      </w:r>
    </w:p>
    <w:p>
      <w:pPr>
        <w:pStyle w:val="Heading2"/>
      </w:pPr>
      <w:r>
        <w:t>Evaluation Overview</w:t>
      </w:r>
    </w:p>
    <w:p>
      <w:pPr>
        <w:spacing w:before="80" w:after="120" w:line="300" w:lineRule="auto"/>
      </w:pPr>
      <w:r>
        <w:t>This rubric is used to evaluate team capstone projects for the Java &amp; Angular Fullstack Bootcamp. Each team is scored on nine criteria spanning architecture, backend and messaging, Angular frontend and persistence, CI/CD and OpenShift deployment, testing and observability, demonstration and recovery, security, documentation (including the Week 6 AI thread), and presentation. Each criterion is rated on a four-point scale and weighted to produce a final score out of 4.00.</w:t>
      </w:r>
    </w:p>
    <w:p>
      <w:pPr>
        <w:spacing w:before="80" w:after="120" w:line="300" w:lineRule="auto"/>
      </w:pPr>
      <w:r>
        <w:t>Evaluators should anchor their scores to the descriptors in the rubric rather than to other teams. The descriptors are written so that a team can be Proficient by delivering competent, professional work—not by going beyond the assignment. Exemplary is reserved for work that an experienced full-stack Java and Angular engineer would be comfortable promoting toward a guarded production path.</w:t>
      </w:r>
    </w:p>
    <w:p>
      <w:pPr>
        <w:pStyle w:val="Heading2"/>
      </w:pPr>
      <w:r>
        <w:t>Scoring Scale</w:t>
      </w:r>
    </w:p>
    <w:p>
      <w:pPr>
        <w:pStyle w:val="ListParagraph"/>
        <w:spacing w:before="40" w:after="40" w:line="300" w:lineRule="auto"/>
      </w:pPr>
      <w:r>
        <w:t>4 — Exemplary: meets the criterion at a level appropriate for an experienced full-stack Java and Angular engineer.</w:t>
      </w:r>
    </w:p>
    <w:p>
      <w:pPr>
        <w:pStyle w:val="ListParagraph"/>
        <w:spacing w:before="40" w:after="40" w:line="300" w:lineRule="auto"/>
      </w:pPr>
      <w:r>
        <w:t>3 — Proficient: meets the criterion at a level appropriate for an early-career full-stack Java and Angular engineer.</w:t>
      </w:r>
    </w:p>
    <w:p>
      <w:pPr>
        <w:pStyle w:val="ListParagraph"/>
        <w:spacing w:before="40" w:after="40" w:line="300" w:lineRule="auto"/>
      </w:pPr>
      <w:r>
        <w:t>2 — Developing: partially meets the criterion; gaps that would need to be closed before production use.</w:t>
      </w:r>
    </w:p>
    <w:p>
      <w:pPr>
        <w:pStyle w:val="ListParagraph"/>
        <w:spacing w:before="40" w:after="40" w:line="300" w:lineRule="auto"/>
      </w:pPr>
      <w:r>
        <w:t>1 — Beginning: does not meet the criterion; significant rework required.</w:t>
      </w:r>
    </w:p>
    <w:p>
      <w:pPr>
        <w:spacing w:before="80" w:after="120" w:line="300" w:lineRule="auto"/>
      </w:pPr>
      <w:r>
        <w:t>A final score below 2.50 indicates the project does not meet the minimum bar for completion. A final score of 3.50 or above is presented to leadership as exemplary.</w:t>
      </w:r>
    </w:p>
    <w:p>
      <w:pPr>
        <w:pStyle w:val="Heading2"/>
      </w:pPr>
      <w:r>
        <w:t>Evaluation Criteria</w:t>
      </w:r>
    </w:p>
    <w:p>
      <w:pPr>
        <w:spacing w:before="80" w:after="120" w:line="300" w:lineRule="auto"/>
      </w:pPr>
      <w:r>
        <w:t>The following table defines the descriptors for each criterion across the four-point scale. Taught stack: Angular, REST / OpenAPI, Spring Boot, PostgreSQL, Kafka, GitHub Actions, OpenShift. React, SOAP, Oracle, Bitbucket Pipelines, and laptop k3s are not the taught path.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val="clear" w:color="auto" w:fill="021A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22"/>
                <w:szCs w:val="22"/>
              </w:rPr>
              <w:t>Criterion</w:t>
            </w:r>
          </w:p>
        </w:tc>
        <w:tc>
          <w:tcPr>
            <w:tcW w:type="dxa" w:w="1800"/>
            <w:shd w:val="clear" w:color="auto" w:fill="C5D92D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22"/>
                <w:szCs w:val="22"/>
              </w:rPr>
              <w:t>Exemplary (4)</w:t>
            </w:r>
          </w:p>
        </w:tc>
        <w:tc>
          <w:tcPr>
            <w:tcW w:type="dxa" w:w="1800"/>
            <w:shd w:val="clear" w:color="auto" w:fill="00769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22"/>
                <w:szCs w:val="22"/>
              </w:rPr>
              <w:t>Proficient (3)</w:t>
            </w:r>
          </w:p>
        </w:tc>
        <w:tc>
          <w:tcPr>
            <w:tcW w:type="dxa" w:w="1800"/>
            <w:shd w:val="clear" w:color="auto" w:fill="00A8D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22"/>
                <w:szCs w:val="22"/>
              </w:rPr>
              <w:t>Developing (2)</w:t>
            </w:r>
          </w:p>
        </w:tc>
        <w:tc>
          <w:tcPr>
            <w:tcW w:type="dxa" w:w="1800"/>
            <w:shd w:val="clear" w:color="auto" w:fill="021A32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22"/>
                <w:szCs w:val="22"/>
              </w:rPr>
              <w:t>Beginning (1)</w:t>
            </w:r>
          </w:p>
        </w:tc>
      </w:tr>
      <w:tr>
        <w:tc>
          <w:tcPr>
            <w:tcW w:type="dxa" w:w="216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Full-Stack Architecture &amp; Planning</w:t>
            </w:r>
          </w:p>
          <w:p>
            <w:r>
              <w:rPr>
                <w:rFonts w:ascii="Arial" w:hAnsi="Arial" w:cs="Arial" w:eastAsia="Arial"/>
                <w:i/>
                <w:color w:val="021A32"/>
                <w:sz w:val="20"/>
                <w:szCs w:val="20"/>
              </w:rPr>
              <w:t>Weight: 15%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Clear C4-style context/containers, measurable NFRs, ADRs, vertical backlog, risk register, and AI usage plan. Trust boundaries and REST contracts are explicit. Trade-offs justified. Diagrams match the Angular → REST → Spring Boot → PostgreSQL / Kafka / OpenShift implementation.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Sound architecture covering Angular, Spring Boot REST, PostgreSQL, Kafka, GitHub Actions, and OpenShift. Planning artifacts exist with minor gaps in measurability, AI governance, or justification.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Architecture works for a happy path but contracts/NFRs/risks are incomplete or loosely coupled across layers. Delivery path still names a non-taught stack (React, SOAP, Oracle, Bitbucket, or k3s).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Little coherent architecture. Backlog and ADRs missing or decorative. Layers appear as disconnected demos.</w:t>
            </w:r>
          </w:p>
        </w:tc>
      </w:tr>
      <w:tr>
        <w:tc>
          <w:tcPr>
            <w:tcW w:type="dxa" w:w="216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Backend Services &amp; Messaging</w:t>
            </w:r>
          </w:p>
          <w:p>
            <w:r>
              <w:rPr>
                <w:rFonts w:ascii="Arial" w:hAnsi="Arial" w:cs="Arial" w:eastAsia="Arial"/>
                <w:i/>
                <w:color w:val="021A32"/>
                <w:sz w:val="20"/>
                <w:szCs w:val="20"/>
              </w:rPr>
              <w:t>Weight: 20%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Idiomatic Spring Boot REST layering, OpenAPI/JSON contracts, validation, transactions, and JWT/RBAC. Versioned Kafka produce/consume with idempotency or DLT thinking. Tests and review evidence are production-credible.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Solid Spring Boot REST APIs and Kafka integration for the targeted slice. Most business rules live in the service layer. Automated tests cover key paths.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APIs exist but layering, validation, or messaging resilience is partial. Some logic remains in controllers or ad-hoc scripts. SOAP/XML still treated as the contract.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Minimal backend cohesion. Messaging missing or unsafe. Manual verification substitutes for automated proof.</w:t>
            </w:r>
          </w:p>
        </w:tc>
      </w:tr>
      <w:tr>
        <w:tc>
          <w:tcPr>
            <w:tcW w:type="dxa" w:w="216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Frontend &amp; Persistence</w:t>
            </w:r>
          </w:p>
          <w:p>
            <w:r>
              <w:rPr>
                <w:rFonts w:ascii="Arial" w:hAnsi="Arial" w:cs="Arial" w:eastAsia="Arial"/>
                <w:i/>
                <w:color w:val="021A32"/>
                <w:sz w:val="20"/>
                <w:szCs w:val="20"/>
              </w:rPr>
              <w:t>Weight: 15%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Accessible Angular journey wired through HttpClient and interceptors to Spring REST APIs with Signals/RxJS state and clear loading/error states. PostgreSQL persistence via Spring Data JPA and Flyway migrations is verified UI→DB. Synthetic fixtures used consistently.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Working Angular journey and PostgreSQL persistence for the demo path. Minor UX or migration gaps.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UI or persistence works in isolation; end-to-end data proof is incomplete or fragile. React or Oracle still appears as the taught path.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UI is stubbed or persistence is not durable. Little evidence of UI→DB verification.</w:t>
            </w:r>
          </w:p>
        </w:tc>
      </w:tr>
      <w:tr>
        <w:tc>
          <w:tcPr>
            <w:tcW w:type="dxa" w:w="216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CI/CD, Containers &amp; Deployment</w:t>
            </w:r>
          </w:p>
          <w:p>
            <w:r>
              <w:rPr>
                <w:rFonts w:ascii="Arial" w:hAnsi="Arial" w:cs="Arial" w:eastAsia="Arial"/>
                <w:i/>
                <w:color w:val="021A32"/>
                <w:sz w:val="20"/>
                <w:szCs w:val="20"/>
              </w:rPr>
              <w:t>Weight: 15%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End-to-end GitHub Actions pipeline with Java and Angular build/test/SAST (code scanning) gates, immutable image digest, OpenShift deploy, smoke checks, and documented rollback (oc). Pipeline is the intended path to change.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Working GitHub Actions pipeline and containerized OpenShift deploy of the CRM slice. Promotion and smoke evidence exist with minor gaps.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Pipeline or deploy exists but is bypassed for non-trivial changes, rollback is not evidenced, or Bitbucket/k3s is used as the taught path.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No working pipeline/deploy path, or deployment is decorative without smoke/rollback.</w:t>
            </w:r>
          </w:p>
        </w:tc>
      </w:tr>
      <w:tr>
        <w:tc>
          <w:tcPr>
            <w:tcW w:type="dxa" w:w="216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Testing &amp; Observability</w:t>
            </w:r>
          </w:p>
          <w:p>
            <w:r>
              <w:rPr>
                <w:rFonts w:ascii="Arial" w:hAnsi="Arial" w:cs="Arial" w:eastAsia="Arial"/>
                <w:i/>
                <w:color w:val="021A32"/>
                <w:sz w:val="20"/>
                <w:szCs w:val="20"/>
              </w:rPr>
              <w:t>Weight: 10%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Unit, integration, and Angular UI/smoke (Selenium as assigned) evidence answer operational questions. Correlation IDs, health/metrics/logs make happy and failure paths visible. Alerts or clear failure signals exist for at least one forced fault.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Useful automated tests and observability for the demo paths. Most important failures are visible.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Partial tests or observability for one layer only. Recovery confirmation still needs ad-hoc access.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Little automated testing or observability. Failures are noticed by presenters, not the platform.</w:t>
            </w:r>
          </w:p>
        </w:tc>
      </w:tr>
      <w:tr>
        <w:tc>
          <w:tcPr>
            <w:tcW w:type="dxa" w:w="216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Demonstration Scenario &amp; Recovery</w:t>
            </w:r>
          </w:p>
          <w:p>
            <w:r>
              <w:rPr>
                <w:rFonts w:ascii="Arial" w:hAnsi="Arial" w:cs="Arial" w:eastAsia="Arial"/>
                <w:i/>
                <w:color w:val="021A32"/>
                <w:sz w:val="20"/>
                <w:szCs w:val="20"/>
              </w:rPr>
              <w:t>Weight: 10%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Live demo executes the Angular agent journey, release evidence, injected failure, and code-driven recovery with confident narration across the team.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Demo completes workflow including failure injection and mostly code-driven recovery.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Happy path works; failure/recovery portion incomplete or partly manual.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Demo does not execute end-to-end, or recovery bypasses the automation that was built.</w:t>
            </w:r>
          </w:p>
        </w:tc>
      </w:tr>
      <w:tr>
        <w:tc>
          <w:tcPr>
            <w:tcW w:type="dxa" w:w="216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Security &amp; Operational Hygiene</w:t>
            </w:r>
          </w:p>
          <w:p>
            <w:r>
              <w:rPr>
                <w:rFonts w:ascii="Arial" w:hAnsi="Arial" w:cs="Arial" w:eastAsia="Arial"/>
                <w:i/>
                <w:color w:val="021A32"/>
                <w:sz w:val="20"/>
                <w:szCs w:val="20"/>
              </w:rPr>
              <w:t>Weight: 5%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Secrets only in approved mechanisms. Least-privilege roles. Negative auth tests. SAST/findings triaged. Angular is not treated as the security boundary. No secrets or real PII in Git or evidence packs. Clear audit from commit to change. AI-generated code reviewed for secret leakage.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Credentials and roles managed correctly. Most changes follow least privilege. Audit trail reasonably traceable.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Notable gaps in vaulting, role checks, scan triage, or AI secret review. Least privilege inconsistent.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Secrets or real PII in the repository/evidence. Over-privileged accounts or disabled controls for a green demo.</w:t>
            </w:r>
          </w:p>
        </w:tc>
      </w:tr>
      <w:tr>
        <w:tc>
          <w:tcPr>
            <w:tcW w:type="dxa" w:w="216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Documentation &amp; Repository Quality</w:t>
            </w:r>
          </w:p>
          <w:p>
            <w:r>
              <w:rPr>
                <w:rFonts w:ascii="Arial" w:hAnsi="Arial" w:cs="Arial" w:eastAsia="Arial"/>
                <w:i/>
                <w:color w:val="021A32"/>
                <w:sz w:val="20"/>
                <w:szCs w:val="20"/>
              </w:rPr>
              <w:t>Weight: 5%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README, architecture docs, runbooks, evidence index, and AI-thread close-out (governance, acceleration, agentic tools) are accurate and current. A new engineer could clone and reproduce from documentation alone.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Documentation is complete and reasonably clear. Repository is well organized with minor inconsistencies.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Basics covered but gaps or inaccuracies remain. Structure uneven. AI usage undocumented.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Documentation missing, outdated, or misleading. Repository hard to navigate.</w:t>
            </w:r>
          </w:p>
        </w:tc>
      </w:tr>
      <w:tr>
        <w:tc>
          <w:tcPr>
            <w:tcW w:type="dxa" w:w="216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Presentation &amp; Communication</w:t>
            </w:r>
          </w:p>
          <w:p>
            <w:r>
              <w:rPr>
                <w:rFonts w:ascii="Arial" w:hAnsi="Arial" w:cs="Arial" w:eastAsia="Arial"/>
                <w:i/>
                <w:color w:val="021A32"/>
                <w:sz w:val="20"/>
                <w:szCs w:val="20"/>
              </w:rPr>
              <w:t>Weight: 5%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Well-paced, audience-aware presentation. Trade-offs explained crisply, including Angular vs API security boundary and AI-assisted vs human-owned decisions. Q&amp;A handled with technical depth across the team. Retrospective and individual reflection present.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Clear, organized presentation. Most decisions explained. Q&amp;A handled well by most of the team.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Presentation conveys the work but is uneven. Some questions reveal gaps.</w:t>
            </w:r>
          </w:p>
        </w:tc>
        <w:tc>
          <w:tcPr>
            <w:tcW w:type="dxa" w:w="1800"/>
            <w:vAlign w:val="top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color w:val="021A32"/>
                <w:sz w:val="20"/>
                <w:szCs w:val="20"/>
              </w:rPr>
              <w:t>Presentation disorganized or shallow. Q&amp;A surfaces significant knowledge gaps.</w:t>
            </w:r>
          </w:p>
        </w:tc>
      </w:tr>
    </w:tbl>
    <w:p>
      <w:pPr>
        <w:pStyle w:val="Heading2"/>
      </w:pPr>
      <w:r>
        <w:t>Scoring Summary</w:t>
      </w:r>
    </w:p>
    <w:p>
      <w:pPr>
        <w:spacing w:before="80" w:after="120" w:line="300" w:lineRule="auto"/>
      </w:pPr>
      <w:r>
        <w:t>Use the table below to record the per-criterion score and compute the weighted total. The weighted score for each row is the raw score multiplied by the weight; the final score is the sum of the weighted scores divided by 100.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4752"/>
            <w:shd w:val="clear" w:color="auto" w:fill="00769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22"/>
                <w:szCs w:val="22"/>
              </w:rPr>
              <w:t>Criterion</w:t>
            </w:r>
          </w:p>
        </w:tc>
        <w:tc>
          <w:tcPr>
            <w:tcW w:type="dxa" w:w="1584"/>
            <w:shd w:val="clear" w:color="auto" w:fill="00769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22"/>
                <w:szCs w:val="22"/>
              </w:rPr>
              <w:t>Weight</w:t>
            </w:r>
          </w:p>
        </w:tc>
        <w:tc>
          <w:tcPr>
            <w:tcW w:type="dxa" w:w="1584"/>
            <w:shd w:val="clear" w:color="auto" w:fill="00769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22"/>
                <w:szCs w:val="22"/>
              </w:rPr>
              <w:t>Score (1–4)</w:t>
            </w:r>
          </w:p>
        </w:tc>
        <w:tc>
          <w:tcPr>
            <w:tcW w:type="dxa" w:w="1584"/>
            <w:shd w:val="clear" w:color="auto" w:fill="007698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left"/>
            </w:pPr>
            <w:r>
              <w:rPr>
                <w:rFonts w:ascii="Arial" w:hAnsi="Arial" w:cs="Arial" w:eastAsia="Arial"/>
                <w:b/>
                <w:color w:val="FFFFFF"/>
                <w:sz w:val="22"/>
                <w:szCs w:val="22"/>
              </w:rPr>
              <w:t>Weighted Score</w:t>
            </w:r>
          </w:p>
        </w:tc>
      </w:tr>
      <w:tr>
        <w:tc>
          <w:tcPr>
            <w:tcW w:type="dxa" w:w="4752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Full-Stack Architecture &amp; Planning</w:t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15%</w:t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</w:tr>
      <w:tr>
        <w:tc>
          <w:tcPr>
            <w:tcW w:type="dxa" w:w="4752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Backend Services &amp; Messaging</w:t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20%</w:t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</w:tr>
      <w:tr>
        <w:tc>
          <w:tcPr>
            <w:tcW w:type="dxa" w:w="4752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Frontend &amp; Persistence</w:t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15%</w:t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</w:tr>
      <w:tr>
        <w:tc>
          <w:tcPr>
            <w:tcW w:type="dxa" w:w="4752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CI/CD, Containers &amp; Deployment</w:t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15%</w:t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</w:tr>
      <w:tr>
        <w:tc>
          <w:tcPr>
            <w:tcW w:type="dxa" w:w="4752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Testing &amp; Observability</w:t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10%</w:t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</w:tr>
      <w:tr>
        <w:tc>
          <w:tcPr>
            <w:tcW w:type="dxa" w:w="4752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Demonstration Scenario &amp; Recovery</w:t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10%</w:t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</w:tr>
      <w:tr>
        <w:tc>
          <w:tcPr>
            <w:tcW w:type="dxa" w:w="4752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Security &amp; Operational Hygiene</w:t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5%</w:t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</w:tr>
      <w:tr>
        <w:tc>
          <w:tcPr>
            <w:tcW w:type="dxa" w:w="4752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Documentation &amp; Repository Quality</w:t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5%</w:t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</w:tr>
      <w:tr>
        <w:tc>
          <w:tcPr>
            <w:tcW w:type="dxa" w:w="4752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Presentation &amp; Communication</w:t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5%</w:t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  <w:tc>
          <w:tcPr>
            <w:tcW w:type="dxa" w:w="1584"/>
            <w:shd w:val="clear" w:color="auto" w:fill="F4F8FA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</w:tr>
      <w:tr>
        <w:tc>
          <w:tcPr>
            <w:tcW w:type="dxa" w:w="4752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Total</w:t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  <w:t>100%</w:t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  <w:tc>
          <w:tcPr>
            <w:tcW w:type="dxa" w:w="1584"/>
            <w:shd w:val="clear" w:color="auto" w:fill="FFFFFF"/>
            <w:vAlign w:val="center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jc w:val="center"/>
            </w:pPr>
            <w:r>
              <w:rPr>
                <w:rFonts w:ascii="Arial" w:hAnsi="Arial" w:cs="Arial" w:eastAsia="Arial"/>
                <w:b/>
                <w:color w:val="021A32"/>
                <w:sz w:val="22"/>
                <w:szCs w:val="22"/>
              </w:rPr>
            </w:r>
          </w:p>
        </w:tc>
      </w:tr>
    </w:tbl>
    <w:p>
      <w:pPr>
        <w:pStyle w:val="Heading2"/>
      </w:pPr>
      <w:r>
        <w:t>Final Score and Determination</w:t>
      </w:r>
    </w:p>
    <w:p>
      <w:pPr>
        <w:spacing w:before="120" w:after="120" w:line="240" w:lineRule="auto"/>
      </w:pPr>
      <w:r>
        <w:t>Final score: ____________ / 4.00</w:t>
      </w:r>
    </w:p>
    <w:p>
      <w:pPr>
        <w:spacing w:before="120" w:after="120" w:line="240" w:lineRule="auto"/>
      </w:pPr>
      <w:r>
        <w:t>Determination (circle one):     Exemplary (≥ 3.50)     Proficient (2.50 – 3.49)     Developing (1.50 – 2.49)     Beginning (&lt; 1.50)</w:t>
      </w:r>
    </w:p>
    <w:p>
      <w:pPr>
        <w:pStyle w:val="Heading2"/>
      </w:pPr>
      <w:r>
        <w:t>Evaluator Notes</w:t>
      </w:r>
    </w:p>
    <w:p>
      <w:pPr>
        <w:spacing w:before="80" w:after="120" w:line="300" w:lineRule="auto"/>
      </w:pPr>
      <w:r>
        <w:t>Use the space below to record strengths, gaps, and recommended next steps for the team. Specific examples — file paths, Angular screens, GitHub Actions runs, OpenShift Routes, observed correlation IDs — are more useful than general remarks.</w:t>
      </w:r>
    </w:p>
    <w:p>
      <w:pPr>
        <w:spacing w:before="120" w:after="80" w:line="240" w:lineRule="auto"/>
      </w:pPr>
      <w:r>
        <w:rPr>
          <w:b/>
          <w:color w:val="021A32"/>
        </w:rPr>
        <w:t>Strengths:</w:t>
      </w:r>
    </w:p>
    <w:p>
      <w:pPr>
        <w:spacing w:before="80" w:after="80" w:line="240" w:lineRule="auto"/>
      </w:pPr>
      <w:r>
        <w:t>________________________________________________________________________________________</w:t>
      </w:r>
    </w:p>
    <w:p>
      <w:pPr>
        <w:spacing w:before="80" w:after="80" w:line="240" w:lineRule="auto"/>
      </w:pPr>
      <w:r>
        <w:t>________________________________________________________________________________________</w:t>
      </w:r>
    </w:p>
    <w:p>
      <w:pPr>
        <w:spacing w:before="80" w:after="80" w:line="240" w:lineRule="auto"/>
      </w:pPr>
      <w:r>
        <w:t>________________________________________________________________________________________</w:t>
      </w:r>
    </w:p>
    <w:p>
      <w:pPr>
        <w:spacing w:before="120" w:after="80" w:line="240" w:lineRule="auto"/>
      </w:pPr>
      <w:r>
        <w:rPr>
          <w:b/>
          <w:color w:val="021A32"/>
        </w:rPr>
        <w:t>Areas for Growth:</w:t>
      </w:r>
    </w:p>
    <w:p>
      <w:pPr>
        <w:spacing w:before="80" w:after="80" w:line="240" w:lineRule="auto"/>
      </w:pPr>
      <w:r>
        <w:t>________________________________________________________________________________________</w:t>
      </w:r>
    </w:p>
    <w:p>
      <w:pPr>
        <w:spacing w:before="80" w:after="80" w:line="240" w:lineRule="auto"/>
      </w:pPr>
      <w:r>
        <w:t>________________________________________________________________________________________</w:t>
      </w:r>
    </w:p>
    <w:p>
      <w:pPr>
        <w:spacing w:before="80" w:after="80" w:line="240" w:lineRule="auto"/>
      </w:pPr>
      <w:r>
        <w:t>________________________________________________________________________________________</w:t>
      </w:r>
    </w:p>
    <w:p>
      <w:pPr>
        <w:spacing w:before="120" w:after="80" w:line="240" w:lineRule="auto"/>
      </w:pPr>
      <w:r>
        <w:rPr>
          <w:b/>
          <w:color w:val="021A32"/>
        </w:rPr>
        <w:t>Recommended Next Steps:</w:t>
      </w:r>
    </w:p>
    <w:p>
      <w:pPr>
        <w:spacing w:before="80" w:after="80" w:line="240" w:lineRule="auto"/>
      </w:pPr>
      <w:r>
        <w:t>________________________________________________________________________________________</w:t>
      </w:r>
    </w:p>
    <w:p>
      <w:pPr>
        <w:spacing w:before="80" w:after="80" w:line="240" w:lineRule="auto"/>
      </w:pPr>
      <w:r>
        <w:t>________________________________________________________________________________________</w:t>
      </w:r>
    </w:p>
    <w:p>
      <w:pPr>
        <w:spacing w:before="80" w:after="80" w:line="240" w:lineRule="auto"/>
      </w:pPr>
      <w:r>
        <w:t>________________________________________________________________________________________</w:t>
      </w:r>
    </w:p>
    <w:p>
      <w:pPr>
        <w:pStyle w:val="Heading2"/>
      </w:pPr>
      <w:r>
        <w:t>Evaluator Information</w:t>
      </w:r>
    </w:p>
    <w:p>
      <w:pPr>
        <w:spacing w:before="80" w:after="80" w:line="240" w:lineRule="auto"/>
      </w:pPr>
      <w:r>
        <w:t>Team Name: ________________________________________________________________</w:t>
      </w:r>
    </w:p>
    <w:p>
      <w:pPr>
        <w:spacing w:before="80" w:after="80" w:line="240" w:lineRule="auto"/>
      </w:pPr>
      <w:r>
        <w:t>Team Members: ________________________________________________________________</w:t>
      </w:r>
    </w:p>
    <w:p>
      <w:pPr>
        <w:spacing w:before="80" w:after="80" w:line="240" w:lineRule="auto"/>
      </w:pPr>
      <w:r>
        <w:t>Evaluator Name: ________________________________________________________________</w:t>
      </w:r>
    </w:p>
    <w:p>
      <w:pPr>
        <w:spacing w:before="80" w:after="80" w:line="240" w:lineRule="auto"/>
      </w:pPr>
      <w:r>
        <w:t>Evaluator Role: ________________________________________________________________</w:t>
      </w:r>
    </w:p>
    <w:p>
      <w:pPr>
        <w:spacing w:before="80" w:after="80" w:line="240" w:lineRule="auto"/>
      </w:pPr>
      <w:r>
        <w:t>Date of Evaluation: ________________________________________________________________</w:t>
      </w:r>
    </w:p>
    <w:p>
      <w:pPr>
        <w:spacing w:before="80" w:after="80" w:line="240" w:lineRule="auto"/>
      </w:pPr>
      <w:r>
        <w:t>Evaluator Signature: ________________________________________________________________</w:t>
      </w:r>
    </w:p>
    <w:p>
      <w:pPr>
        <w:pStyle w:val="Heading2"/>
      </w:pPr>
      <w:r>
        <w:t>Mapping to Week 6 Labs</w:t>
      </w:r>
    </w:p>
    <w:p>
      <w:pPr>
        <w:spacing w:before="80" w:after="120" w:line="300" w:lineRule="auto"/>
      </w:pPr>
      <w:r>
        <w:t>This weighted rubric evaluates the integrated Week 6 outcome for the Java &amp; Angular Fullstack Bootcamp. Day-to-day coaching may still use the 100-point per-lab checklist in Labs 48–52; Lab 52 self-score should reconcile to this final determination using the evidence index. The Week 6 AI Thread (AI in the Capstone) is scored inside Architecture &amp; Planning, Documentation, Security, and Presentation—not as a tenth criterion.</w:t>
      </w:r>
    </w:p>
    <w:sectPr w:rsidR="00AB7073">
      <w:headerReference w:type="default" r:id="rId8"/>
      <w:footerReference w:type="default" r:id="rId9"/>
      <w:pgSz w:w="12240" w:h="15840"/>
      <w:pgMar w:top="1800" w:right="1440" w:bottom="1440" w:left="1440" w:header="360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E8BAD2" w14:textId="77777777" w:rsidR="00B87965" w:rsidRDefault="00B87965">
      <w:r>
        <w:separator/>
      </w:r>
    </w:p>
  </w:endnote>
  <w:endnote w:type="continuationSeparator" w:id="0">
    <w:p w14:paraId="51A83D89" w14:textId="77777777" w:rsidR="00B87965" w:rsidRDefault="00B879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67447" w14:textId="0A3DB2F3" w:rsidR="00AB7073" w:rsidRDefault="00000000">
    <w:pPr>
      <w:spacing w:after="40"/>
      <w:jc w:val="center"/>
    </w:pPr>
    <w:r>
      <w:rPr>
        <w:color w:val="007698"/>
        <w:sz w:val="18"/>
        <w:szCs w:val="18"/>
      </w:rPr>
      <w:t xml:space="preserve">TEKsystems Global Services | </w:t>
    </w:r>
    <w:r w:rsidR="00C726BE">
      <w:rPr>
        <w:color w:val="007698"/>
        <w:sz w:val="18"/>
        <w:szCs w:val="18"/>
      </w:rPr>
      <w:t>Java Software Engineer</w:t>
    </w:r>
    <w:r>
      <w:rPr>
        <w:color w:val="007698"/>
        <w:sz w:val="18"/>
        <w:szCs w:val="18"/>
      </w:rPr>
      <w:t xml:space="preserve"> Bootcamp Capstone Rubric</w:t>
    </w:r>
  </w:p>
  <w:p w14:paraId="44B794AB" w14:textId="77777777" w:rsidR="00AB7073" w:rsidRDefault="00000000"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C726BE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  <w:r>
      <w:rPr>
        <w:color w:val="777777"/>
        <w:sz w:val="16"/>
        <w:szCs w:val="16"/>
      </w:rPr>
      <w:t xml:space="preserve"> of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NUMPAGES</w:instrText>
    </w:r>
    <w:r>
      <w:rPr>
        <w:color w:val="777777"/>
        <w:sz w:val="16"/>
        <w:szCs w:val="16"/>
      </w:rPr>
      <w:fldChar w:fldCharType="separate"/>
    </w:r>
    <w:r w:rsidR="00C726BE">
      <w:rPr>
        <w:noProof/>
        <w:color w:val="777777"/>
        <w:sz w:val="16"/>
        <w:szCs w:val="16"/>
      </w:rPr>
      <w:t>2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710C9" w14:textId="77777777" w:rsidR="00B87965" w:rsidRDefault="00B87965">
      <w:r>
        <w:separator/>
      </w:r>
    </w:p>
  </w:footnote>
  <w:footnote w:type="continuationSeparator" w:id="0">
    <w:p w14:paraId="01066EAF" w14:textId="77777777" w:rsidR="00B87965" w:rsidRDefault="00B879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2F615F" w14:textId="77777777" w:rsidR="00AB7073" w:rsidRDefault="00000000">
    <w:pPr>
      <w:jc w:val="center"/>
    </w:pPr>
    <w:r>
      <w:rPr>
        <w:noProof/>
      </w:rPr>
      <w:drawing>
        <wp:inline distT="0" distB="0" distL="0" distR="0" wp14:anchorId="39FDC0B0" wp14:editId="56D5E71E">
          <wp:extent cx="5857875" cy="685800"/>
          <wp:effectExtent l="0" t="0" r="0" b="0"/>
          <wp:docPr id="1638986584" name="banner" descr="TEKsystems Global Services banner" title="TGS banne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857875" cy="685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20ED1"/>
    <w:multiLevelType w:val="hybridMultilevel"/>
    <w:tmpl w:val="1FF418C2"/>
    <w:lvl w:ilvl="0" w:tplc="0D0E35C4">
      <w:start w:val="1"/>
      <w:numFmt w:val="bullet"/>
      <w:lvlText w:val="•"/>
      <w:lvlJc w:val="left"/>
      <w:pPr>
        <w:ind w:left="720" w:hanging="360"/>
      </w:pPr>
    </w:lvl>
    <w:lvl w:ilvl="1" w:tplc="1D1C3942">
      <w:numFmt w:val="decimal"/>
      <w:lvlText w:val=""/>
      <w:lvlJc w:val="left"/>
    </w:lvl>
    <w:lvl w:ilvl="2" w:tplc="0C4AF8C2">
      <w:numFmt w:val="decimal"/>
      <w:lvlText w:val=""/>
      <w:lvlJc w:val="left"/>
    </w:lvl>
    <w:lvl w:ilvl="3" w:tplc="F1F259D4">
      <w:numFmt w:val="decimal"/>
      <w:lvlText w:val=""/>
      <w:lvlJc w:val="left"/>
    </w:lvl>
    <w:lvl w:ilvl="4" w:tplc="A8BE2F80">
      <w:numFmt w:val="decimal"/>
      <w:lvlText w:val=""/>
      <w:lvlJc w:val="left"/>
    </w:lvl>
    <w:lvl w:ilvl="5" w:tplc="8806BC7A">
      <w:numFmt w:val="decimal"/>
      <w:lvlText w:val=""/>
      <w:lvlJc w:val="left"/>
    </w:lvl>
    <w:lvl w:ilvl="6" w:tplc="1B785392">
      <w:numFmt w:val="decimal"/>
      <w:lvlText w:val=""/>
      <w:lvlJc w:val="left"/>
    </w:lvl>
    <w:lvl w:ilvl="7" w:tplc="797290B6">
      <w:numFmt w:val="decimal"/>
      <w:lvlText w:val=""/>
      <w:lvlJc w:val="left"/>
    </w:lvl>
    <w:lvl w:ilvl="8" w:tplc="1B1C53C0">
      <w:numFmt w:val="decimal"/>
      <w:lvlText w:val=""/>
      <w:lvlJc w:val="left"/>
    </w:lvl>
  </w:abstractNum>
  <w:abstractNum w:abstractNumId="1" w15:restartNumberingAfterBreak="0">
    <w:nsid w:val="2E827C3A"/>
    <w:multiLevelType w:val="hybridMultilevel"/>
    <w:tmpl w:val="066A733E"/>
    <w:lvl w:ilvl="0" w:tplc="94CCED4A">
      <w:start w:val="1"/>
      <w:numFmt w:val="bullet"/>
      <w:lvlText w:val="●"/>
      <w:lvlJc w:val="left"/>
      <w:pPr>
        <w:ind w:left="720" w:hanging="360"/>
      </w:pPr>
    </w:lvl>
    <w:lvl w:ilvl="1" w:tplc="ED28D24A">
      <w:start w:val="1"/>
      <w:numFmt w:val="bullet"/>
      <w:lvlText w:val="○"/>
      <w:lvlJc w:val="left"/>
      <w:pPr>
        <w:ind w:left="1440" w:hanging="360"/>
      </w:pPr>
    </w:lvl>
    <w:lvl w:ilvl="2" w:tplc="E0780956">
      <w:start w:val="1"/>
      <w:numFmt w:val="bullet"/>
      <w:lvlText w:val="■"/>
      <w:lvlJc w:val="left"/>
      <w:pPr>
        <w:ind w:left="2160" w:hanging="360"/>
      </w:pPr>
    </w:lvl>
    <w:lvl w:ilvl="3" w:tplc="94C6D5B8">
      <w:start w:val="1"/>
      <w:numFmt w:val="bullet"/>
      <w:lvlText w:val="●"/>
      <w:lvlJc w:val="left"/>
      <w:pPr>
        <w:ind w:left="2880" w:hanging="360"/>
      </w:pPr>
    </w:lvl>
    <w:lvl w:ilvl="4" w:tplc="9F5E653E">
      <w:start w:val="1"/>
      <w:numFmt w:val="bullet"/>
      <w:lvlText w:val="○"/>
      <w:lvlJc w:val="left"/>
      <w:pPr>
        <w:ind w:left="3600" w:hanging="360"/>
      </w:pPr>
    </w:lvl>
    <w:lvl w:ilvl="5" w:tplc="68CA70DA">
      <w:start w:val="1"/>
      <w:numFmt w:val="bullet"/>
      <w:lvlText w:val="■"/>
      <w:lvlJc w:val="left"/>
      <w:pPr>
        <w:ind w:left="4320" w:hanging="360"/>
      </w:pPr>
    </w:lvl>
    <w:lvl w:ilvl="6" w:tplc="EE724110">
      <w:start w:val="1"/>
      <w:numFmt w:val="bullet"/>
      <w:lvlText w:val="●"/>
      <w:lvlJc w:val="left"/>
      <w:pPr>
        <w:ind w:left="5040" w:hanging="360"/>
      </w:pPr>
    </w:lvl>
    <w:lvl w:ilvl="7" w:tplc="51F48FD2">
      <w:start w:val="1"/>
      <w:numFmt w:val="bullet"/>
      <w:lvlText w:val="●"/>
      <w:lvlJc w:val="left"/>
      <w:pPr>
        <w:ind w:left="5760" w:hanging="360"/>
      </w:pPr>
    </w:lvl>
    <w:lvl w:ilvl="8" w:tplc="EC4CB372">
      <w:start w:val="1"/>
      <w:numFmt w:val="bullet"/>
      <w:lvlText w:val="●"/>
      <w:lvlJc w:val="left"/>
      <w:pPr>
        <w:ind w:left="6480" w:hanging="360"/>
      </w:pPr>
    </w:lvl>
  </w:abstractNum>
  <w:num w:numId="1" w16cid:durableId="720983353">
    <w:abstractNumId w:val="1"/>
    <w:lvlOverride w:ilvl="0">
      <w:startOverride w:val="1"/>
    </w:lvlOverride>
  </w:num>
  <w:num w:numId="2" w16cid:durableId="2359378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7073"/>
    <w:rsid w:val="00100A16"/>
    <w:rsid w:val="00464BB2"/>
    <w:rsid w:val="005A72FA"/>
    <w:rsid w:val="006B10FA"/>
    <w:rsid w:val="00791080"/>
    <w:rsid w:val="00A13B07"/>
    <w:rsid w:val="00A22B3D"/>
    <w:rsid w:val="00AB7073"/>
    <w:rsid w:val="00B4755E"/>
    <w:rsid w:val="00B87965"/>
    <w:rsid w:val="00C726BE"/>
    <w:rsid w:val="00C8283F"/>
    <w:rsid w:val="00FE5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99657"/>
  <w15:docId w15:val="{1B9D00E3-7DE3-4E3C-B73D-74CAC5A33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007698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726B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726BE"/>
  </w:style>
  <w:style w:type="paragraph" w:styleId="Footer">
    <w:name w:val="footer"/>
    <w:basedOn w:val="Normal"/>
    <w:link w:val="FooterChar"/>
    <w:uiPriority w:val="99"/>
    <w:unhideWhenUsed/>
    <w:rsid w:val="00C726B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72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1347</Words>
  <Characters>7684</Characters>
  <Application>Microsoft Office Word</Application>
  <DocSecurity>0</DocSecurity>
  <Lines>64</Lines>
  <Paragraphs>18</Paragraphs>
  <ScaleCrop>false</ScaleCrop>
  <Company/>
  <LinksUpToDate>false</LinksUpToDate>
  <CharactersWithSpaces>9013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Platform Engineer Networking Bootcamp Capstone Rubric</dc:title>
  <dc:creator>TEKsystems Global Services</dc:creator>
  <cp:lastModifiedBy>Gurinderjeet Kaur</cp:lastModifiedBy>
  <cp:revision>7</cp:revision>
  <dcterms:created xsi:type="dcterms:W3CDTF">2026-05-17T19:54:00Z</dcterms:created>
  <dcterms:modified xsi:type="dcterms:W3CDTF">2026-07-14T21:46:00Z</dcterms:modified>
</cp:coreProperties>
</file>