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p>
    <w:p>
      <w:pPr>
        <w:spacing w:before="0" w:after="120"/>
        <w:jc w:val="center"/>
      </w:pPr>
      <w:r>
        <w:rPr>
          <w:b/>
          <w:color w:val="007698"/>
          <w:sz w:val="36"/>
          <w:szCs w:val="36"/>
        </w:rPr>
        <w:t>Java Software Engineer Bootcamp</w:t>
      </w:r>
    </w:p>
    <w:p>
      <w:pPr>
        <w:spacing w:before="0" w:after="120"/>
        <w:jc w:val="center"/>
      </w:pPr>
      <w:r>
        <w:rPr>
          <w:color w:val="021A32"/>
          <w:sz w:val="28"/>
          <w:szCs w:val="28"/>
        </w:rPr>
        <w:t>Capstone Evaluation Rubric</w:t>
      </w:r>
    </w:p>
    <w:p>
      <w:pPr>
        <w:spacing w:before="800" w:after="80"/>
        <w:jc w:val="center"/>
      </w:pPr>
      <w:r>
        <w:rPr>
          <w:b/>
          <w:color w:val="021A32"/>
          <w:sz w:val="40"/>
          <w:szCs w:val="40"/>
        </w:rPr>
        <w:t>Delivering the CRM Platform: Architecture, Full-Stack Build, Secure Release, and Defense</w:t>
      </w:r>
    </w:p>
    <w:p>
      <w:pPr>
        <w:spacing w:before="200" w:after="60"/>
        <w:jc w:val="center"/>
      </w:pPr>
      <w:r>
        <w:rPr>
          <w:i/>
          <w:color w:val="010D18"/>
          <w:sz w:val="24"/>
          <w:szCs w:val="24"/>
        </w:rPr>
        <w:t>Capstone Duration: 1 Week (Modules / Labs 48–52)</w:t>
      </w:r>
    </w:p>
    <w:p/>
    <w:p>
      <w:pPr>
        <w:spacing w:before="240" w:after="240"/>
      </w:pPr>
      <w:r>
        <w:rPr>
          <w:b/>
          <w:color w:val="021A32"/>
          <w:sz w:val="36"/>
          <w:szCs w:val="36"/>
        </w:rPr>
        <w:t>Capstone Evaluation Rubric</w:t>
      </w:r>
    </w:p>
    <w:p>
      <w:pPr>
        <w:pStyle w:val="Heading2"/>
      </w:pPr>
      <w:r>
        <w:t>Evaluation Overview</w:t>
      </w:r>
    </w:p>
    <w:p>
      <w:pPr>
        <w:spacing w:before="80" w:after="120" w:line="300" w:lineRule="auto"/>
      </w:pPr>
      <w:r>
        <w:t>This rubric is used to evaluate team capstone projects for the Java Software Engineer Bootcamp. Each team is scored on nine criteria spanning architecture, backend and messaging, frontend and persistence, CI/CD and deployment, testing and observability, demonstration and recovery, security, documentation, and presentation. Each criterion is rated on a four-point scale and weighted to produce a final score out of 4.00.</w:t>
      </w:r>
    </w:p>
    <w:p>
      <w:pPr>
        <w:spacing w:before="80" w:after="120" w:line="300" w:lineRule="auto"/>
      </w:pPr>
      <w:r>
        <w:t>Evaluators should anchor their scores to the descriptors in the rubric rather than to other teams. The descriptors are written so that a team can be Proficient by delivering competent, professional work—not by going beyond the assignment. Exemplary is reserved for work that an experienced Java software engineer would be comfortable promoting toward a guarded production path.</w:t>
      </w:r>
    </w:p>
    <w:p>
      <w:pPr>
        <w:pStyle w:val="Heading2"/>
      </w:pPr>
      <w:r>
        <w:t>Scoring Scale</w:t>
      </w:r>
    </w:p>
    <w:p>
      <w:pPr>
        <w:pStyle w:val="ListParagraph"/>
        <w:spacing w:before="40" w:after="40" w:line="300" w:lineRule="auto"/>
      </w:pPr>
      <w:r>
        <w:t>4 — Exemplary: meets the criterion at a level appropriate for an experienced Java software engineer.</w:t>
      </w:r>
    </w:p>
    <w:p>
      <w:pPr>
        <w:pStyle w:val="ListParagraph"/>
        <w:spacing w:before="40" w:after="40" w:line="300" w:lineRule="auto"/>
      </w:pPr>
      <w:r>
        <w:t>3 — Proficient: meets the criterion at a level appropriate for an early-career Java software engineer.</w:t>
      </w:r>
    </w:p>
    <w:p>
      <w:pPr>
        <w:pStyle w:val="ListParagraph"/>
        <w:spacing w:before="40" w:after="40" w:line="300" w:lineRule="auto"/>
      </w:pPr>
      <w:r>
        <w:t>2 — Developing: partially meets the criterion; gaps that would need to be closed before production use.</w:t>
      </w:r>
    </w:p>
    <w:p>
      <w:pPr>
        <w:pStyle w:val="ListParagraph"/>
        <w:spacing w:before="40" w:after="40" w:line="300" w:lineRule="auto"/>
      </w:pPr>
      <w:r>
        <w:t>1 — Beginning: does not meet the criterion; significant rework required.</w:t>
      </w:r>
    </w:p>
    <w:p>
      <w:pPr>
        <w:spacing w:before="80" w:after="120" w:line="300" w:lineRule="auto"/>
      </w:pPr>
      <w:r>
        <w:t>A final score below 2.50 indicates the project does not meet the minimum bar for completion. A final score of 3.50 or above is presented to leadership as exemplary.</w:t>
      </w:r>
    </w:p>
    <w:p>
      <w:pPr>
        <w:pStyle w:val="Heading2"/>
      </w:pPr>
      <w:r>
        <w:t>Evaluation Criteria</w:t>
      </w:r>
    </w:p>
    <w:p>
      <w:pPr>
        <w:spacing w:before="80" w:after="120" w:line="300" w:lineRule="auto"/>
      </w:pPr>
      <w:r>
        <w:t>The following table defines the descriptors for each criterion across the four-point scale.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2160"/>
            <w:shd w:val="clear" w:color="auto" w:fill="021A32"/>
            <w:vAlign w:val="center"/>
            <w:tcMar>
              <w:top w:w="40" w:type="dxa"/>
              <w:left w:w="60" w:type="dxa"/>
              <w:bottom w:w="40" w:type="dxa"/>
              <w:right w:w="60" w:type="dxa"/>
            </w:tcMar>
          </w:tcPr>
          <w:p>
            <w:pPr>
              <w:jc w:val="left"/>
            </w:pPr>
            <w:r>
              <w:rPr>
                <w:rFonts w:ascii="Arial" w:hAnsi="Arial" w:cs="Arial" w:eastAsia="Arial"/>
                <w:b/>
                <w:color w:val="FFFFFF"/>
                <w:sz w:val="22"/>
                <w:szCs w:val="22"/>
              </w:rPr>
              <w:t>Criterion</w:t>
            </w:r>
          </w:p>
        </w:tc>
        <w:tc>
          <w:tcPr>
            <w:tcW w:type="dxa" w:w="1800"/>
            <w:shd w:val="clear" w:color="auto" w:fill="C5D92D"/>
            <w:vAlign w:val="center"/>
            <w:tcMar>
              <w:top w:w="40" w:type="dxa"/>
              <w:left w:w="60" w:type="dxa"/>
              <w:bottom w:w="40" w:type="dxa"/>
              <w:right w:w="60" w:type="dxa"/>
            </w:tcMar>
          </w:tcPr>
          <w:p>
            <w:pPr>
              <w:jc w:val="left"/>
            </w:pPr>
            <w:r>
              <w:rPr>
                <w:rFonts w:ascii="Arial" w:hAnsi="Arial" w:cs="Arial" w:eastAsia="Arial"/>
                <w:b/>
                <w:color w:val="FFFFFF"/>
                <w:sz w:val="22"/>
                <w:szCs w:val="22"/>
              </w:rPr>
              <w:t>Exemplary (4)</w:t>
            </w:r>
          </w:p>
        </w:tc>
        <w:tc>
          <w:tcPr>
            <w:tcW w:type="dxa" w:w="1800"/>
            <w:shd w:val="clear" w:color="auto" w:fill="007698"/>
            <w:vAlign w:val="center"/>
            <w:tcMar>
              <w:top w:w="40" w:type="dxa"/>
              <w:left w:w="60" w:type="dxa"/>
              <w:bottom w:w="40" w:type="dxa"/>
              <w:right w:w="60" w:type="dxa"/>
            </w:tcMar>
          </w:tcPr>
          <w:p>
            <w:pPr>
              <w:jc w:val="left"/>
            </w:pPr>
            <w:r>
              <w:rPr>
                <w:rFonts w:ascii="Arial" w:hAnsi="Arial" w:cs="Arial" w:eastAsia="Arial"/>
                <w:b/>
                <w:color w:val="FFFFFF"/>
                <w:sz w:val="22"/>
                <w:szCs w:val="22"/>
              </w:rPr>
              <w:t>Proficient (3)</w:t>
            </w:r>
          </w:p>
        </w:tc>
        <w:tc>
          <w:tcPr>
            <w:tcW w:type="dxa" w:w="1800"/>
            <w:shd w:val="clear" w:color="auto" w:fill="00A8D8"/>
            <w:vAlign w:val="center"/>
            <w:tcMar>
              <w:top w:w="40" w:type="dxa"/>
              <w:left w:w="60" w:type="dxa"/>
              <w:bottom w:w="40" w:type="dxa"/>
              <w:right w:w="60" w:type="dxa"/>
            </w:tcMar>
          </w:tcPr>
          <w:p>
            <w:pPr>
              <w:jc w:val="left"/>
            </w:pPr>
            <w:r>
              <w:rPr>
                <w:rFonts w:ascii="Arial" w:hAnsi="Arial" w:cs="Arial" w:eastAsia="Arial"/>
                <w:b/>
                <w:color w:val="FFFFFF"/>
                <w:sz w:val="22"/>
                <w:szCs w:val="22"/>
              </w:rPr>
              <w:t>Developing (2)</w:t>
            </w:r>
          </w:p>
        </w:tc>
        <w:tc>
          <w:tcPr>
            <w:tcW w:type="dxa" w:w="1800"/>
            <w:shd w:val="clear" w:color="auto" w:fill="021A32"/>
            <w:vAlign w:val="center"/>
            <w:tcMar>
              <w:top w:w="40" w:type="dxa"/>
              <w:left w:w="60" w:type="dxa"/>
              <w:bottom w:w="40" w:type="dxa"/>
              <w:right w:w="60" w:type="dxa"/>
            </w:tcMar>
          </w:tcPr>
          <w:p>
            <w:pPr>
              <w:jc w:val="left"/>
            </w:pPr>
            <w:r>
              <w:rPr>
                <w:rFonts w:ascii="Arial" w:hAnsi="Arial" w:cs="Arial" w:eastAsia="Arial"/>
                <w:b/>
                <w:color w:val="FFFFFF"/>
                <w:sz w:val="22"/>
                <w:szCs w:val="22"/>
              </w:rPr>
              <w:t>Beginning (1)</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Full-Stack Architecture &amp; Planning</w:t>
            </w:r>
          </w:p>
          <w:p>
            <w:r>
              <w:rPr>
                <w:rFonts w:ascii="Arial" w:hAnsi="Arial" w:cs="Arial" w:eastAsia="Arial"/>
                <w:i/>
                <w:color w:val="021A32"/>
                <w:sz w:val="20"/>
                <w:szCs w:val="20"/>
              </w:rPr>
              <w:t>Weight: 15%</w:t>
            </w:r>
          </w:p>
        </w:tc>
        <w:tc>
          <w:tcPr>
            <w:tcW w:type="dxa" w:w="1800"/>
            <w:vAlign w:val="top"/>
            <w:tcMar>
              <w:top w:w="40" w:type="dxa"/>
              <w:left w:w="60" w:type="dxa"/>
              <w:bottom w:w="40" w:type="dxa"/>
              <w:right w:w="60" w:type="dxa"/>
            </w:tcMar>
          </w:tcPr>
          <w:p>
            <w:r>
              <w:rPr>
                <w:rFonts w:ascii="Arial" w:hAnsi="Arial" w:cs="Arial" w:eastAsia="Arial"/>
                <w:color w:val="021A32"/>
                <w:sz w:val="20"/>
                <w:szCs w:val="20"/>
              </w:rPr>
              <w:t>Clear C4-style context/containers, measurable NFRs, ADRs, vertical backlog, and risk register. Trust boundaries and contracts are explicit. Trade-offs justified. Diagrams match implementation.</w:t>
            </w:r>
          </w:p>
        </w:tc>
        <w:tc>
          <w:tcPr>
            <w:tcW w:type="dxa" w:w="1800"/>
            <w:vAlign w:val="top"/>
            <w:tcMar>
              <w:top w:w="40" w:type="dxa"/>
              <w:left w:w="60" w:type="dxa"/>
              <w:bottom w:w="40" w:type="dxa"/>
              <w:right w:w="60" w:type="dxa"/>
            </w:tcMar>
          </w:tcPr>
          <w:p>
            <w:r>
              <w:rPr>
                <w:rFonts w:ascii="Arial" w:hAnsi="Arial" w:cs="Arial" w:eastAsia="Arial"/>
                <w:color w:val="021A32"/>
                <w:sz w:val="20"/>
                <w:szCs w:val="20"/>
              </w:rPr>
              <w:t>Sound architecture covering React, Spring Boot, PostgreSQL, Kafka, and delivery path. Planning artifacts exist with minor gaps in measurability or justification.</w:t>
            </w:r>
          </w:p>
        </w:tc>
        <w:tc>
          <w:tcPr>
            <w:tcW w:type="dxa" w:w="1800"/>
            <w:vAlign w:val="top"/>
            <w:tcMar>
              <w:top w:w="40" w:type="dxa"/>
              <w:left w:w="60" w:type="dxa"/>
              <w:bottom w:w="40" w:type="dxa"/>
              <w:right w:w="60" w:type="dxa"/>
            </w:tcMar>
          </w:tcPr>
          <w:p>
            <w:r>
              <w:rPr>
                <w:rFonts w:ascii="Arial" w:hAnsi="Arial" w:cs="Arial" w:eastAsia="Arial"/>
                <w:color w:val="021A32"/>
                <w:sz w:val="20"/>
                <w:szCs w:val="20"/>
              </w:rPr>
              <w:t>Architecture works for a happy path but contracts/NFRs/risks are incomplete or loosely coupled across layers.</w:t>
            </w:r>
          </w:p>
        </w:tc>
        <w:tc>
          <w:tcPr>
            <w:tcW w:type="dxa" w:w="1800"/>
            <w:vAlign w:val="top"/>
            <w:tcMar>
              <w:top w:w="40" w:type="dxa"/>
              <w:left w:w="60" w:type="dxa"/>
              <w:bottom w:w="40" w:type="dxa"/>
              <w:right w:w="60" w:type="dxa"/>
            </w:tcMar>
          </w:tcPr>
          <w:p>
            <w:r>
              <w:rPr>
                <w:rFonts w:ascii="Arial" w:hAnsi="Arial" w:cs="Arial" w:eastAsia="Arial"/>
                <w:color w:val="021A32"/>
                <w:sz w:val="20"/>
                <w:szCs w:val="20"/>
              </w:rPr>
              <w:t>Little coherent architecture. Backlog and ADRs missing or decorative. Layers appear as disconnected demos.</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Backend Services &amp; Messaging</w:t>
            </w:r>
          </w:p>
          <w:p>
            <w:r>
              <w:rPr>
                <w:rFonts w:ascii="Arial" w:hAnsi="Arial" w:cs="Arial" w:eastAsia="Arial"/>
                <w:i/>
                <w:color w:val="021A32"/>
                <w:sz w:val="20"/>
                <w:szCs w:val="20"/>
              </w:rPr>
              <w:t>Weight: 20%</w:t>
            </w:r>
          </w:p>
        </w:tc>
        <w:tc>
          <w:tcPr>
            <w:tcW w:type="dxa" w:w="1800"/>
            <w:vAlign w:val="top"/>
            <w:tcMar>
              <w:top w:w="40" w:type="dxa"/>
              <w:left w:w="60" w:type="dxa"/>
              <w:bottom w:w="40" w:type="dxa"/>
              <w:right w:w="60" w:type="dxa"/>
            </w:tcMar>
          </w:tcPr>
          <w:p>
            <w:r>
              <w:rPr>
                <w:rFonts w:ascii="Arial" w:hAnsi="Arial" w:cs="Arial" w:eastAsia="Arial"/>
                <w:color w:val="021A32"/>
                <w:sz w:val="20"/>
                <w:szCs w:val="20"/>
              </w:rPr>
              <w:t>Idiomatic Spring Boot layering, validation, transactions, and JWT/RBAC. Versioned Kafka produce/consume with idempotency or DLT thinking. Tests and review evidence are production-credible.</w:t>
            </w:r>
          </w:p>
        </w:tc>
        <w:tc>
          <w:tcPr>
            <w:tcW w:type="dxa" w:w="1800"/>
            <w:vAlign w:val="top"/>
            <w:tcMar>
              <w:top w:w="40" w:type="dxa"/>
              <w:left w:w="60" w:type="dxa"/>
              <w:bottom w:w="40" w:type="dxa"/>
              <w:right w:w="60" w:type="dxa"/>
            </w:tcMar>
          </w:tcPr>
          <w:p>
            <w:r>
              <w:rPr>
                <w:rFonts w:ascii="Arial" w:hAnsi="Arial" w:cs="Arial" w:eastAsia="Arial"/>
                <w:color w:val="021A32"/>
                <w:sz w:val="20"/>
                <w:szCs w:val="20"/>
              </w:rPr>
              <w:t>Solid Spring Boot APIs and Kafka integration for the targeted slice. Most business rules live in the service layer. Automated tests cover key paths.</w:t>
            </w:r>
          </w:p>
        </w:tc>
        <w:tc>
          <w:tcPr>
            <w:tcW w:type="dxa" w:w="1800"/>
            <w:vAlign w:val="top"/>
            <w:tcMar>
              <w:top w:w="40" w:type="dxa"/>
              <w:left w:w="60" w:type="dxa"/>
              <w:bottom w:w="40" w:type="dxa"/>
              <w:right w:w="60" w:type="dxa"/>
            </w:tcMar>
          </w:tcPr>
          <w:p>
            <w:r>
              <w:rPr>
                <w:rFonts w:ascii="Arial" w:hAnsi="Arial" w:cs="Arial" w:eastAsia="Arial"/>
                <w:color w:val="021A32"/>
                <w:sz w:val="20"/>
                <w:szCs w:val="20"/>
              </w:rPr>
              <w:t>APIs exist but layering, validation, or messaging resilience is partial. Some logic remains in controllers or ad-hoc scripts.</w:t>
            </w:r>
          </w:p>
        </w:tc>
        <w:tc>
          <w:tcPr>
            <w:tcW w:type="dxa" w:w="1800"/>
            <w:vAlign w:val="top"/>
            <w:tcMar>
              <w:top w:w="40" w:type="dxa"/>
              <w:left w:w="60" w:type="dxa"/>
              <w:bottom w:w="40" w:type="dxa"/>
              <w:right w:w="60" w:type="dxa"/>
            </w:tcMar>
          </w:tcPr>
          <w:p>
            <w:r>
              <w:rPr>
                <w:rFonts w:ascii="Arial" w:hAnsi="Arial" w:cs="Arial" w:eastAsia="Arial"/>
                <w:color w:val="021A32"/>
                <w:sz w:val="20"/>
                <w:szCs w:val="20"/>
              </w:rPr>
              <w:t>Minimal backend cohesion. Messaging missing or unsafe. Manual verification substitutes for automated proof.</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Frontend &amp; Persistence</w:t>
            </w:r>
          </w:p>
          <w:p>
            <w:r>
              <w:rPr>
                <w:rFonts w:ascii="Arial" w:hAnsi="Arial" w:cs="Arial" w:eastAsia="Arial"/>
                <w:i/>
                <w:color w:val="021A32"/>
                <w:sz w:val="20"/>
                <w:szCs w:val="20"/>
              </w:rPr>
              <w:t>Weight: 15%</w:t>
            </w:r>
          </w:p>
        </w:tc>
        <w:tc>
          <w:tcPr>
            <w:tcW w:type="dxa" w:w="1800"/>
            <w:vAlign w:val="top"/>
            <w:tcMar>
              <w:top w:w="40" w:type="dxa"/>
              <w:left w:w="60" w:type="dxa"/>
              <w:bottom w:w="40" w:type="dxa"/>
              <w:right w:w="60" w:type="dxa"/>
            </w:tcMar>
          </w:tcPr>
          <w:p>
            <w:r>
              <w:rPr>
                <w:rFonts w:ascii="Arial" w:hAnsi="Arial" w:cs="Arial" w:eastAsia="Arial"/>
                <w:color w:val="021A32"/>
                <w:sz w:val="20"/>
                <w:szCs w:val="20"/>
              </w:rPr>
              <w:t>Accessible React journey wired through a typed client to Spring APIs with clear loading/error states. PostgreSQL persistence via Spring Data JPA and migrations is verified UI→DB. Synthetic fixtures used consistently.</w:t>
            </w:r>
          </w:p>
        </w:tc>
        <w:tc>
          <w:tcPr>
            <w:tcW w:type="dxa" w:w="1800"/>
            <w:vAlign w:val="top"/>
            <w:tcMar>
              <w:top w:w="40" w:type="dxa"/>
              <w:left w:w="60" w:type="dxa"/>
              <w:bottom w:w="40" w:type="dxa"/>
              <w:right w:w="60" w:type="dxa"/>
            </w:tcMar>
          </w:tcPr>
          <w:p>
            <w:r>
              <w:rPr>
                <w:rFonts w:ascii="Arial" w:hAnsi="Arial" w:cs="Arial" w:eastAsia="Arial"/>
                <w:color w:val="021A32"/>
                <w:sz w:val="20"/>
                <w:szCs w:val="20"/>
              </w:rPr>
              <w:t>Working React journey and PostgreSQL persistence for the demo path. Minor UX or migration gaps.</w:t>
            </w:r>
          </w:p>
        </w:tc>
        <w:tc>
          <w:tcPr>
            <w:tcW w:type="dxa" w:w="1800"/>
            <w:vAlign w:val="top"/>
            <w:tcMar>
              <w:top w:w="40" w:type="dxa"/>
              <w:left w:w="60" w:type="dxa"/>
              <w:bottom w:w="40" w:type="dxa"/>
              <w:right w:w="60" w:type="dxa"/>
            </w:tcMar>
          </w:tcPr>
          <w:p>
            <w:r>
              <w:rPr>
                <w:rFonts w:ascii="Arial" w:hAnsi="Arial" w:cs="Arial" w:eastAsia="Arial"/>
                <w:color w:val="021A32"/>
                <w:sz w:val="20"/>
                <w:szCs w:val="20"/>
              </w:rPr>
              <w:t>UI or persistence works in isolation; end-to-end data proof is incomplete or fragile.</w:t>
            </w:r>
          </w:p>
        </w:tc>
        <w:tc>
          <w:tcPr>
            <w:tcW w:type="dxa" w:w="1800"/>
            <w:vAlign w:val="top"/>
            <w:tcMar>
              <w:top w:w="40" w:type="dxa"/>
              <w:left w:w="60" w:type="dxa"/>
              <w:bottom w:w="40" w:type="dxa"/>
              <w:right w:w="60" w:type="dxa"/>
            </w:tcMar>
          </w:tcPr>
          <w:p>
            <w:r>
              <w:rPr>
                <w:rFonts w:ascii="Arial" w:hAnsi="Arial" w:cs="Arial" w:eastAsia="Arial"/>
                <w:color w:val="021A32"/>
                <w:sz w:val="20"/>
                <w:szCs w:val="20"/>
              </w:rPr>
              <w:t>UI is stubbed or persistence is not durable. Little evidence of UI→DB verification.</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CI/CD, Containers &amp; Deployment</w:t>
            </w:r>
          </w:p>
          <w:p>
            <w:r>
              <w:rPr>
                <w:rFonts w:ascii="Arial" w:hAnsi="Arial" w:cs="Arial" w:eastAsia="Arial"/>
                <w:i/>
                <w:color w:val="021A32"/>
                <w:sz w:val="20"/>
                <w:szCs w:val="20"/>
              </w:rPr>
              <w:t>Weight: 15%</w:t>
            </w:r>
          </w:p>
        </w:tc>
        <w:tc>
          <w:tcPr>
            <w:tcW w:type="dxa" w:w="1800"/>
            <w:vAlign w:val="top"/>
            <w:tcMar>
              <w:top w:w="40" w:type="dxa"/>
              <w:left w:w="60" w:type="dxa"/>
              <w:bottom w:w="40" w:type="dxa"/>
              <w:right w:w="60" w:type="dxa"/>
            </w:tcMar>
          </w:tcPr>
          <w:p>
            <w:r>
              <w:rPr>
                <w:rFonts w:ascii="Arial" w:hAnsi="Arial" w:cs="Arial" w:eastAsia="Arial"/>
                <w:color w:val="021A32"/>
                <w:sz w:val="20"/>
                <w:szCs w:val="20"/>
              </w:rPr>
              <w:t>End-to-end pipeline with build/test/SAST gates, immutable image digest, OpenShift/Kubernetes deploy, smoke checks, and documented rollback. Pipeline is the intended path to change.</w:t>
            </w:r>
          </w:p>
        </w:tc>
        <w:tc>
          <w:tcPr>
            <w:tcW w:type="dxa" w:w="1800"/>
            <w:vAlign w:val="top"/>
            <w:tcMar>
              <w:top w:w="40" w:type="dxa"/>
              <w:left w:w="60" w:type="dxa"/>
              <w:bottom w:w="40" w:type="dxa"/>
              <w:right w:w="60" w:type="dxa"/>
            </w:tcMar>
          </w:tcPr>
          <w:p>
            <w:r>
              <w:rPr>
                <w:rFonts w:ascii="Arial" w:hAnsi="Arial" w:cs="Arial" w:eastAsia="Arial"/>
                <w:color w:val="021A32"/>
                <w:sz w:val="20"/>
                <w:szCs w:val="20"/>
              </w:rPr>
              <w:t>Working pipeline and containerized deploy of the CRM slice. Promotion and smoke evidence exist with minor gaps.</w:t>
            </w:r>
          </w:p>
        </w:tc>
        <w:tc>
          <w:tcPr>
            <w:tcW w:type="dxa" w:w="1800"/>
            <w:vAlign w:val="top"/>
            <w:tcMar>
              <w:top w:w="40" w:type="dxa"/>
              <w:left w:w="60" w:type="dxa"/>
              <w:bottom w:w="40" w:type="dxa"/>
              <w:right w:w="60" w:type="dxa"/>
            </w:tcMar>
          </w:tcPr>
          <w:p>
            <w:r>
              <w:rPr>
                <w:rFonts w:ascii="Arial" w:hAnsi="Arial" w:cs="Arial" w:eastAsia="Arial"/>
                <w:color w:val="021A32"/>
                <w:sz w:val="20"/>
                <w:szCs w:val="20"/>
              </w:rPr>
              <w:t>Pipeline or deploy exists but is bypassed for non-trivial changes, or rollback is not evidenced.</w:t>
            </w:r>
          </w:p>
        </w:tc>
        <w:tc>
          <w:tcPr>
            <w:tcW w:type="dxa" w:w="1800"/>
            <w:vAlign w:val="top"/>
            <w:tcMar>
              <w:top w:w="40" w:type="dxa"/>
              <w:left w:w="60" w:type="dxa"/>
              <w:bottom w:w="40" w:type="dxa"/>
              <w:right w:w="60" w:type="dxa"/>
            </w:tcMar>
          </w:tcPr>
          <w:p>
            <w:r>
              <w:rPr>
                <w:rFonts w:ascii="Arial" w:hAnsi="Arial" w:cs="Arial" w:eastAsia="Arial"/>
                <w:color w:val="021A32"/>
                <w:sz w:val="20"/>
                <w:szCs w:val="20"/>
              </w:rPr>
              <w:t>No working pipeline/deploy path, or deployment is decorative without smoke/rollback.</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Testing &amp; Observability</w:t>
            </w:r>
          </w:p>
          <w:p>
            <w:r>
              <w:rPr>
                <w:rFonts w:ascii="Arial" w:hAnsi="Arial" w:cs="Arial" w:eastAsia="Arial"/>
                <w:i/>
                <w:color w:val="021A32"/>
                <w:sz w:val="20"/>
                <w:szCs w:val="20"/>
              </w:rPr>
              <w:t>Weight: 10%</w:t>
            </w:r>
          </w:p>
        </w:tc>
        <w:tc>
          <w:tcPr>
            <w:tcW w:type="dxa" w:w="1800"/>
            <w:vAlign w:val="top"/>
            <w:tcMar>
              <w:top w:w="40" w:type="dxa"/>
              <w:left w:w="60" w:type="dxa"/>
              <w:bottom w:w="40" w:type="dxa"/>
              <w:right w:w="60" w:type="dxa"/>
            </w:tcMar>
          </w:tcPr>
          <w:p>
            <w:r>
              <w:rPr>
                <w:rFonts w:ascii="Arial" w:hAnsi="Arial" w:cs="Arial" w:eastAsia="Arial"/>
                <w:color w:val="021A32"/>
                <w:sz w:val="20"/>
                <w:szCs w:val="20"/>
              </w:rPr>
              <w:t>Unit, integration, and UI/smoke evidence answer operational questions. Correlation IDs, health/metrics/logs make happy and failure paths visible. Alerts or clear failure signals exist for at least one forced fault.</w:t>
            </w:r>
          </w:p>
        </w:tc>
        <w:tc>
          <w:tcPr>
            <w:tcW w:type="dxa" w:w="1800"/>
            <w:vAlign w:val="top"/>
            <w:tcMar>
              <w:top w:w="40" w:type="dxa"/>
              <w:left w:w="60" w:type="dxa"/>
              <w:bottom w:w="40" w:type="dxa"/>
              <w:right w:w="60" w:type="dxa"/>
            </w:tcMar>
          </w:tcPr>
          <w:p>
            <w:r>
              <w:rPr>
                <w:rFonts w:ascii="Arial" w:hAnsi="Arial" w:cs="Arial" w:eastAsia="Arial"/>
                <w:color w:val="021A32"/>
                <w:sz w:val="20"/>
                <w:szCs w:val="20"/>
              </w:rPr>
              <w:t>Useful automated tests and observability for the demo paths. Most important failures are visible.</w:t>
            </w:r>
          </w:p>
        </w:tc>
        <w:tc>
          <w:tcPr>
            <w:tcW w:type="dxa" w:w="1800"/>
            <w:vAlign w:val="top"/>
            <w:tcMar>
              <w:top w:w="40" w:type="dxa"/>
              <w:left w:w="60" w:type="dxa"/>
              <w:bottom w:w="40" w:type="dxa"/>
              <w:right w:w="60" w:type="dxa"/>
            </w:tcMar>
          </w:tcPr>
          <w:p>
            <w:r>
              <w:rPr>
                <w:rFonts w:ascii="Arial" w:hAnsi="Arial" w:cs="Arial" w:eastAsia="Arial"/>
                <w:color w:val="021A32"/>
                <w:sz w:val="20"/>
                <w:szCs w:val="20"/>
              </w:rPr>
              <w:t>Partial tests or observability for one layer only. Recovery confirmation still needs ad-hoc access.</w:t>
            </w:r>
          </w:p>
        </w:tc>
        <w:tc>
          <w:tcPr>
            <w:tcW w:type="dxa" w:w="1800"/>
            <w:vAlign w:val="top"/>
            <w:tcMar>
              <w:top w:w="40" w:type="dxa"/>
              <w:left w:w="60" w:type="dxa"/>
              <w:bottom w:w="40" w:type="dxa"/>
              <w:right w:w="60" w:type="dxa"/>
            </w:tcMar>
          </w:tcPr>
          <w:p>
            <w:r>
              <w:rPr>
                <w:rFonts w:ascii="Arial" w:hAnsi="Arial" w:cs="Arial" w:eastAsia="Arial"/>
                <w:color w:val="021A32"/>
                <w:sz w:val="20"/>
                <w:szCs w:val="20"/>
              </w:rPr>
              <w:t>Little automated testing or observability. Failures are noticed by presenters, not the platform.</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Demonstration Scenario &amp; Recovery</w:t>
            </w:r>
          </w:p>
          <w:p>
            <w:r>
              <w:rPr>
                <w:rFonts w:ascii="Arial" w:hAnsi="Arial" w:cs="Arial" w:eastAsia="Arial"/>
                <w:i/>
                <w:color w:val="021A32"/>
                <w:sz w:val="20"/>
                <w:szCs w:val="20"/>
              </w:rPr>
              <w:t>Weight: 10%</w:t>
            </w:r>
          </w:p>
        </w:tc>
        <w:tc>
          <w:tcPr>
            <w:tcW w:type="dxa" w:w="1800"/>
            <w:vAlign w:val="top"/>
            <w:tcMar>
              <w:top w:w="40" w:type="dxa"/>
              <w:left w:w="60" w:type="dxa"/>
              <w:bottom w:w="40" w:type="dxa"/>
              <w:right w:w="60" w:type="dxa"/>
            </w:tcMar>
          </w:tcPr>
          <w:p>
            <w:r>
              <w:rPr>
                <w:rFonts w:ascii="Arial" w:hAnsi="Arial" w:cs="Arial" w:eastAsia="Arial"/>
                <w:color w:val="021A32"/>
                <w:sz w:val="20"/>
                <w:szCs w:val="20"/>
              </w:rPr>
              <w:t>Live demo executes the agent journey, release evidence, injected failure, and code-driven recovery with confident narration across the team.</w:t>
            </w:r>
          </w:p>
        </w:tc>
        <w:tc>
          <w:tcPr>
            <w:tcW w:type="dxa" w:w="1800"/>
            <w:vAlign w:val="top"/>
            <w:tcMar>
              <w:top w:w="40" w:type="dxa"/>
              <w:left w:w="60" w:type="dxa"/>
              <w:bottom w:w="40" w:type="dxa"/>
              <w:right w:w="60" w:type="dxa"/>
            </w:tcMar>
          </w:tcPr>
          <w:p>
            <w:r>
              <w:rPr>
                <w:rFonts w:ascii="Arial" w:hAnsi="Arial" w:cs="Arial" w:eastAsia="Arial"/>
                <w:color w:val="021A32"/>
                <w:sz w:val="20"/>
                <w:szCs w:val="20"/>
              </w:rPr>
              <w:t>Demo completes workflow including failure injection and mostly code-driven recovery.</w:t>
            </w:r>
          </w:p>
        </w:tc>
        <w:tc>
          <w:tcPr>
            <w:tcW w:type="dxa" w:w="1800"/>
            <w:vAlign w:val="top"/>
            <w:tcMar>
              <w:top w:w="40" w:type="dxa"/>
              <w:left w:w="60" w:type="dxa"/>
              <w:bottom w:w="40" w:type="dxa"/>
              <w:right w:w="60" w:type="dxa"/>
            </w:tcMar>
          </w:tcPr>
          <w:p>
            <w:r>
              <w:rPr>
                <w:rFonts w:ascii="Arial" w:hAnsi="Arial" w:cs="Arial" w:eastAsia="Arial"/>
                <w:color w:val="021A32"/>
                <w:sz w:val="20"/>
                <w:szCs w:val="20"/>
              </w:rPr>
              <w:t>Happy path works; failure/recovery portion incomplete or partly manual.</w:t>
            </w:r>
          </w:p>
        </w:tc>
        <w:tc>
          <w:tcPr>
            <w:tcW w:type="dxa" w:w="1800"/>
            <w:vAlign w:val="top"/>
            <w:tcMar>
              <w:top w:w="40" w:type="dxa"/>
              <w:left w:w="60" w:type="dxa"/>
              <w:bottom w:w="40" w:type="dxa"/>
              <w:right w:w="60" w:type="dxa"/>
            </w:tcMar>
          </w:tcPr>
          <w:p>
            <w:r>
              <w:rPr>
                <w:rFonts w:ascii="Arial" w:hAnsi="Arial" w:cs="Arial" w:eastAsia="Arial"/>
                <w:color w:val="021A32"/>
                <w:sz w:val="20"/>
                <w:szCs w:val="20"/>
              </w:rPr>
              <w:t>Demo does not execute end-to-end, or recovery bypasses the automation that was built.</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Security &amp; Operational Hygiene</w:t>
            </w:r>
          </w:p>
          <w:p>
            <w:r>
              <w:rPr>
                <w:rFonts w:ascii="Arial" w:hAnsi="Arial" w:cs="Arial" w:eastAsia="Arial"/>
                <w:i/>
                <w:color w:val="021A32"/>
                <w:sz w:val="20"/>
                <w:szCs w:val="20"/>
              </w:rPr>
              <w:t>Weight: 5%</w:t>
            </w:r>
          </w:p>
        </w:tc>
        <w:tc>
          <w:tcPr>
            <w:tcW w:type="dxa" w:w="1800"/>
            <w:vAlign w:val="top"/>
            <w:tcMar>
              <w:top w:w="40" w:type="dxa"/>
              <w:left w:w="60" w:type="dxa"/>
              <w:bottom w:w="40" w:type="dxa"/>
              <w:right w:w="60" w:type="dxa"/>
            </w:tcMar>
          </w:tcPr>
          <w:p>
            <w:r>
              <w:rPr>
                <w:rFonts w:ascii="Arial" w:hAnsi="Arial" w:cs="Arial" w:eastAsia="Arial"/>
                <w:color w:val="021A32"/>
                <w:sz w:val="20"/>
                <w:szCs w:val="20"/>
              </w:rPr>
              <w:t>Secrets only in approved mechanisms. Least-privilege roles. Negative auth tests. SAST/findings triaged. No secrets or real PII in Git or evidence packs. Clear audit from commit to change.</w:t>
            </w:r>
          </w:p>
        </w:tc>
        <w:tc>
          <w:tcPr>
            <w:tcW w:type="dxa" w:w="1800"/>
            <w:vAlign w:val="top"/>
            <w:tcMar>
              <w:top w:w="40" w:type="dxa"/>
              <w:left w:w="60" w:type="dxa"/>
              <w:bottom w:w="40" w:type="dxa"/>
              <w:right w:w="60" w:type="dxa"/>
            </w:tcMar>
          </w:tcPr>
          <w:p>
            <w:r>
              <w:rPr>
                <w:rFonts w:ascii="Arial" w:hAnsi="Arial" w:cs="Arial" w:eastAsia="Arial"/>
                <w:color w:val="021A32"/>
                <w:sz w:val="20"/>
                <w:szCs w:val="20"/>
              </w:rPr>
              <w:t>Credentials and roles managed correctly. Most changes follow least privilege. Audit trail reasonably traceable.</w:t>
            </w:r>
          </w:p>
        </w:tc>
        <w:tc>
          <w:tcPr>
            <w:tcW w:type="dxa" w:w="1800"/>
            <w:vAlign w:val="top"/>
            <w:tcMar>
              <w:top w:w="40" w:type="dxa"/>
              <w:left w:w="60" w:type="dxa"/>
              <w:bottom w:w="40" w:type="dxa"/>
              <w:right w:w="60" w:type="dxa"/>
            </w:tcMar>
          </w:tcPr>
          <w:p>
            <w:r>
              <w:rPr>
                <w:rFonts w:ascii="Arial" w:hAnsi="Arial" w:cs="Arial" w:eastAsia="Arial"/>
                <w:color w:val="021A32"/>
                <w:sz w:val="20"/>
                <w:szCs w:val="20"/>
              </w:rPr>
              <w:t>Notable gaps in vaulting, role checks, or scan triage. Least privilege inconsistent.</w:t>
            </w:r>
          </w:p>
        </w:tc>
        <w:tc>
          <w:tcPr>
            <w:tcW w:type="dxa" w:w="1800"/>
            <w:vAlign w:val="top"/>
            <w:tcMar>
              <w:top w:w="40" w:type="dxa"/>
              <w:left w:w="60" w:type="dxa"/>
              <w:bottom w:w="40" w:type="dxa"/>
              <w:right w:w="60" w:type="dxa"/>
            </w:tcMar>
          </w:tcPr>
          <w:p>
            <w:r>
              <w:rPr>
                <w:rFonts w:ascii="Arial" w:hAnsi="Arial" w:cs="Arial" w:eastAsia="Arial"/>
                <w:color w:val="021A32"/>
                <w:sz w:val="20"/>
                <w:szCs w:val="20"/>
              </w:rPr>
              <w:t>Secrets or real PII in the repository/evidence. Over-privileged accounts or disabled controls for a green demo.</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Documentation &amp; Repository Quality</w:t>
            </w:r>
          </w:p>
          <w:p>
            <w:r>
              <w:rPr>
                <w:rFonts w:ascii="Arial" w:hAnsi="Arial" w:cs="Arial" w:eastAsia="Arial"/>
                <w:i/>
                <w:color w:val="021A32"/>
                <w:sz w:val="20"/>
                <w:szCs w:val="20"/>
              </w:rPr>
              <w:t>Weight: 5%</w:t>
            </w:r>
          </w:p>
        </w:tc>
        <w:tc>
          <w:tcPr>
            <w:tcW w:type="dxa" w:w="1800"/>
            <w:vAlign w:val="top"/>
            <w:tcMar>
              <w:top w:w="40" w:type="dxa"/>
              <w:left w:w="60" w:type="dxa"/>
              <w:bottom w:w="40" w:type="dxa"/>
              <w:right w:w="60" w:type="dxa"/>
            </w:tcMar>
          </w:tcPr>
          <w:p>
            <w:r>
              <w:rPr>
                <w:rFonts w:ascii="Arial" w:hAnsi="Arial" w:cs="Arial" w:eastAsia="Arial"/>
                <w:color w:val="021A32"/>
                <w:sz w:val="20"/>
                <w:szCs w:val="20"/>
              </w:rPr>
              <w:t>README, architecture docs, runbooks, and evidence index are accurate and current. A new engineer could clone and reproduce from documentation alone.</w:t>
            </w:r>
          </w:p>
        </w:tc>
        <w:tc>
          <w:tcPr>
            <w:tcW w:type="dxa" w:w="1800"/>
            <w:vAlign w:val="top"/>
            <w:tcMar>
              <w:top w:w="40" w:type="dxa"/>
              <w:left w:w="60" w:type="dxa"/>
              <w:bottom w:w="40" w:type="dxa"/>
              <w:right w:w="60" w:type="dxa"/>
            </w:tcMar>
          </w:tcPr>
          <w:p>
            <w:r>
              <w:rPr>
                <w:rFonts w:ascii="Arial" w:hAnsi="Arial" w:cs="Arial" w:eastAsia="Arial"/>
                <w:color w:val="021A32"/>
                <w:sz w:val="20"/>
                <w:szCs w:val="20"/>
              </w:rPr>
              <w:t>Documentation is complete and reasonably clear. Repository is well organized with minor inconsistencies.</w:t>
            </w:r>
          </w:p>
        </w:tc>
        <w:tc>
          <w:tcPr>
            <w:tcW w:type="dxa" w:w="1800"/>
            <w:vAlign w:val="top"/>
            <w:tcMar>
              <w:top w:w="40" w:type="dxa"/>
              <w:left w:w="60" w:type="dxa"/>
              <w:bottom w:w="40" w:type="dxa"/>
              <w:right w:w="60" w:type="dxa"/>
            </w:tcMar>
          </w:tcPr>
          <w:p>
            <w:r>
              <w:rPr>
                <w:rFonts w:ascii="Arial" w:hAnsi="Arial" w:cs="Arial" w:eastAsia="Arial"/>
                <w:color w:val="021A32"/>
                <w:sz w:val="20"/>
                <w:szCs w:val="20"/>
              </w:rPr>
              <w:t>Basics covered but gaps or inaccuracies remain. Structure uneven.</w:t>
            </w:r>
          </w:p>
        </w:tc>
        <w:tc>
          <w:tcPr>
            <w:tcW w:type="dxa" w:w="1800"/>
            <w:vAlign w:val="top"/>
            <w:tcMar>
              <w:top w:w="40" w:type="dxa"/>
              <w:left w:w="60" w:type="dxa"/>
              <w:bottom w:w="40" w:type="dxa"/>
              <w:right w:w="60" w:type="dxa"/>
            </w:tcMar>
          </w:tcPr>
          <w:p>
            <w:r>
              <w:rPr>
                <w:rFonts w:ascii="Arial" w:hAnsi="Arial" w:cs="Arial" w:eastAsia="Arial"/>
                <w:color w:val="021A32"/>
                <w:sz w:val="20"/>
                <w:szCs w:val="20"/>
              </w:rPr>
              <w:t>Documentation missing, outdated, or misleading. Repository hard to navigate.</w:t>
            </w:r>
          </w:p>
        </w:tc>
      </w:tr>
      <w:tr>
        <w:tc>
          <w:tcPr>
            <w:tcW w:type="dxa" w:w="2160"/>
            <w:vAlign w:val="top"/>
            <w:tcMar>
              <w:top w:w="40" w:type="dxa"/>
              <w:left w:w="60" w:type="dxa"/>
              <w:bottom w:w="40" w:type="dxa"/>
              <w:right w:w="60" w:type="dxa"/>
            </w:tcMar>
          </w:tcPr>
          <w:p>
            <w:r>
              <w:rPr>
                <w:rFonts w:ascii="Arial" w:hAnsi="Arial" w:cs="Arial" w:eastAsia="Arial"/>
                <w:b/>
                <w:color w:val="021A32"/>
                <w:sz w:val="22"/>
                <w:szCs w:val="22"/>
              </w:rPr>
              <w:t>Presentation &amp; Communication</w:t>
            </w:r>
          </w:p>
          <w:p>
            <w:r>
              <w:rPr>
                <w:rFonts w:ascii="Arial" w:hAnsi="Arial" w:cs="Arial" w:eastAsia="Arial"/>
                <w:i/>
                <w:color w:val="021A32"/>
                <w:sz w:val="20"/>
                <w:szCs w:val="20"/>
              </w:rPr>
              <w:t>Weight: 5%</w:t>
            </w:r>
          </w:p>
        </w:tc>
        <w:tc>
          <w:tcPr>
            <w:tcW w:type="dxa" w:w="1800"/>
            <w:vAlign w:val="top"/>
            <w:tcMar>
              <w:top w:w="40" w:type="dxa"/>
              <w:left w:w="60" w:type="dxa"/>
              <w:bottom w:w="40" w:type="dxa"/>
              <w:right w:w="60" w:type="dxa"/>
            </w:tcMar>
          </w:tcPr>
          <w:p>
            <w:r>
              <w:rPr>
                <w:rFonts w:ascii="Arial" w:hAnsi="Arial" w:cs="Arial" w:eastAsia="Arial"/>
                <w:color w:val="021A32"/>
                <w:sz w:val="20"/>
                <w:szCs w:val="20"/>
              </w:rPr>
              <w:t>Well-paced, audience-aware presentation. Trade-offs explained crisply. Q&amp;A handled with technical depth across the team. Retrospective and individual reflection present.</w:t>
            </w:r>
          </w:p>
        </w:tc>
        <w:tc>
          <w:tcPr>
            <w:tcW w:type="dxa" w:w="1800"/>
            <w:vAlign w:val="top"/>
            <w:tcMar>
              <w:top w:w="40" w:type="dxa"/>
              <w:left w:w="60" w:type="dxa"/>
              <w:bottom w:w="40" w:type="dxa"/>
              <w:right w:w="60" w:type="dxa"/>
            </w:tcMar>
          </w:tcPr>
          <w:p>
            <w:r>
              <w:rPr>
                <w:rFonts w:ascii="Arial" w:hAnsi="Arial" w:cs="Arial" w:eastAsia="Arial"/>
                <w:color w:val="021A32"/>
                <w:sz w:val="20"/>
                <w:szCs w:val="20"/>
              </w:rPr>
              <w:t>Clear, organized presentation. Most decisions explained. Q&amp;A handled well by most of the team.</w:t>
            </w:r>
          </w:p>
        </w:tc>
        <w:tc>
          <w:tcPr>
            <w:tcW w:type="dxa" w:w="1800"/>
            <w:vAlign w:val="top"/>
            <w:tcMar>
              <w:top w:w="40" w:type="dxa"/>
              <w:left w:w="60" w:type="dxa"/>
              <w:bottom w:w="40" w:type="dxa"/>
              <w:right w:w="60" w:type="dxa"/>
            </w:tcMar>
          </w:tcPr>
          <w:p>
            <w:r>
              <w:rPr>
                <w:rFonts w:ascii="Arial" w:hAnsi="Arial" w:cs="Arial" w:eastAsia="Arial"/>
                <w:color w:val="021A32"/>
                <w:sz w:val="20"/>
                <w:szCs w:val="20"/>
              </w:rPr>
              <w:t>Presentation conveys the work but is uneven. Some questions reveal gaps.</w:t>
            </w:r>
          </w:p>
        </w:tc>
        <w:tc>
          <w:tcPr>
            <w:tcW w:type="dxa" w:w="1800"/>
            <w:vAlign w:val="top"/>
            <w:tcMar>
              <w:top w:w="40" w:type="dxa"/>
              <w:left w:w="60" w:type="dxa"/>
              <w:bottom w:w="40" w:type="dxa"/>
              <w:right w:w="60" w:type="dxa"/>
            </w:tcMar>
          </w:tcPr>
          <w:p>
            <w:r>
              <w:rPr>
                <w:rFonts w:ascii="Arial" w:hAnsi="Arial" w:cs="Arial" w:eastAsia="Arial"/>
                <w:color w:val="021A32"/>
                <w:sz w:val="20"/>
                <w:szCs w:val="20"/>
              </w:rPr>
              <w:t>Presentation disorganized or shallow. Q&amp;A surfaces significant knowledge gaps.</w:t>
            </w:r>
          </w:p>
        </w:tc>
      </w:tr>
    </w:tbl>
    <w:p>
      <w:pPr>
        <w:pStyle w:val="Heading2"/>
      </w:pPr>
      <w:r>
        <w:t>Scoring Summary</w:t>
      </w:r>
    </w:p>
    <w:p>
      <w:pPr>
        <w:spacing w:before="80" w:after="120" w:line="300" w:lineRule="auto"/>
      </w:pPr>
      <w:r>
        <w:t>Use the table below to record the per-criterion score and compute the weighted total. The weighted score for each row is the raw score multiplied by the weight; the final score is the sum of the weighted scores divided by 100.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4752"/>
            <w:shd w:val="clear" w:color="auto" w:fill="007698"/>
            <w:vAlign w:val="center"/>
            <w:tcMar>
              <w:top w:w="40" w:type="dxa"/>
              <w:left w:w="60" w:type="dxa"/>
              <w:bottom w:w="40" w:type="dxa"/>
              <w:right w:w="60" w:type="dxa"/>
            </w:tcMar>
          </w:tcPr>
          <w:p>
            <w:pPr>
              <w:jc w:val="left"/>
            </w:pPr>
            <w:r>
              <w:rPr>
                <w:rFonts w:ascii="Arial" w:hAnsi="Arial" w:cs="Arial" w:eastAsia="Arial"/>
                <w:b/>
                <w:color w:val="FFFFFF"/>
                <w:sz w:val="22"/>
                <w:szCs w:val="22"/>
              </w:rPr>
              <w:t>Criterion</w:t>
            </w:r>
          </w:p>
        </w:tc>
        <w:tc>
          <w:tcPr>
            <w:tcW w:type="dxa" w:w="1584"/>
            <w:shd w:val="clear" w:color="auto" w:fill="007698"/>
            <w:vAlign w:val="center"/>
            <w:tcMar>
              <w:top w:w="40" w:type="dxa"/>
              <w:left w:w="60" w:type="dxa"/>
              <w:bottom w:w="40" w:type="dxa"/>
              <w:right w:w="60" w:type="dxa"/>
            </w:tcMar>
          </w:tcPr>
          <w:p>
            <w:pPr>
              <w:jc w:val="left"/>
            </w:pPr>
            <w:r>
              <w:rPr>
                <w:rFonts w:ascii="Arial" w:hAnsi="Arial" w:cs="Arial" w:eastAsia="Arial"/>
                <w:b/>
                <w:color w:val="FFFFFF"/>
                <w:sz w:val="22"/>
                <w:szCs w:val="22"/>
              </w:rPr>
              <w:t>Weight</w:t>
            </w:r>
          </w:p>
        </w:tc>
        <w:tc>
          <w:tcPr>
            <w:tcW w:type="dxa" w:w="1584"/>
            <w:shd w:val="clear" w:color="auto" w:fill="007698"/>
            <w:vAlign w:val="center"/>
            <w:tcMar>
              <w:top w:w="40" w:type="dxa"/>
              <w:left w:w="60" w:type="dxa"/>
              <w:bottom w:w="40" w:type="dxa"/>
              <w:right w:w="60" w:type="dxa"/>
            </w:tcMar>
          </w:tcPr>
          <w:p>
            <w:pPr>
              <w:jc w:val="left"/>
            </w:pPr>
            <w:r>
              <w:rPr>
                <w:rFonts w:ascii="Arial" w:hAnsi="Arial" w:cs="Arial" w:eastAsia="Arial"/>
                <w:b/>
                <w:color w:val="FFFFFF"/>
                <w:sz w:val="22"/>
                <w:szCs w:val="22"/>
              </w:rPr>
              <w:t>Score (1–4)</w:t>
            </w:r>
          </w:p>
        </w:tc>
        <w:tc>
          <w:tcPr>
            <w:tcW w:type="dxa" w:w="1584"/>
            <w:shd w:val="clear" w:color="auto" w:fill="007698"/>
            <w:vAlign w:val="center"/>
            <w:tcMar>
              <w:top w:w="40" w:type="dxa"/>
              <w:left w:w="60" w:type="dxa"/>
              <w:bottom w:w="40" w:type="dxa"/>
              <w:right w:w="60" w:type="dxa"/>
            </w:tcMar>
          </w:tcPr>
          <w:p>
            <w:pPr>
              <w:jc w:val="left"/>
            </w:pPr>
            <w:r>
              <w:rPr>
                <w:rFonts w:ascii="Arial" w:hAnsi="Arial" w:cs="Arial" w:eastAsia="Arial"/>
                <w:b/>
                <w:color w:val="FFFFFF"/>
                <w:sz w:val="22"/>
                <w:szCs w:val="22"/>
              </w:rPr>
              <w:t>Weighted Score</w:t>
            </w:r>
          </w:p>
        </w:tc>
      </w:tr>
      <w:tr>
        <w:tc>
          <w:tcPr>
            <w:tcW w:type="dxa" w:w="4752"/>
            <w:shd w:val="clear" w:color="auto" w:fill="F4F8FA"/>
            <w:vAlign w:val="center"/>
            <w:tcMar>
              <w:top w:w="40" w:type="dxa"/>
              <w:left w:w="60" w:type="dxa"/>
              <w:bottom w:w="40" w:type="dxa"/>
              <w:right w:w="60" w:type="dxa"/>
            </w:tcMar>
          </w:tcPr>
          <w:p>
            <w:r>
              <w:rPr>
                <w:rFonts w:ascii="Arial" w:hAnsi="Arial" w:cs="Arial" w:eastAsia="Arial"/>
                <w:b/>
                <w:color w:val="021A32"/>
                <w:sz w:val="22"/>
                <w:szCs w:val="22"/>
              </w:rPr>
              <w:t>Full-Stack Architecture &amp; Planning</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t>15%</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FFFFF"/>
            <w:vAlign w:val="center"/>
            <w:tcMar>
              <w:top w:w="40" w:type="dxa"/>
              <w:left w:w="60" w:type="dxa"/>
              <w:bottom w:w="40" w:type="dxa"/>
              <w:right w:w="60" w:type="dxa"/>
            </w:tcMar>
          </w:tcPr>
          <w:p>
            <w:r>
              <w:rPr>
                <w:rFonts w:ascii="Arial" w:hAnsi="Arial" w:cs="Arial" w:eastAsia="Arial"/>
                <w:b/>
                <w:color w:val="021A32"/>
                <w:sz w:val="22"/>
                <w:szCs w:val="22"/>
              </w:rPr>
              <w:t>Backend Services &amp; Messaging</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t>20%</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4F8FA"/>
            <w:vAlign w:val="center"/>
            <w:tcMar>
              <w:top w:w="40" w:type="dxa"/>
              <w:left w:w="60" w:type="dxa"/>
              <w:bottom w:w="40" w:type="dxa"/>
              <w:right w:w="60" w:type="dxa"/>
            </w:tcMar>
          </w:tcPr>
          <w:p>
            <w:r>
              <w:rPr>
                <w:rFonts w:ascii="Arial" w:hAnsi="Arial" w:cs="Arial" w:eastAsia="Arial"/>
                <w:b/>
                <w:color w:val="021A32"/>
                <w:sz w:val="22"/>
                <w:szCs w:val="22"/>
              </w:rPr>
              <w:t>Frontend &amp; Persistence</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t>15%</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FFFFF"/>
            <w:vAlign w:val="center"/>
            <w:tcMar>
              <w:top w:w="40" w:type="dxa"/>
              <w:left w:w="60" w:type="dxa"/>
              <w:bottom w:w="40" w:type="dxa"/>
              <w:right w:w="60" w:type="dxa"/>
            </w:tcMar>
          </w:tcPr>
          <w:p>
            <w:r>
              <w:rPr>
                <w:rFonts w:ascii="Arial" w:hAnsi="Arial" w:cs="Arial" w:eastAsia="Arial"/>
                <w:b/>
                <w:color w:val="021A32"/>
                <w:sz w:val="22"/>
                <w:szCs w:val="22"/>
              </w:rPr>
              <w:t>CI/CD, Containers &amp; Deployment</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t>15%</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4F8FA"/>
            <w:vAlign w:val="center"/>
            <w:tcMar>
              <w:top w:w="40" w:type="dxa"/>
              <w:left w:w="60" w:type="dxa"/>
              <w:bottom w:w="40" w:type="dxa"/>
              <w:right w:w="60" w:type="dxa"/>
            </w:tcMar>
          </w:tcPr>
          <w:p>
            <w:r>
              <w:rPr>
                <w:rFonts w:ascii="Arial" w:hAnsi="Arial" w:cs="Arial" w:eastAsia="Arial"/>
                <w:b/>
                <w:color w:val="021A32"/>
                <w:sz w:val="22"/>
                <w:szCs w:val="22"/>
              </w:rPr>
              <w:t>Testing &amp; Observability</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t>10%</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FFFFF"/>
            <w:vAlign w:val="center"/>
            <w:tcMar>
              <w:top w:w="40" w:type="dxa"/>
              <w:left w:w="60" w:type="dxa"/>
              <w:bottom w:w="40" w:type="dxa"/>
              <w:right w:w="60" w:type="dxa"/>
            </w:tcMar>
          </w:tcPr>
          <w:p>
            <w:r>
              <w:rPr>
                <w:rFonts w:ascii="Arial" w:hAnsi="Arial" w:cs="Arial" w:eastAsia="Arial"/>
                <w:b/>
                <w:color w:val="021A32"/>
                <w:sz w:val="22"/>
                <w:szCs w:val="22"/>
              </w:rPr>
              <w:t>Demonstration Scenario &amp; Recovery</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t>10%</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4F8FA"/>
            <w:vAlign w:val="center"/>
            <w:tcMar>
              <w:top w:w="40" w:type="dxa"/>
              <w:left w:w="60" w:type="dxa"/>
              <w:bottom w:w="40" w:type="dxa"/>
              <w:right w:w="60" w:type="dxa"/>
            </w:tcMar>
          </w:tcPr>
          <w:p>
            <w:r>
              <w:rPr>
                <w:rFonts w:ascii="Arial" w:hAnsi="Arial" w:cs="Arial" w:eastAsia="Arial"/>
                <w:b/>
                <w:color w:val="021A32"/>
                <w:sz w:val="22"/>
                <w:szCs w:val="22"/>
              </w:rPr>
              <w:t>Security &amp; Operational Hygiene</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t>5%</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FFFFF"/>
            <w:vAlign w:val="center"/>
            <w:tcMar>
              <w:top w:w="40" w:type="dxa"/>
              <w:left w:w="60" w:type="dxa"/>
              <w:bottom w:w="40" w:type="dxa"/>
              <w:right w:w="60" w:type="dxa"/>
            </w:tcMar>
          </w:tcPr>
          <w:p>
            <w:r>
              <w:rPr>
                <w:rFonts w:ascii="Arial" w:hAnsi="Arial" w:cs="Arial" w:eastAsia="Arial"/>
                <w:b/>
                <w:color w:val="021A32"/>
                <w:sz w:val="22"/>
                <w:szCs w:val="22"/>
              </w:rPr>
              <w:t>Documentation &amp; Repository Quality</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t>5%</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4F8FA"/>
            <w:vAlign w:val="center"/>
            <w:tcMar>
              <w:top w:w="40" w:type="dxa"/>
              <w:left w:w="60" w:type="dxa"/>
              <w:bottom w:w="40" w:type="dxa"/>
              <w:right w:w="60" w:type="dxa"/>
            </w:tcMar>
          </w:tcPr>
          <w:p>
            <w:r>
              <w:rPr>
                <w:rFonts w:ascii="Arial" w:hAnsi="Arial" w:cs="Arial" w:eastAsia="Arial"/>
                <w:b/>
                <w:color w:val="021A32"/>
                <w:sz w:val="22"/>
                <w:szCs w:val="22"/>
              </w:rPr>
              <w:t>Presentation &amp; Communication</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t>5%</w:t>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4F8FA"/>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r>
        <w:tc>
          <w:tcPr>
            <w:tcW w:type="dxa" w:w="4752"/>
            <w:shd w:val="clear" w:color="auto" w:fill="FFFFFF"/>
            <w:vAlign w:val="center"/>
            <w:tcMar>
              <w:top w:w="40" w:type="dxa"/>
              <w:left w:w="60" w:type="dxa"/>
              <w:bottom w:w="40" w:type="dxa"/>
              <w:right w:w="60" w:type="dxa"/>
            </w:tcMar>
          </w:tcPr>
          <w:p>
            <w:r>
              <w:rPr>
                <w:rFonts w:ascii="Arial" w:hAnsi="Arial" w:cs="Arial" w:eastAsia="Arial"/>
                <w:b/>
                <w:color w:val="021A32"/>
                <w:sz w:val="22"/>
                <w:szCs w:val="22"/>
              </w:rPr>
              <w:t>Total</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t>100%</w:t>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c>
          <w:tcPr>
            <w:tcW w:type="dxa" w:w="1584"/>
            <w:shd w:val="clear" w:color="auto" w:fill="FFFFFF"/>
            <w:vAlign w:val="center"/>
            <w:tcMar>
              <w:top w:w="40" w:type="dxa"/>
              <w:left w:w="60" w:type="dxa"/>
              <w:bottom w:w="40" w:type="dxa"/>
              <w:right w:w="60" w:type="dxa"/>
            </w:tcMar>
          </w:tcPr>
          <w:p>
            <w:pPr>
              <w:jc w:val="center"/>
            </w:pPr>
            <w:r>
              <w:rPr>
                <w:rFonts w:ascii="Arial" w:hAnsi="Arial" w:cs="Arial" w:eastAsia="Arial"/>
                <w:b/>
                <w:color w:val="021A32"/>
                <w:sz w:val="22"/>
                <w:szCs w:val="22"/>
              </w:rPr>
            </w:r>
          </w:p>
        </w:tc>
      </w:tr>
    </w:tbl>
    <w:p>
      <w:pPr>
        <w:pStyle w:val="Heading2"/>
      </w:pPr>
      <w:r>
        <w:t>Final Score and Determination</w:t>
      </w:r>
    </w:p>
    <w:p>
      <w:pPr>
        <w:spacing w:before="120" w:after="120" w:line="240" w:lineRule="auto"/>
      </w:pPr>
      <w:r>
        <w:t>Final score: ____________ / 4.00</w:t>
      </w:r>
    </w:p>
    <w:p>
      <w:pPr>
        <w:spacing w:before="120" w:after="120" w:line="240" w:lineRule="auto"/>
      </w:pPr>
      <w:r>
        <w:t>Determination (circle one):     Exemplary (≥ 3.50)     Proficient (2.50 – 3.49)     Developing (1.50 – 2.49)     Beginning (&lt; 1.50)</w:t>
      </w:r>
    </w:p>
    <w:p>
      <w:pPr>
        <w:pStyle w:val="Heading2"/>
      </w:pPr>
      <w:r>
        <w:t>Evaluator Notes</w:t>
      </w:r>
    </w:p>
    <w:p>
      <w:pPr>
        <w:spacing w:before="80" w:after="120" w:line="300" w:lineRule="auto"/>
      </w:pPr>
      <w:r>
        <w:t>Use the space below to record strengths, gaps, and recommended next steps for the team. Specific examples — file paths, screenshots, observed pipeline runs — are more useful than general remarks.</w:t>
      </w:r>
    </w:p>
    <w:p>
      <w:pPr>
        <w:spacing w:before="120" w:after="80" w:line="240" w:lineRule="auto"/>
      </w:pPr>
      <w:r>
        <w:rPr>
          <w:b/>
          <w:color w:val="021A32"/>
        </w:rPr>
        <w:t>Strengths:</w:t>
      </w:r>
    </w:p>
    <w:p>
      <w:pPr>
        <w:spacing w:before="80" w:after="80" w:line="240" w:lineRule="auto"/>
      </w:pPr>
      <w:r>
        <w:t>________________________________________________________________________________________</w:t>
      </w:r>
    </w:p>
    <w:p>
      <w:pPr>
        <w:spacing w:before="80" w:after="80" w:line="240" w:lineRule="auto"/>
      </w:pPr>
      <w:r>
        <w:t>________________________________________________________________________________________</w:t>
      </w:r>
    </w:p>
    <w:p>
      <w:pPr>
        <w:spacing w:before="80" w:after="80" w:line="240" w:lineRule="auto"/>
      </w:pPr>
      <w:r>
        <w:t>________________________________________________________________________________________</w:t>
      </w:r>
    </w:p>
    <w:p>
      <w:pPr>
        <w:spacing w:before="120" w:after="80" w:line="240" w:lineRule="auto"/>
      </w:pPr>
      <w:r>
        <w:rPr>
          <w:b/>
          <w:color w:val="021A32"/>
        </w:rPr>
        <w:t>Areas for Growth:</w:t>
      </w:r>
    </w:p>
    <w:p>
      <w:pPr>
        <w:spacing w:before="80" w:after="80" w:line="240" w:lineRule="auto"/>
      </w:pPr>
      <w:r>
        <w:t>________________________________________________________________________________________</w:t>
      </w:r>
    </w:p>
    <w:p>
      <w:pPr>
        <w:spacing w:before="80" w:after="80" w:line="240" w:lineRule="auto"/>
      </w:pPr>
      <w:r>
        <w:t>________________________________________________________________________________________</w:t>
      </w:r>
    </w:p>
    <w:p>
      <w:pPr>
        <w:spacing w:before="80" w:after="80" w:line="240" w:lineRule="auto"/>
      </w:pPr>
      <w:r>
        <w:t>________________________________________________________________________________________</w:t>
      </w:r>
    </w:p>
    <w:p>
      <w:pPr>
        <w:spacing w:before="120" w:after="80" w:line="240" w:lineRule="auto"/>
      </w:pPr>
      <w:r>
        <w:rPr>
          <w:b/>
          <w:color w:val="021A32"/>
        </w:rPr>
        <w:t>Recommended Next Steps:</w:t>
      </w:r>
    </w:p>
    <w:p>
      <w:pPr>
        <w:spacing w:before="80" w:after="80" w:line="240" w:lineRule="auto"/>
      </w:pPr>
      <w:r>
        <w:t>________________________________________________________________________________________</w:t>
      </w:r>
    </w:p>
    <w:p>
      <w:pPr>
        <w:spacing w:before="80" w:after="80" w:line="240" w:lineRule="auto"/>
      </w:pPr>
      <w:r>
        <w:t>________________________________________________________________________________________</w:t>
      </w:r>
    </w:p>
    <w:p>
      <w:pPr>
        <w:spacing w:before="80" w:after="80" w:line="240" w:lineRule="auto"/>
      </w:pPr>
      <w:r>
        <w:t>________________________________________________________________________________________</w:t>
      </w:r>
    </w:p>
    <w:p>
      <w:pPr>
        <w:pStyle w:val="Heading2"/>
      </w:pPr>
      <w:r>
        <w:t>Evaluator Information</w:t>
      </w:r>
    </w:p>
    <w:p>
      <w:pPr>
        <w:spacing w:before="80" w:after="80" w:line="240" w:lineRule="auto"/>
      </w:pPr>
      <w:r>
        <w:t>Team Name: ________________________________________________________________</w:t>
      </w:r>
    </w:p>
    <w:p>
      <w:pPr>
        <w:spacing w:before="80" w:after="80" w:line="240" w:lineRule="auto"/>
      </w:pPr>
      <w:r>
        <w:t>Team Members: ________________________________________________________________</w:t>
      </w:r>
    </w:p>
    <w:p>
      <w:pPr>
        <w:spacing w:before="80" w:after="80" w:line="240" w:lineRule="auto"/>
      </w:pPr>
      <w:r>
        <w:t>Evaluator Name: ________________________________________________________________</w:t>
      </w:r>
    </w:p>
    <w:p>
      <w:pPr>
        <w:spacing w:before="80" w:after="80" w:line="240" w:lineRule="auto"/>
      </w:pPr>
      <w:r>
        <w:t>Evaluator Role: ________________________________________________________________</w:t>
      </w:r>
    </w:p>
    <w:p>
      <w:pPr>
        <w:spacing w:before="80" w:after="80" w:line="240" w:lineRule="auto"/>
      </w:pPr>
      <w:r>
        <w:t>Date of Evaluation: ________________________________________________________________</w:t>
      </w:r>
    </w:p>
    <w:p>
      <w:pPr>
        <w:spacing w:before="80" w:after="80" w:line="240" w:lineRule="auto"/>
      </w:pPr>
      <w:r>
        <w:t>Evaluator Signature: ________________________________________________________________</w:t>
      </w:r>
    </w:p>
    <w:p>
      <w:pPr>
        <w:pStyle w:val="Heading2"/>
      </w:pPr>
      <w:r>
        <w:t>Mapping to Week 6 Labs</w:t>
      </w:r>
    </w:p>
    <w:p>
      <w:pPr>
        <w:spacing w:before="80" w:after="120" w:line="300" w:lineRule="auto"/>
      </w:pPr>
      <w:r>
        <w:t>This weighted rubric evaluates the integrated Week 6 outcome. Day-to-day coaching may still use the 100-point per-lab checklist in Labs 48–52; Lab 52 self-score should reconcile to this final determination using the evidence index.</w:t>
      </w:r>
    </w:p>
    <w:sectPr>
      <w:headerReference w:type="default" r:id="rId7"/>
      <w:footerReference w:type="default" r:id="rId8"/>
      <w:pgSz w:w="12240" w:h="15840" w:orient="portrait"/>
      <w:pgMar w:top="18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40" w:before="0"/>
      <w:jc w:val="center"/>
    </w:pPr>
    <w:r>
      <w:rPr>
        <w:color w:val="007698"/>
        <w:sz w:val="18"/>
        <w:szCs w:val="18"/>
      </w:rPr>
      <w:t xml:space="preserve">TEKsystems Global Services | Platform Engineer Networking Bootcamp Capstone Rubric</w:t>
    </w:r>
  </w:p>
  <w:p>
    <w:pPr>
      <w:spacing w:after="0" w:before="0"/>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5857875" cy="685800"/>
          <wp:effectExtent t="0" r="0" b="0" l="0"/>
          <wp:docPr id="1" name="banner" descr="TEKsystems Global Services banner" title="TG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857875" cy="685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007698"/>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5279ceb61a2cacb296f9f46cab5516c89145089.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a786a2d03c816a04ddb836074173967abc56480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Engineer Networking Bootcamp Capstone Rubric</dc:title>
  <dc:creator>TEKsystems Global Services</dc:creator>
  <cp:lastModifiedBy>Un-named</cp:lastModifiedBy>
  <cp:revision>1</cp:revision>
  <dcterms:created xsi:type="dcterms:W3CDTF">2026-05-17T19:54:58.938Z</dcterms:created>
  <dcterms:modified xsi:type="dcterms:W3CDTF">2026-05-17T19:54:58.938Z</dcterms:modified>
</cp:coreProperties>
</file>

<file path=docProps/custom.xml><?xml version="1.0" encoding="utf-8"?>
<Properties xmlns="http://schemas.openxmlformats.org/officeDocument/2006/custom-properties" xmlns:vt="http://schemas.openxmlformats.org/officeDocument/2006/docPropsVTypes"/>
</file>