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WS3 Source Review &amp; Rules Engine Framing</w:t>
      </w:r>
    </w:p>
    <w:p>
      <w:pPr>
        <w:spacing w:after="120"/>
      </w:pPr>
      <w:r>
        <w:t xml:space="preserve">Review of five MCPWO spill-response documents for WS3, revised so the rules engine is built on the 2018 handbook and works for every drain in the county. Checked against </w:t>
      </w:r>
      <w:r>
        <w:rPr>
          <w:rFonts w:ascii="Consolas" w:cs="Consolas" w:eastAsia="Consolas" w:hAnsi="Consolas"/>
          <w:sz w:val="20"/>
          <w:szCs w:val="20"/>
        </w:rPr>
        <w:t xml:space="preserve">WS3-Plan.md</w:t>
      </w:r>
      <w:r>
        <w:t xml:space="preserve">, </w:t>
      </w:r>
      <w:r>
        <w:rPr>
          <w:rFonts w:ascii="Consolas" w:cs="Consolas" w:eastAsia="Consolas" w:hAnsi="Consolas"/>
          <w:sz w:val="20"/>
          <w:szCs w:val="20"/>
        </w:rPr>
        <w:t xml:space="preserve">WS4-Plan.md</w:t>
      </w:r>
      <w:r>
        <w:t xml:space="preserve"> and </w:t>
      </w:r>
      <w:r>
        <w:rPr>
          <w:rFonts w:ascii="Consolas" w:cs="Consolas" w:eastAsia="Consolas" w:hAnsi="Consolas"/>
          <w:sz w:val="20"/>
          <w:szCs w:val="20"/>
        </w:rPr>
        <w:t xml:space="preserve">Architecture.md</w:t>
      </w:r>
      <w:r>
        <w:t xml:space="preserve">. Revised October 15, 2026.</w:t>
      </w:r>
    </w:p>
    <w:p>
      <w:pPr>
        <w:pStyle w:val="Heading1"/>
      </w:pPr>
      <w:r>
        <w:t xml:space="preserve">Framing</w:t>
      </w:r>
    </w:p>
    <w:p>
      <w:pPr>
        <w:pStyle w:val="ListParagraph"/>
        <w:numPr>
          <w:ilvl w:val="0"/>
          <w:numId w:val="2"/>
        </w:numPr>
        <w:spacing w:after="60"/>
      </w:pPr>
      <w:r>
        <w:rPr>
          <w:b/>
          <w:bCs/>
        </w:rPr>
        <w:t xml:space="preserve">The handbook is the rules engine.</w:t>
      </w:r>
      <w:r>
        <w:t xml:space="preserve"> The 2018 Draft Stormwater Spill Response Protocol applies to any spill anywhere in the county. Its decision points become the engine’s rules (Section 3).</w:t>
      </w:r>
    </w:p>
    <w:p>
      <w:pPr>
        <w:pStyle w:val="ListParagraph"/>
        <w:numPr>
          <w:ilvl w:val="0"/>
          <w:numId w:val="2"/>
        </w:numPr>
        <w:spacing w:after="60"/>
      </w:pPr>
      <w:r>
        <w:rPr>
          <w:b/>
          <w:bCs/>
        </w:rPr>
        <w:t xml:space="preserve">Red Run is the exception, not the template.</w:t>
      </w:r>
      <w:r>
        <w:t xml:space="preserve"> It is one drain getting pre-planned response infrastructure (mapped crossings, boom anchors, access agreements). Most drains have none of this, so the engine must give a complete answer without it.</w:t>
      </w:r>
    </w:p>
    <w:p>
      <w:pPr>
        <w:pStyle w:val="ListParagraph"/>
        <w:numPr>
          <w:ilvl w:val="0"/>
          <w:numId w:val="2"/>
        </w:numPr>
        <w:spacing w:after="60"/>
      </w:pPr>
      <w:r>
        <w:rPr>
          <w:b/>
          <w:bCs/>
        </w:rPr>
        <w:t xml:space="preserve">Drain-specific plans are an overlay.</w:t>
      </w:r>
      <w:r>
        <w:t xml:space="preserve"> Where a plan exists (Red Run today), it adds precise field actions on top of the handbook result. Where it doesn’t, the handbook result stands alone.</w:t>
      </w:r>
    </w:p>
    <w:p>
      <w:pPr>
        <w:pStyle w:val="ListParagraph"/>
        <w:numPr>
          <w:ilvl w:val="0"/>
          <w:numId w:val="2"/>
        </w:numPr>
        <w:spacing w:after="60"/>
      </w:pPr>
      <w:r>
        <w:rPr>
          <w:b/>
          <w:bCs/>
        </w:rPr>
        <w:t xml:space="preserve">Large known drains get first-class treatment.</w:t>
      </w:r>
      <w:r>
        <w:t xml:space="preserve"> They carry the most flow, cross the most jurisdictions, and are where crews intercept spills from the smaller drains and storm sewers that feed them. WS3 should model them explicitly rather than treating them as just one more polygon.</w:t>
      </w:r>
    </w:p>
    <w:p>
      <w:pPr>
        <w:pStyle w:val="Heading1"/>
      </w:pPr>
      <w:r>
        <w:t xml:space="preserve">Proposed drain tiers</w:t>
      </w:r>
    </w:p>
    <w:p>
      <w:pPr>
        <w:spacing w:after="120"/>
      </w:pPr>
      <w:r>
        <w:t xml:space="preserve">Tier is a WS3 output attached to the drain the spill reaches. Tier membership needs MCPWO confirmation; the examples below are only those named in the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560"/>
        <w:gridCol w:w="22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Tier</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Definition</w:t>
            </w:r>
          </w:p>
        </w:tc>
        <w:tc>
          <w:tcPr>
            <w:tcW w:type="dxa" w:w="2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Examples from the documents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the engine does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known drain </w:t>
            </w:r>
            <w:r>
              <w:rPr>
                <w:b/>
                <w:bCs/>
                <w:sz w:val="19"/>
                <w:szCs w:val="19"/>
              </w:rPr>
              <w:t xml:space="preserve">with</w:t>
            </w:r>
            <w:r>
              <w:rPr>
                <w:sz w:val="19"/>
                <w:szCs w:val="19"/>
              </w:rPr>
              <w:t xml:space="preserve"> a response plan</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 Run (RRIDD, intercounty)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Handbook rules + plan overlay: next downstream crossing, boom site, access contacts</w:t>
            </w:r>
          </w:p>
        </w:tc>
      </w:tr>
      <w:tr>
        <w:trPr>
          <w:tblHeader w:val="false"/>
        </w:trPr>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2</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Large known / intercounty drain </w:t>
            </w:r>
            <w:r>
              <w:rPr>
                <w:b/>
                <w:bCs/>
                <w:sz w:val="19"/>
                <w:szCs w:val="19"/>
              </w:rPr>
              <w:t xml:space="preserve">without</w:t>
            </w:r>
            <w:r>
              <w:rPr>
                <w:sz w:val="19"/>
                <w:szCs w:val="19"/>
              </w:rPr>
              <w:t xml:space="preserve"> a plan</w:t>
            </w:r>
          </w:p>
        </w:tc>
        <w:tc>
          <w:tcPr>
            <w:tcW w:type="dxa" w:w="2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Bear Creek (016, intercounty), Plum Brook (282), Sterling Relief (391), Schoenherr Relief (340), Big Beaver Creek</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Handbook rules + generic intercept guidance: next downstream road crossing on that drain, computed from geometry</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county drains, open or enclosed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Vermander, Hartlien Relief (484), Meckler (239), Smith Rivard (365), Red Run Branches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Handbook rules; trace downstream to the first Tier 1/2 drain and report it</w:t>
            </w:r>
          </w:p>
        </w:tc>
      </w:tr>
      <w:tr>
        <w:trPr>
          <w:tblHeader w:val="false"/>
        </w:trPr>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4</w:t>
            </w:r>
          </w:p>
        </w:tc>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Not a county asset</w:t>
            </w:r>
          </w:p>
        </w:tc>
        <w:tc>
          <w:tcPr>
            <w:tcW w:type="dxa" w:w="25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Roads dept. storm sewers, municipal storm sewers, private ditches</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Refer to the owner (handbook §3, §6.2); still trace downstream to see if it reaches a county drain</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Excluded by the handbook</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Sanitary/combined sewer overflows, NPDES-permitted facilities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as a different procedure; do not run spill rules</w:t>
            </w:r>
          </w:p>
        </w:tc>
      </w:tr>
    </w:tbl>
    <w:p>
      <w:pPr>
        <w:spacing w:after="120"/>
      </w:pPr>
    </w:p>
    <w:p>
      <w:pPr>
        <w:pStyle w:val="Heading1"/>
      </w:pPr>
      <w:r>
        <w:t xml:space="preserve">Handbook → rules</w:t>
      </w:r>
    </w:p>
    <w:p>
      <w:pPr>
        <w:spacing w:after="120"/>
      </w:pPr>
      <w:r>
        <w:t xml:space="preserve">Each row is a rule derived from the 2018 protocol. “Input” shows which field drives it and who supplies that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860"/>
        <w:gridCol w:w="2200"/>
        <w:gridCol w:w="13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Condition</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Action / who</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Input (owner)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Source</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Immediate threat to public health or safety</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Call 911 first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immediate_threat</w:t>
            </w:r>
            <w:r>
              <w:rPr>
                <w:sz w:val="19"/>
                <w:szCs w:val="19"/>
              </w:rPr>
              <w:t xml:space="preserve"> (WS2)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checklist</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R2</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Any report</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Route to MCPWO Environmental Engineer; backup Construction Engineer, then Table 1</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§6.1</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Minor: failed septic, leaking dumpster, storage pile, minor soil erosion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Next-business-day follow-up or refer to owning jurisdiction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material</w:t>
            </w:r>
            <w:r>
              <w:rPr>
                <w:sz w:val="19"/>
                <w:szCs w:val="19"/>
              </w:rPr>
              <w:t xml:space="preserve">/</w:t>
            </w:r>
            <w:r>
              <w:rPr>
                <w:rFonts w:ascii="Consolas" w:cs="Consolas" w:eastAsia="Consolas" w:hAnsi="Consolas"/>
                <w:sz w:val="16"/>
                <w:szCs w:val="16"/>
              </w:rPr>
              <w:t xml:space="preserve">incident_type</w:t>
            </w:r>
            <w:r>
              <w:rPr>
                <w:sz w:val="19"/>
                <w:szCs w:val="19"/>
              </w:rPr>
              <w:t xml:space="preserve"> (WS2)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R4</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Reaches a county drain, county storm water system, county sewer or facility</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Immediate site visit; run checklist and event log</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rFonts w:ascii="Consolas" w:cs="Consolas" w:eastAsia="Consolas" w:hAnsi="Consolas"/>
                <w:sz w:val="16"/>
                <w:szCs w:val="16"/>
              </w:rPr>
              <w:t xml:space="preserve">conveyance_owner</w:t>
            </w:r>
            <w:r>
              <w:rPr>
                <w:sz w:val="19"/>
                <w:szCs w:val="19"/>
              </w:rPr>
              <w:t xml:space="preserve"> (WS3)</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§6.3</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not reach a county system (Tier 4)</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Refer to owner (roads dept., municipality, private); county not lead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conveyance_owner</w:t>
            </w:r>
            <w:r>
              <w:rPr>
                <w:sz w:val="19"/>
                <w:szCs w:val="19"/>
              </w:rPr>
              <w:t xml:space="preserve"> (WS3)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§6.2</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R6</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From or into a county sanitary or combined sewer</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Notify Operations &amp; Flow Manager and Chapaton staff</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rFonts w:ascii="Consolas" w:cs="Consolas" w:eastAsia="Consolas" w:hAnsi="Consolas"/>
                <w:sz w:val="16"/>
                <w:szCs w:val="16"/>
              </w:rPr>
              <w:t xml:space="preserve">conveyance_type</w:t>
            </w:r>
            <w:r>
              <w:rPr>
                <w:sz w:val="19"/>
                <w:szCs w:val="19"/>
              </w:rPr>
              <w:t xml:space="preserve"> (WS3)</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§6.2</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Spill confirmed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Phone + email EGLE, County Health, affected municipality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municipality</w:t>
            </w:r>
            <w:r>
              <w:rPr>
                <w:sz w:val="19"/>
                <w:szCs w:val="19"/>
              </w:rPr>
              <w:t xml:space="preserve"> (WS3)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Checklist</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R8</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After hours</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PEAS 1-800-292-4706</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rFonts w:ascii="Consolas" w:cs="Consolas" w:eastAsia="Consolas" w:hAnsi="Consolas"/>
                <w:sz w:val="16"/>
                <w:szCs w:val="16"/>
              </w:rPr>
              <w:t xml:space="preserve">reported_at</w:t>
            </w:r>
            <w:r>
              <w:rPr>
                <w:sz w:val="19"/>
                <w:szCs w:val="19"/>
              </w:rPr>
              <w:t xml:space="preserve"> (WS2)</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Checklist</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external notification made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internal email notification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R10</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Non-hazardous material</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Boom/contain in county right-of-way; earthen dam if spill is the only flow</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rFonts w:ascii="Consolas" w:cs="Consolas" w:eastAsia="Consolas" w:hAnsi="Consolas"/>
                <w:sz w:val="16"/>
                <w:szCs w:val="16"/>
              </w:rPr>
              <w:t xml:space="preserve">hazard_class</w:t>
            </w:r>
            <w:r>
              <w:rPr>
                <w:sz w:val="19"/>
                <w:szCs w:val="19"/>
              </w:rPr>
              <w:t xml:space="preserve"> (WS2)</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Containment</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R11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Hazardous or unknown material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MCPWO does not boom; local fire / County HAZMAT / contractor (Table 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hazard_class</w:t>
            </w:r>
            <w:r>
              <w:rPr>
                <w:sz w:val="19"/>
                <w:szCs w:val="19"/>
              </w:rPr>
              <w:t xml:space="preserve"> (WS2)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Containment, §6.2</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R12</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Oil to navigable water or a tributary</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NRC / USCG; track costs for OPA 90 claim</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rFonts w:ascii="Consolas" w:cs="Consolas" w:eastAsia="Consolas" w:hAnsi="Consolas"/>
                <w:sz w:val="16"/>
                <w:szCs w:val="16"/>
              </w:rPr>
              <w:t xml:space="preserve">material</w:t>
            </w:r>
            <w:r>
              <w:rPr>
                <w:sz w:val="19"/>
                <w:szCs w:val="19"/>
              </w:rPr>
              <w:t xml:space="preserve"> (WS2), </w:t>
            </w:r>
            <w:r>
              <w:rPr>
                <w:rFonts w:ascii="Consolas" w:cs="Consolas" w:eastAsia="Consolas" w:hAnsi="Consolas"/>
                <w:sz w:val="16"/>
                <w:szCs w:val="16"/>
              </w:rPr>
              <w:t xml:space="preserve">downstream_path</w:t>
            </w:r>
            <w:r>
              <w:rPr>
                <w:sz w:val="19"/>
                <w:szCs w:val="19"/>
              </w:rPr>
              <w:t xml:space="preserve"> (WS3)</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Cost recovery</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R13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Sampling performed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results to EGLE, County Health, municipality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After incident</w:t>
            </w:r>
          </w:p>
        </w:tc>
      </w:tr>
      <w:tr>
        <w:trPr>
          <w:tblHeader w:val="false"/>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R14</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Close-out</w:t>
            </w:r>
          </w:p>
        </w:tc>
        <w:tc>
          <w:tcPr>
            <w:tcW w:type="dxa" w:w="2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Assign IDEP complaint number; log location in GIS</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sz w:val="19"/>
                <w:szCs w:val="19"/>
              </w:rPr>
              <w:t xml:space="preserve">Follow-up</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Tier 1 overlay (Red Run)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Next downstream crossing and boom site; access contacts (OCWRC, SMDA, Huron Academy); notify OCWRC if source is upstream in Oakland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6"/>
                <w:szCs w:val="16"/>
              </w:rPr>
              <w:t xml:space="preserve">drain_id</w:t>
            </w:r>
            <w:r>
              <w:rPr>
                <w:sz w:val="19"/>
                <w:szCs w:val="19"/>
              </w:rPr>
              <w:t xml:space="preserve">, </w:t>
            </w:r>
            <w:r>
              <w:rPr>
                <w:rFonts w:ascii="Consolas" w:cs="Consolas" w:eastAsia="Consolas" w:hAnsi="Consolas"/>
                <w:sz w:val="16"/>
                <w:szCs w:val="16"/>
              </w:rPr>
              <w:t xml:space="preserve">downstream_path</w:t>
            </w:r>
            <w:r>
              <w:rPr>
                <w:sz w:val="19"/>
                <w:szCs w:val="19"/>
              </w:rPr>
              <w:t xml:space="preserve"> (WS3)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HRC plan set</w:t>
            </w:r>
          </w:p>
        </w:tc>
      </w:tr>
    </w:tbl>
    <w:p>
      <w:pPr>
        <w:spacing w:after="120"/>
      </w:pPr>
    </w:p>
    <w:p>
      <w:pPr>
        <w:pStyle w:val="Heading1"/>
      </w:pPr>
      <w:r>
        <w:t xml:space="preserve">What WS3 must hand the rules engine</w:t>
      </w:r>
    </w:p>
    <w:p>
      <w:pPr>
        <w:spacing w:after="120"/>
      </w:pPr>
      <w:r>
        <w:t xml:space="preserve">The current WS3 output (jurisdiction list + nearest water + downstream path) is not enough to drive these rules. Add:</w:t>
      </w:r>
    </w:p>
    <w:p>
      <w:pPr>
        <w:pStyle w:val="ListParagraph"/>
        <w:numPr>
          <w:ilvl w:val="0"/>
          <w:numId w:val="2"/>
        </w:numPr>
        <w:spacing w:after="60"/>
      </w:pPr>
      <w:r>
        <w:rPr>
          <w:rFonts w:ascii="Consolas" w:cs="Consolas" w:eastAsia="Consolas" w:hAnsi="Consolas"/>
          <w:sz w:val="20"/>
          <w:szCs w:val="20"/>
        </w:rPr>
        <w:t xml:space="preserve">drain_id</w:t>
      </w:r>
      <w:r>
        <w:t xml:space="preserve">, </w:t>
      </w:r>
      <w:r>
        <w:rPr>
          <w:rFonts w:ascii="Consolas" w:cs="Consolas" w:eastAsia="Consolas" w:hAnsi="Consolas"/>
          <w:sz w:val="20"/>
          <w:szCs w:val="20"/>
        </w:rPr>
        <w:t xml:space="preserve">drain_name</w:t>
      </w:r>
      <w:r>
        <w:t xml:space="preserve">, </w:t>
      </w:r>
      <w:r>
        <w:rPr>
          <w:rFonts w:ascii="Consolas" w:cs="Consolas" w:eastAsia="Consolas" w:hAnsi="Consolas"/>
          <w:sz w:val="20"/>
          <w:szCs w:val="20"/>
        </w:rPr>
        <w:t xml:space="preserve">drain_tier</w:t>
      </w:r>
      <w:r>
        <w:t xml:space="preserve"> for the drain the spill reaches (snap distance included).</w:t>
      </w:r>
    </w:p>
    <w:p>
      <w:pPr>
        <w:pStyle w:val="ListParagraph"/>
        <w:numPr>
          <w:ilvl w:val="0"/>
          <w:numId w:val="2"/>
        </w:numPr>
        <w:spacing w:after="60"/>
      </w:pPr>
      <w:r>
        <w:rPr>
          <w:rFonts w:ascii="Consolas" w:cs="Consolas" w:eastAsia="Consolas" w:hAnsi="Consolas"/>
          <w:sz w:val="20"/>
          <w:szCs w:val="20"/>
        </w:rPr>
        <w:t xml:space="preserve">conveyance_owner</w:t>
      </w:r>
      <w:r>
        <w:t xml:space="preserve"> (county_drain, county_storm, county_sewer, roads_dept, municipal_ms4, private, unknown) and </w:t>
      </w:r>
      <w:r>
        <w:rPr>
          <w:rFonts w:ascii="Consolas" w:cs="Consolas" w:eastAsia="Consolas" w:hAnsi="Consolas"/>
          <w:sz w:val="20"/>
          <w:szCs w:val="20"/>
        </w:rPr>
        <w:t xml:space="preserve">conveyance_type</w:t>
      </w:r>
      <w:r>
        <w:t xml:space="preserve"> (open, enclosed, sanitary, combined). R4–R6 hinge on these.</w:t>
      </w:r>
    </w:p>
    <w:p>
      <w:pPr>
        <w:pStyle w:val="ListParagraph"/>
        <w:numPr>
          <w:ilvl w:val="0"/>
          <w:numId w:val="2"/>
        </w:numPr>
        <w:spacing w:after="60"/>
      </w:pPr>
      <w:r>
        <w:rPr>
          <w:rFonts w:ascii="Consolas" w:cs="Consolas" w:eastAsia="Consolas" w:hAnsi="Consolas"/>
          <w:sz w:val="20"/>
          <w:szCs w:val="20"/>
        </w:rPr>
        <w:t xml:space="preserve">first_major_drain_downstream</w:t>
      </w:r>
      <w:r>
        <w:t xml:space="preserve">: the first Tier 1/2 drain on the downstream path, with distance. This is where crews intercept spills from small drains and storm sewers.</w:t>
      </w:r>
    </w:p>
    <w:p>
      <w:pPr>
        <w:pStyle w:val="ListParagraph"/>
        <w:numPr>
          <w:ilvl w:val="0"/>
          <w:numId w:val="2"/>
        </w:numPr>
        <w:spacing w:after="60"/>
      </w:pPr>
      <w:r>
        <w:rPr>
          <w:rFonts w:ascii="Consolas" w:cs="Consolas" w:eastAsia="Consolas" w:hAnsi="Consolas"/>
          <w:sz w:val="20"/>
          <w:szCs w:val="20"/>
        </w:rPr>
        <w:t xml:space="preserve">next_intercept_point</w:t>
      </w:r>
      <w:r>
        <w:t xml:space="preserve">: for Tier 1, the next planned crossing from the plan set; for Tier 2, the next road crossing computed from road × drain intersections.</w:t>
      </w:r>
    </w:p>
    <w:p>
      <w:pPr>
        <w:pStyle w:val="ListParagraph"/>
        <w:numPr>
          <w:ilvl w:val="0"/>
          <w:numId w:val="2"/>
        </w:numPr>
        <w:spacing w:after="60"/>
      </w:pPr>
      <w:r>
        <w:rPr>
          <w:rFonts w:ascii="Consolas" w:cs="Consolas" w:eastAsia="Consolas" w:hAnsi="Consolas"/>
          <w:sz w:val="20"/>
          <w:szCs w:val="20"/>
        </w:rPr>
        <w:t xml:space="preserve">upstream_counties</w:t>
      </w:r>
      <w:r>
        <w:t xml:space="preserve">: set when the drain continues upstream into Oakland or St. Clair County (Red Run/GWK at Dequindre).</w:t>
      </w:r>
    </w:p>
    <w:p>
      <w:pPr>
        <w:pStyle w:val="Heading1"/>
      </w:pPr>
      <w:r>
        <w:t xml:space="preserve">Changes to the WS3 and WS4 plans</w:t>
      </w:r>
    </w:p>
    <w:p>
      <w:pPr>
        <w:pStyle w:val="ListParagraph"/>
        <w:numPr>
          <w:ilvl w:val="0"/>
          <w:numId w:val="3"/>
        </w:numPr>
        <w:spacing w:after="60"/>
      </w:pPr>
      <w:r>
        <w:rPr>
          <w:b/>
          <w:bCs/>
        </w:rPr>
        <w:t xml:space="preserve">Top data priority:</w:t>
      </w:r>
      <w:r>
        <w:t xml:space="preserve"> request MCPWO’s county drain inventory (names, drain numbers, open/enclosed segments, intercounty status, connections). It now matters more than NHD, which will miss most county drains. NHD stays for the Clinton River and Lake St. Clair.</w:t>
      </w:r>
    </w:p>
    <w:p>
      <w:pPr>
        <w:pStyle w:val="ListParagraph"/>
        <w:numPr>
          <w:ilvl w:val="0"/>
          <w:numId w:val="3"/>
        </w:numPr>
        <w:spacing w:after="60"/>
      </w:pPr>
      <w:r>
        <w:rPr>
          <w:b/>
          <w:bCs/>
        </w:rPr>
        <w:t xml:space="preserve">Add a `drains` table and a `response_sites` table.</w:t>
      </w:r>
      <w:r>
        <w:t xml:space="preserve"> </w:t>
      </w:r>
      <w:r>
        <w:rPr>
          <w:rFonts w:ascii="Consolas" w:cs="Consolas" w:eastAsia="Consolas" w:hAnsi="Consolas"/>
          <w:sz w:val="20"/>
          <w:szCs w:val="20"/>
        </w:rPr>
        <w:t xml:space="preserve">response_sites</w:t>
      </w:r>
      <w:r>
        <w:t xml:space="preserve"> (drain_id, order, location, access notes, boom anchor, gate contact) holds Red Run’s 18 crossings and stays empty for drains without a plan.</w:t>
      </w:r>
    </w:p>
    <w:p>
      <w:pPr>
        <w:pStyle w:val="ListParagraph"/>
        <w:numPr>
          <w:ilvl w:val="0"/>
          <w:numId w:val="3"/>
        </w:numPr>
        <w:spacing w:after="60"/>
      </w:pPr>
      <w:r>
        <w:rPr>
          <w:b/>
          <w:bCs/>
        </w:rPr>
        <w:t xml:space="preserve">Downstream tracing walks the drain network first,</w:t>
      </w:r>
      <w:r>
        <w:t xml:space="preserve"> then hands off to NHD at the Clinton River.</w:t>
      </w:r>
    </w:p>
    <w:p>
      <w:pPr>
        <w:pStyle w:val="ListParagraph"/>
        <w:numPr>
          <w:ilvl w:val="0"/>
          <w:numId w:val="3"/>
        </w:numPr>
        <w:spacing w:after="60"/>
      </w:pPr>
      <w:r>
        <w:rPr>
          <w:b/>
          <w:bCs/>
        </w:rPr>
        <w:t xml:space="preserve">Rebalance test cases toward major drains:</w:t>
      </w:r>
      <w:r>
        <w:t xml:space="preserve"> at least one point on each Tier 1/2 drain, plus one Tier 3 point that should trace into each of them. Use the incident addresses below as real cases.</w:t>
      </w:r>
    </w:p>
    <w:p>
      <w:pPr>
        <w:pStyle w:val="ListParagraph"/>
        <w:numPr>
          <w:ilvl w:val="0"/>
          <w:numId w:val="3"/>
        </w:numPr>
        <w:spacing w:after="60"/>
      </w:pPr>
      <w:r>
        <w:rPr>
          <w:b/>
          <w:bCs/>
        </w:rPr>
        <w:t xml:space="preserve">WS4 `rules` table needs new match columns:</w:t>
      </w:r>
      <w:r>
        <w:t xml:space="preserve"> </w:t>
      </w:r>
      <w:r>
        <w:rPr>
          <w:rFonts w:ascii="Consolas" w:cs="Consolas" w:eastAsia="Consolas" w:hAnsi="Consolas"/>
          <w:sz w:val="20"/>
          <w:szCs w:val="20"/>
        </w:rPr>
        <w:t xml:space="preserve">drain_tier</w:t>
      </w:r>
      <w:r>
        <w:t xml:space="preserve">, </w:t>
      </w:r>
      <w:r>
        <w:rPr>
          <w:rFonts w:ascii="Consolas" w:cs="Consolas" w:eastAsia="Consolas" w:hAnsi="Consolas"/>
          <w:sz w:val="20"/>
          <w:szCs w:val="20"/>
        </w:rPr>
        <w:t xml:space="preserve">conveyance_owner</w:t>
      </w:r>
      <w:r>
        <w:t xml:space="preserve">, </w:t>
      </w:r>
      <w:r>
        <w:rPr>
          <w:rFonts w:ascii="Consolas" w:cs="Consolas" w:eastAsia="Consolas" w:hAnsi="Consolas"/>
          <w:sz w:val="20"/>
          <w:szCs w:val="20"/>
        </w:rPr>
        <w:t xml:space="preserve">hazard_class</w:t>
      </w:r>
      <w:r>
        <w:t xml:space="preserve">, </w:t>
      </w:r>
      <w:r>
        <w:rPr>
          <w:rFonts w:ascii="Consolas" w:cs="Consolas" w:eastAsia="Consolas" w:hAnsi="Consolas"/>
          <w:sz w:val="20"/>
          <w:szCs w:val="20"/>
        </w:rPr>
        <w:t xml:space="preserve">after_hours</w:t>
      </w:r>
      <w:r>
        <w:t xml:space="preserve">, </w:t>
      </w:r>
      <w:r>
        <w:rPr>
          <w:rFonts w:ascii="Consolas" w:cs="Consolas" w:eastAsia="Consolas" w:hAnsi="Consolas"/>
          <w:sz w:val="20"/>
          <w:szCs w:val="20"/>
        </w:rPr>
        <w:t xml:space="preserve">immediate_threat</w:t>
      </w:r>
      <w:r>
        <w:t xml:space="preserve">, and an </w:t>
      </w:r>
      <w:r>
        <w:rPr>
          <w:rFonts w:ascii="Consolas" w:cs="Consolas" w:eastAsia="Consolas" w:hAnsi="Consolas"/>
          <w:sz w:val="20"/>
          <w:szCs w:val="20"/>
        </w:rPr>
        <w:t xml:space="preserve">action_type</w:t>
      </w:r>
      <w:r>
        <w:t xml:space="preserve"> (notify, field_action, refer) so rules can return actions, not only contacts. </w:t>
      </w:r>
      <w:r>
        <w:rPr>
          <w:rFonts w:ascii="Consolas" w:cs="Consolas" w:eastAsia="Consolas" w:hAnsi="Consolas"/>
          <w:sz w:val="20"/>
          <w:szCs w:val="20"/>
        </w:rPr>
        <w:t xml:space="preserve">src/models/rule.py</w:t>
      </w:r>
      <w:r>
        <w:t xml:space="preserve"> also lacks the </w:t>
      </w:r>
      <w:r>
        <w:rPr>
          <w:rFonts w:ascii="Consolas" w:cs="Consolas" w:eastAsia="Consolas" w:hAnsi="Consolas"/>
          <w:sz w:val="20"/>
          <w:szCs w:val="20"/>
        </w:rPr>
        <w:t xml:space="preserve">legal_citation</w:t>
      </w:r>
      <w:r>
        <w:t xml:space="preserve"> and </w:t>
      </w:r>
      <w:r>
        <w:rPr>
          <w:rFonts w:ascii="Consolas" w:cs="Consolas" w:eastAsia="Consolas" w:hAnsi="Consolas"/>
          <w:sz w:val="20"/>
          <w:szCs w:val="20"/>
        </w:rPr>
        <w:t xml:space="preserve">priority</w:t>
      </w:r>
      <w:r>
        <w:t xml:space="preserve"> columns the WS4 plan specifies.</w:t>
      </w:r>
    </w:p>
    <w:p>
      <w:pPr>
        <w:pStyle w:val="ListParagraph"/>
        <w:numPr>
          <w:ilvl w:val="0"/>
          <w:numId w:val="3"/>
        </w:numPr>
        <w:spacing w:after="60"/>
      </w:pPr>
      <w:r>
        <w:rPr>
          <w:b/>
          <w:bCs/>
        </w:rPr>
        <w:t xml:space="preserve">Schema mismatch:</w:t>
      </w:r>
      <w:r>
        <w:t xml:space="preserve"> </w:t>
      </w:r>
      <w:r>
        <w:rPr>
          <w:rFonts w:ascii="Consolas" w:cs="Consolas" w:eastAsia="Consolas" w:hAnsi="Consolas"/>
          <w:sz w:val="20"/>
          <w:szCs w:val="20"/>
        </w:rPr>
        <w:t xml:space="preserve">src/models/jurisdiction.py</w:t>
      </w:r>
      <w:r>
        <w:t xml:space="preserve"> uses </w:t>
      </w:r>
      <w:r>
        <w:rPr>
          <w:rFonts w:ascii="Consolas" w:cs="Consolas" w:eastAsia="Consolas" w:hAnsi="Consolas"/>
          <w:sz w:val="20"/>
          <w:szCs w:val="20"/>
        </w:rPr>
        <w:t xml:space="preserve">Geography(GEOMETRY)</w:t>
      </w:r>
      <w:r>
        <w:t xml:space="preserve"> but the WS3 plan specifies </w:t>
      </w:r>
      <w:r>
        <w:rPr>
          <w:rFonts w:ascii="Consolas" w:cs="Consolas" w:eastAsia="Consolas" w:hAnsi="Consolas"/>
          <w:sz w:val="20"/>
          <w:szCs w:val="20"/>
        </w:rPr>
        <w:t xml:space="preserve">GEOMETRY(MultiPolygon)</w:t>
      </w:r>
      <w:r>
        <w:t xml:space="preserve">. Pick one before writing the ETL.</w:t>
      </w:r>
    </w:p>
    <w:p>
      <w:pPr>
        <w:pStyle w:val="Heading1"/>
      </w:pPr>
      <w:r>
        <w:t xml:space="preserve">Source documents</w:t>
      </w:r>
    </w:p>
    <w:p>
      <w:pPr>
        <w:pStyle w:val="Heading2"/>
      </w:pPr>
      <w:r>
        <w:t xml:space="preserve">2018 Draft Stormwater Spill Response Protocol (MCPWO) — basis for the rules</w:t>
      </w:r>
    </w:p>
    <w:p>
      <w:pPr>
        <w:pStyle w:val="ListParagraph"/>
        <w:numPr>
          <w:ilvl w:val="0"/>
          <w:numId w:val="2"/>
        </w:numPr>
        <w:spacing w:after="60"/>
      </w:pPr>
      <w:r>
        <w:t xml:space="preserve">Hotline, Environmental Engineer triage, next-day vs. immediate response, checklist and event log, booming, source tracing, cost recovery, contact Tables 1–4.</w:t>
      </w:r>
    </w:p>
    <w:p>
      <w:pPr>
        <w:pStyle w:val="ListParagraph"/>
        <w:numPr>
          <w:ilvl w:val="0"/>
          <w:numId w:val="2"/>
        </w:numPr>
        <w:spacing w:after="60"/>
      </w:pPr>
      <w:r>
        <w:rPr>
          <w:b/>
          <w:bCs/>
        </w:rPr>
        <w:t xml:space="preserve">Stale:</w:t>
      </w:r>
      <w:r>
        <w:t xml:space="preserve"> still says MDEQ (EGLE since 2019). Table 3 lists only 8 communities and omits Warren and Sterling Heights. Email typos (</w:t>
      </w:r>
      <w:r>
        <w:rPr>
          <w:rFonts w:ascii="Consolas" w:cs="Consolas" w:eastAsia="Consolas" w:hAnsi="Consolas"/>
          <w:sz w:val="20"/>
          <w:szCs w:val="20"/>
        </w:rPr>
        <w:t xml:space="preserve">macombgov,org</w:t>
      </w:r>
      <w:r>
        <w:t xml:space="preserve">, Stockel/Stockell, McFarlane/mcfarland). Contacts must be re-verified before any rule uses them.</w:t>
      </w:r>
    </w:p>
    <w:p>
      <w:pPr>
        <w:pStyle w:val="Heading2"/>
      </w:pPr>
      <w:r>
        <w:t xml:space="preserve">Red Run Drain Spill Response, Owner’s Review draft (HRC, Sept 2026) — Tier 1 overlay</w:t>
      </w:r>
    </w:p>
    <w:p>
      <w:pPr>
        <w:pStyle w:val="ListParagraph"/>
        <w:numPr>
          <w:ilvl w:val="0"/>
          <w:numId w:val="2"/>
        </w:numPr>
        <w:spacing w:after="60"/>
      </w:pPr>
      <w:r>
        <w:t xml:space="preserve">18 crossings in downstream order, Dequindre/Chicago Rd to the Utica Rd bridge, then the Clinton River. Each sheet: width, banks, access, power, boom placement, neighbors, county and non-county taps.</w:t>
      </w:r>
    </w:p>
    <w:p>
      <w:pPr>
        <w:pStyle w:val="ListParagraph"/>
        <w:numPr>
          <w:ilvl w:val="0"/>
          <w:numId w:val="2"/>
        </w:numPr>
        <w:spacing w:after="60"/>
      </w:pPr>
      <w:r>
        <w:t xml:space="preserve">Names tributaries with drain numbers (292/290 Red Run Branches, 484 Hartlien Relief, 239 Meckler, 016 Bear Creek, Big Beaver Creek, 365 Smith Rivard, 340 Schoenherr Relief, 391 Sterling Relief, 282 Plum Brook; Bousson on sheet 16) — a good seed list of Tier 2/3 drains.</w:t>
      </w:r>
    </w:p>
    <w:p>
      <w:pPr>
        <w:pStyle w:val="ListParagraph"/>
        <w:numPr>
          <w:ilvl w:val="0"/>
          <w:numId w:val="2"/>
        </w:numPr>
        <w:spacing w:after="60"/>
      </w:pPr>
      <w:r>
        <w:t xml:space="preserve">Upstream source is the GWK Drain in Oakland (OCWRC); Dequindre is the county line. Corridor owned largely by the Red Run Intercounty Drain District.</w:t>
      </w:r>
    </w:p>
    <w:p>
      <w:pPr>
        <w:pStyle w:val="Heading2"/>
      </w:pPr>
      <w:r>
        <w:t xml:space="preserve">Environmental Action Report (Dec 2025) — Vermander Drain, Clinton Township</w:t>
      </w:r>
    </w:p>
    <w:p>
      <w:pPr>
        <w:pStyle w:val="ListParagraph"/>
        <w:numPr>
          <w:ilvl w:val="0"/>
          <w:numId w:val="2"/>
        </w:numPr>
        <w:spacing w:after="60"/>
      </w:pPr>
      <w:r>
        <w:t xml:space="preserve">Suspected oil traced to a ditch at 35350 Kelly Rd; two booms installed 12/23/25. Tier 3 test case: private ditch (Tier 4) into a county drain. GPS never filled in; notifications not recorded.</w:t>
      </w:r>
    </w:p>
    <w:p>
      <w:pPr>
        <w:pStyle w:val="Heading2"/>
      </w:pPr>
      <w:r>
        <w:t xml:space="preserve">Daily Inspection Report (Oct 2018) — Bear Creek diesel, 24257 Mound Rd, Warren</w:t>
      </w:r>
    </w:p>
    <w:p>
      <w:pPr>
        <w:pStyle w:val="ListParagraph"/>
        <w:numPr>
          <w:ilvl w:val="0"/>
          <w:numId w:val="2"/>
        </w:numPr>
        <w:spacing w:after="60"/>
      </w:pPr>
      <w:r>
        <w:t xml:space="preserve">Piped Bear Creek at Mound Rd, opens 1¾ mi downstream, joins Red Run at crossing 7. Test case: Tier 2 drain, enclosed → open, reaching a Tier 1 drain.</w:t>
      </w:r>
    </w:p>
    <w:p>
      <w:pPr>
        <w:pStyle w:val="Heading2"/>
      </w:pPr>
      <w:r>
        <w:t xml:space="preserve">Spill Response Cards (May 2018)</w:t>
      </w:r>
    </w:p>
    <w:p>
      <w:pPr>
        <w:pStyle w:val="ListParagraph"/>
        <w:numPr>
          <w:ilvl w:val="0"/>
          <w:numId w:val="2"/>
        </w:numPr>
        <w:spacing w:after="60"/>
      </w:pPr>
      <w:r>
        <w:t xml:space="preserve">MCPWO staff contacts only (spill and sewage overflow lists). WS4 contact seed; same staff as protocol Table 1.</w:t>
      </w:r>
    </w:p>
    <w:p>
      <w:pPr>
        <w:pStyle w:val="Heading1"/>
      </w:pPr>
      <w:r>
        <w:t xml:space="preserve">Where to read closely</w:t>
      </w:r>
    </w:p>
    <w:p>
      <w:pPr>
        <w:pStyle w:val="ListParagraph"/>
        <w:numPr>
          <w:ilvl w:val="0"/>
          <w:numId w:val="2"/>
        </w:numPr>
        <w:spacing w:after="60"/>
      </w:pPr>
      <w:r>
        <w:rPr>
          <w:b/>
          <w:bCs/>
        </w:rPr>
        <w:t xml:space="preserve">Protocol §3 (Definitions):</w:t>
      </w:r>
      <w:r>
        <w:t xml:space="preserve"> the ownership taxonomy behind </w:t>
      </w:r>
      <w:r>
        <w:rPr>
          <w:rFonts w:ascii="Consolas" w:cs="Consolas" w:eastAsia="Consolas" w:hAnsi="Consolas"/>
          <w:sz w:val="20"/>
          <w:szCs w:val="20"/>
        </w:rPr>
        <w:t xml:space="preserve">conveyance_owner</w:t>
      </w:r>
      <w:r>
        <w:t xml:space="preserve"> and the Tier 4 cutoff.</w:t>
      </w:r>
    </w:p>
    <w:p>
      <w:pPr>
        <w:pStyle w:val="ListParagraph"/>
        <w:numPr>
          <w:ilvl w:val="0"/>
          <w:numId w:val="2"/>
        </w:numPr>
        <w:spacing w:after="60"/>
      </w:pPr>
      <w:r>
        <w:rPr>
          <w:b/>
          <w:bCs/>
        </w:rPr>
        <w:t xml:space="preserve">Protocol §6.2–6.3 and the checklist:</w:t>
      </w:r>
      <w:r>
        <w:t xml:space="preserve"> the decision points behind R1–R14. Confirm the minor-incident list and hazardous/non-hazardous booming rule with MCPWO.</w:t>
      </w:r>
    </w:p>
    <w:p>
      <w:pPr>
        <w:pStyle w:val="ListParagraph"/>
        <w:numPr>
          <w:ilvl w:val="0"/>
          <w:numId w:val="2"/>
        </w:numPr>
        <w:spacing w:after="60"/>
      </w:pPr>
      <w:r>
        <w:rPr>
          <w:b/>
          <w:bCs/>
        </w:rPr>
        <w:t xml:space="preserve">Protocol Table 3:</w:t>
      </w:r>
      <w:r>
        <w:t xml:space="preserve"> fill in all municipalities before any R7 rule ships.</w:t>
      </w:r>
    </w:p>
    <w:p>
      <w:pPr>
        <w:pStyle w:val="ListParagraph"/>
        <w:numPr>
          <w:ilvl w:val="0"/>
          <w:numId w:val="2"/>
        </w:numPr>
        <w:spacing w:after="60"/>
      </w:pPr>
      <w:r>
        <w:rPr>
          <w:b/>
          <w:bCs/>
        </w:rPr>
        <w:t xml:space="preserve">Red Run, sheet 1:</w:t>
      </w:r>
      <w:r>
        <w:t xml:space="preserve"> crossing table → </w:t>
      </w:r>
      <w:r>
        <w:rPr>
          <w:rFonts w:ascii="Consolas" w:cs="Consolas" w:eastAsia="Consolas" w:hAnsi="Consolas"/>
          <w:sz w:val="20"/>
          <w:szCs w:val="20"/>
        </w:rPr>
        <w:t xml:space="preserve">response_sites</w:t>
      </w:r>
      <w:r>
        <w:t xml:space="preserve"> seed.</w:t>
      </w:r>
    </w:p>
    <w:p>
      <w:pPr>
        <w:pStyle w:val="ListParagraph"/>
        <w:numPr>
          <w:ilvl w:val="0"/>
          <w:numId w:val="2"/>
        </w:numPr>
        <w:spacing w:after="60"/>
      </w:pPr>
      <w:r>
        <w:rPr>
          <w:b/>
          <w:bCs/>
        </w:rPr>
        <w:t xml:space="preserve">Red Run, sheets 4–5, 13, 15–18:</w:t>
      </w:r>
      <w:r>
        <w:t xml:space="preserve"> cross-references are wrong in places (sheet 18 labeled “Crossing 21” and placed in Sterling Heights; sheet 15 cites 19/21; sheet 13 cites 16; sheet 7 cites itself; sheet 8 cites 10 for Bear Creek, which is sheet 9). Confirm with HRC.</w:t>
      </w:r>
    </w:p>
    <w:p>
      <w:pPr>
        <w:pStyle w:val="Heading1"/>
      </w:pPr>
      <w:r>
        <w:t xml:space="preserve">Open questions for MCPWO</w:t>
      </w:r>
    </w:p>
    <w:p>
      <w:pPr>
        <w:pStyle w:val="ListParagraph"/>
        <w:numPr>
          <w:ilvl w:val="0"/>
          <w:numId w:val="4"/>
        </w:numPr>
        <w:spacing w:after="60"/>
      </w:pPr>
      <w:r>
        <w:t xml:space="preserve">Which drains count as “large known drains” (Tier 1/2)? Is there an official list or a flow/size threshold?</w:t>
      </w:r>
    </w:p>
    <w:p>
      <w:pPr>
        <w:pStyle w:val="ListParagraph"/>
        <w:numPr>
          <w:ilvl w:val="0"/>
          <w:numId w:val="4"/>
        </w:numPr>
        <w:spacing w:after="60"/>
      </w:pPr>
      <w:r>
        <w:t xml:space="preserve">Are response plans like Red Run’s planned for other drains, and in what order?</w:t>
      </w:r>
    </w:p>
    <w:p>
      <w:pPr>
        <w:pStyle w:val="ListParagraph"/>
        <w:numPr>
          <w:ilvl w:val="0"/>
          <w:numId w:val="4"/>
        </w:numPr>
        <w:spacing w:after="60"/>
      </w:pPr>
      <w:r>
        <w:t xml:space="preserve">Can MCPWO share the county drain GIS (centerlines, enclosed segments, connections)?</w:t>
      </w:r>
    </w:p>
    <w:p>
      <w:pPr>
        <w:pStyle w:val="ListParagraph"/>
        <w:numPr>
          <w:ilvl w:val="0"/>
          <w:numId w:val="4"/>
        </w:numPr>
        <w:spacing w:after="60"/>
      </w:pPr>
      <w:r>
        <w:t xml:space="preserve">How should “hazardous” be defined for the booming rule — by material category or case by case?</w:t>
      </w:r>
    </w:p>
    <w:p>
      <w:pPr>
        <w:pStyle w:val="ListParagraph"/>
        <w:numPr>
          <w:ilvl w:val="0"/>
          <w:numId w:val="4"/>
        </w:numPr>
        <w:spacing w:after="60"/>
      </w:pPr>
      <w:r>
        <w:t xml:space="preserve">Is the 2018 draft still the working procedure, or is there a newer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2026-10-15T21:59:02.582Z</dcterms:created>
  <dcterms:modified xsi:type="dcterms:W3CDTF">2026-10-15T21:59:02.583Z</dcterms:modified>
</cp:coreProperties>
</file>

<file path=docProps/custom.xml><?xml version="1.0" encoding="utf-8"?>
<Properties xmlns="http://schemas.openxmlformats.org/officeDocument/2006/custom-properties" xmlns:vt="http://schemas.openxmlformats.org/officeDocument/2006/docPropsVTypes"/>
</file>