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w:t>
          </w:r>
          <w:proofErr w:type="spellStart"/>
          <w:r w:rsidR="00456081">
            <w:t>Innovation’Lab</w:t>
          </w:r>
          <w:proofErr w:type="spellEnd"/>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w:t>
      </w:r>
      <w:proofErr w:type="spellStart"/>
      <w:r w:rsidR="00812C63">
        <w:t>Innovation’Lab</w:t>
      </w:r>
      <w:proofErr w:type="spellEnd"/>
      <w:r w:rsidR="00812C63">
        <w:t>.</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w:t>
      </w:r>
      <w:proofErr w:type="spellStart"/>
      <w:r w:rsidR="00456081">
        <w:rPr>
          <w:sz w:val="28"/>
          <w:szCs w:val="28"/>
          <w:u w:val="single"/>
        </w:rPr>
        <w:t>Innovation’Lab</w:t>
      </w:r>
      <w:proofErr w:type="spellEnd"/>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L’</w:t>
      </w:r>
      <w:proofErr w:type="spellStart"/>
      <w:r>
        <w:t>Innovation’Lab</w:t>
      </w:r>
      <w:proofErr w:type="spellEnd"/>
      <w:r>
        <w:t xml:space="preserve"> est un espace de travail dédié aux étudiants, enseignants et associations étudiantes disposant d’outils pour la conception et réalisation de projets. </w:t>
      </w:r>
      <w:r w:rsidR="00524510">
        <w:t>L’</w:t>
      </w:r>
      <w:proofErr w:type="spellStart"/>
      <w:r w:rsidR="00524510">
        <w:t>Innovation’Lab</w:t>
      </w:r>
      <w:proofErr w:type="spellEnd"/>
      <w:r w:rsidR="00524510">
        <w:t xml:space="preserve">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w:t>
      </w:r>
      <w:proofErr w:type="spellStart"/>
      <w:r>
        <w:t>Innovation’Lab</w:t>
      </w:r>
      <w:proofErr w:type="spellEnd"/>
      <w:r>
        <w:t xml:space="preserve"> (</w:t>
      </w:r>
      <w:proofErr w:type="spellStart"/>
      <w:r>
        <w:t>I’Lab</w:t>
      </w:r>
      <w:proofErr w:type="spellEnd"/>
      <w:r>
        <w:t>)</w:t>
      </w:r>
      <w:r w:rsidR="008770B5">
        <w:t xml:space="preserve"> en partenariat avec la majeure Systèmes Robotiques &amp; Drones (SRD)</w:t>
      </w:r>
      <w:r>
        <w:t>, est encadré par Monsieur GRIOT Rémi, en sa qualité de manager de l’</w:t>
      </w:r>
      <w:proofErr w:type="spellStart"/>
      <w:r>
        <w:t>I’Lab</w:t>
      </w:r>
      <w:proofErr w:type="spellEnd"/>
      <w:r>
        <w:t xml:space="preserve">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0FF3A0DF" w:rsidR="009A0472" w:rsidRDefault="009A0472" w:rsidP="009A0472">
      <w:pPr>
        <w:pStyle w:val="Lgende"/>
        <w:jc w:val="center"/>
      </w:pPr>
      <w:r>
        <w:t xml:space="preserve">Figure </w:t>
      </w:r>
      <w:fldSimple w:instr=" SEQ Figure \* ARABIC ">
        <w:r w:rsidR="00B26DB0">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w:t>
      </w:r>
      <w:proofErr w:type="spellStart"/>
      <w:r>
        <w:t>I’Lab</w:t>
      </w:r>
      <w:proofErr w:type="spellEnd"/>
      <w:r>
        <w:t xml:space="preserve">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 xml:space="preserve">[PHOTOS DE </w:t>
      </w:r>
      <w:proofErr w:type="spellStart"/>
      <w:r>
        <w:t>L IDE</w:t>
      </w:r>
      <w:proofErr w:type="spellEnd"/>
      <w:r>
        <w:t xml:space="preserv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 Auto Mode »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3A824FF3" w:rsidR="007029CD" w:rsidRDefault="007029CD" w:rsidP="007029CD">
      <w:pPr>
        <w:pStyle w:val="Lgende"/>
        <w:jc w:val="center"/>
      </w:pPr>
      <w:r>
        <w:t xml:space="preserve">Figure </w:t>
      </w:r>
      <w:fldSimple w:instr=" SEQ Figure \* ARABIC ">
        <w:r w:rsidR="00B26DB0">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5A85CCF9" w:rsidR="00DD2D1D" w:rsidRDefault="00F57B1E" w:rsidP="00F57B1E">
      <w:pPr>
        <w:pStyle w:val="Lgende"/>
        <w:jc w:val="center"/>
      </w:pPr>
      <w:r>
        <w:t xml:space="preserve">Figure </w:t>
      </w:r>
      <w:fldSimple w:instr=" SEQ Figure \* ARABIC ">
        <w:r w:rsidR="00B26DB0">
          <w:rPr>
            <w:noProof/>
          </w:rPr>
          <w:t>3</w:t>
        </w:r>
      </w:fldSimple>
      <w:r>
        <w:t xml:space="preserve">: Messages de connexion (bouton </w:t>
      </w:r>
      <w:proofErr w:type="spellStart"/>
      <w:r>
        <w:t>Connect</w:t>
      </w:r>
      <w:proofErr w:type="spellEnd"/>
      <w:r>
        <w: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577C1550" w14:textId="3405CC49" w:rsidR="00F57B1E" w:rsidRDefault="00F57B1E" w:rsidP="00F57B1E">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F57B1E">
      <w:r>
        <w:lastRenderedPageBreak/>
        <w:t>Cette classe fait également appel au module « </w:t>
      </w:r>
      <w:proofErr w:type="spellStart"/>
      <w: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t>
      </w:r>
      <w:proofErr w:type="spellStart"/>
      <w:r>
        <w:t>write</w:t>
      </w:r>
      <w:proofErr w:type="spellEnd"/>
      <w:r>
        <w:t> » et « </w:t>
      </w:r>
      <w:proofErr w:type="spellStart"/>
      <w:r>
        <w:t>readline</w:t>
      </w:r>
      <w:proofErr w:type="spellEnd"/>
      <w:r>
        <w:t> » de « </w:t>
      </w:r>
      <w:proofErr w:type="spellStart"/>
      <w:r>
        <w:t>pyserial</w:t>
      </w:r>
      <w:proofErr w:type="spellEnd"/>
      <w:r>
        <w:t>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w:t>
      </w:r>
      <w:proofErr w:type="spellStart"/>
      <w:r w:rsidR="00DA3AA1">
        <w:t>firmware</w:t>
      </w:r>
      <w:proofErr w:type="spellEnd"/>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4BC5A3B6" w:rsidR="0023724A" w:rsidRDefault="0023724A" w:rsidP="0023724A">
      <w:pPr>
        <w:pStyle w:val="Lgende"/>
        <w:jc w:val="center"/>
      </w:pPr>
      <w:r>
        <w:t xml:space="preserve">Figure </w:t>
      </w:r>
      <w:fldSimple w:instr=" SEQ Figure \* ARABIC ">
        <w:r w:rsidR="00B26DB0">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w:t>
      </w:r>
      <w:proofErr w:type="spellStart"/>
      <w:r>
        <w:t>Term</w:t>
      </w:r>
      <w:proofErr w:type="spellEnd"/>
      <w:r>
        <w:t> » et « Auto Mode ».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w:t>
      </w:r>
      <w:proofErr w:type="spellStart"/>
      <w:r w:rsidR="00C6294F">
        <w:t>Motor</w:t>
      </w:r>
      <w:proofErr w:type="spellEnd"/>
      <w:r w:rsidR="00C6294F">
        <w:t xml:space="preserve"> </w:t>
      </w:r>
      <w:proofErr w:type="spellStart"/>
      <w:r w:rsidR="00C6294F">
        <w:t>Ready</w:t>
      </w:r>
      <w:proofErr w:type="spellEnd"/>
      <w:r w:rsidR="00C6294F">
        <w:t>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 xml:space="preserve">réalisé le contenu de l’extension du mode « Manual Mode </w:t>
      </w:r>
      <w:proofErr w:type="spellStart"/>
      <w:r w:rsidR="00E72AE5">
        <w:t>Term</w:t>
      </w:r>
      <w:proofErr w:type="spellEnd"/>
      <w:r w:rsidR="00E72AE5">
        <w:t>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4B433593" w:rsidR="00E72AE5" w:rsidRDefault="00E72AE5" w:rsidP="00E72AE5">
      <w:pPr>
        <w:pStyle w:val="Lgende"/>
        <w:jc w:val="center"/>
      </w:pPr>
      <w:r>
        <w:t xml:space="preserve">Figure </w:t>
      </w:r>
      <w:fldSimple w:instr=" SEQ Figure \* ARABIC ">
        <w:r w:rsidR="00B26DB0">
          <w:rPr>
            <w:noProof/>
          </w:rPr>
          <w:t>5</w:t>
        </w:r>
      </w:fldSimple>
      <w:r>
        <w:t xml:space="preserve">: Extension de fenêtre propre au mode « Manual Mode </w:t>
      </w:r>
      <w:proofErr w:type="spellStart"/>
      <w:r>
        <w:t>Term</w:t>
      </w:r>
      <w:proofErr w:type="spellEnd"/>
      <w:r>
        <w:t xml:space="preserve"> », </w:t>
      </w:r>
      <w:r w:rsidR="00F86B93">
        <w:t xml:space="preserve">avant </w:t>
      </w:r>
      <w:r>
        <w:t>envoi d’une première consigne</w:t>
      </w:r>
    </w:p>
    <w:p w14:paraId="68D7B2D2" w14:textId="0788941E" w:rsidR="00AF4345" w:rsidRDefault="00E72AE5" w:rsidP="00E72AE5">
      <w:r>
        <w:t xml:space="preserve">Cette section de fenêtre (Fig.5) </w:t>
      </w:r>
      <w:r w:rsidR="00AF4345">
        <w:t>est définie dans la classe « </w:t>
      </w:r>
      <w:proofErr w:type="spellStart"/>
      <w:r w:rsidR="00AF4345">
        <w:t>ModeTermGUI</w:t>
      </w:r>
      <w:proofErr w:type="spellEnd"/>
      <w:r w:rsidR="00AF4345">
        <w:t> » du fichier « GUI Master » (TAG_IHM_004) et</w:t>
      </w:r>
      <w:r>
        <w:t> </w:t>
      </w:r>
      <w:r w:rsidR="00AF4345">
        <w:t>se caractérise via les widgets suivants</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 xml:space="preserve">un bouton « STOP ! » qui s’active une fois que la simulation a débuté et qui permet d’amorcer l’atterrissage (et de revenir au début du mode « Manual Mode </w:t>
      </w:r>
      <w:proofErr w:type="spellStart"/>
      <w:r>
        <w:t>Term</w:t>
      </w:r>
      <w:proofErr w:type="spellEnd"/>
      <w:r>
        <w:t xml:space="preserve"> », car cela nous permet d’enclencher directement une autre simulation sans avoir à revenir au menu de modes puis cliquer une fois encore sur le bouton « Manual Mode </w:t>
      </w:r>
      <w:proofErr w:type="spellStart"/>
      <w:r>
        <w:t>Term</w:t>
      </w:r>
      <w:proofErr w:type="spellEnd"/>
      <w:r>
        <w:t>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2027644C" w:rsidR="00F86B93" w:rsidRDefault="00F86B93" w:rsidP="00F86B93">
      <w:pPr>
        <w:pStyle w:val="Lgende"/>
        <w:jc w:val="center"/>
        <w:rPr>
          <w:noProof/>
        </w:rPr>
      </w:pPr>
      <w:r>
        <w:t xml:space="preserve">Figure </w:t>
      </w:r>
      <w:fldSimple w:instr=" SEQ Figure \* ARABIC ">
        <w:r w:rsidR="00B26DB0">
          <w:rPr>
            <w:noProof/>
          </w:rPr>
          <w:t>6</w:t>
        </w:r>
      </w:fldSimple>
      <w:r>
        <w:t xml:space="preserve">: </w:t>
      </w:r>
      <w:r w:rsidRPr="00D312E6">
        <w:t xml:space="preserve">Extension de fenêtre propre au mode « Manual Mode </w:t>
      </w:r>
      <w:proofErr w:type="spellStart"/>
      <w:r w:rsidRPr="00D312E6">
        <w:t>Term</w:t>
      </w:r>
      <w:proofErr w:type="spellEnd"/>
      <w:r w:rsidRPr="00D312E6">
        <w:t xml:space="preserve">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w:t>
      </w:r>
      <w:proofErr w:type="spellStart"/>
      <w:r w:rsidR="00CD4186">
        <w:t>AutoModeGUI</w:t>
      </w:r>
      <w:proofErr w:type="spellEnd"/>
      <w:r w:rsidR="00CD4186">
        <w:t xml:space="preserve"> » (TAG_IHM_005) qui reprend le même principe que celle attitrée au mode « Manual Mode </w:t>
      </w:r>
      <w:proofErr w:type="spellStart"/>
      <w:r w:rsidR="00CD4186">
        <w:t>Term</w:t>
      </w:r>
      <w:proofErr w:type="spellEnd"/>
      <w:r w:rsidR="00CD4186">
        <w:t>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4028A874" w:rsidR="00430348" w:rsidRDefault="00430348" w:rsidP="00430348">
      <w:pPr>
        <w:pStyle w:val="Lgende"/>
        <w:jc w:val="center"/>
      </w:pPr>
      <w:r>
        <w:t xml:space="preserve">Figure </w:t>
      </w:r>
      <w:fldSimple w:instr=" SEQ Figure \* ARABIC ">
        <w:r w:rsidR="00B26DB0">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 xml:space="preserve">La section (Fig.7) se compose donc des mêmes éléments que « Manual Mode </w:t>
      </w:r>
      <w:proofErr w:type="spellStart"/>
      <w:r>
        <w:t>Term</w:t>
      </w:r>
      <w:proofErr w:type="spellEnd"/>
      <w:r>
        <w:t>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21B558EB" w:rsidR="00B26DB0" w:rsidRDefault="00B26DB0" w:rsidP="00B26DB0">
      <w:pPr>
        <w:pStyle w:val="Lgende"/>
        <w:jc w:val="center"/>
      </w:pPr>
      <w:r>
        <w:t xml:space="preserve">Figure </w:t>
      </w:r>
      <w:fldSimple w:instr=" SEQ Figure \* ARABIC ">
        <w:r>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3241FA83" w:rsidR="002E5061" w:rsidRDefault="002E5061" w:rsidP="000F3F95">
      <w:r>
        <w:t>La classe « </w:t>
      </w:r>
      <w:proofErr w:type="spellStart"/>
      <w:r>
        <w:t>CalibrationGUI</w:t>
      </w:r>
      <w:proofErr w:type="spellEnd"/>
      <w:r>
        <w:t> » (</w:t>
      </w:r>
      <w:r w:rsidRPr="002E5061">
        <w:t>TAG_IHM_006</w:t>
      </w:r>
      <w:r>
        <w:t>) du fichier « GUI Master » reprend encore la même structure d’extension de fenêtre, mais cette fois-ci elle est un peu plus épurée (Fig.9).</w:t>
      </w:r>
    </w:p>
    <w:p w14:paraId="07E006FE" w14:textId="68B6FC23" w:rsidR="000F3F95" w:rsidRP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proofErr w:type="spellStart"/>
      <w:r w:rsidR="00876D35">
        <w:t>pré-établi</w:t>
      </w:r>
      <w:proofErr w:type="spellEnd"/>
      <w:r w:rsidR="00876D35">
        <w:t xml:space="preserve"> dans un fichier .txt que l’on va alors pouvoir compléter en suivant quelques règles.</w:t>
      </w:r>
    </w:p>
    <w:p w14:paraId="2DCFEEBE" w14:textId="77777777" w:rsidR="000F3F95" w:rsidRPr="000F3F95" w:rsidRDefault="000F3F95" w:rsidP="000F3F95"/>
    <w:p w14:paraId="2BE45EE9" w14:textId="06C7B41A" w:rsidR="002D27F2" w:rsidRDefault="002D27F2" w:rsidP="00BA5DB8"/>
    <w:p w14:paraId="3654EF5C" w14:textId="736F72D0" w:rsidR="00C6294F" w:rsidRDefault="00C6294F" w:rsidP="00BA5DB8"/>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proofErr w:type="spellStart"/>
      <w:r w:rsidRPr="00111288">
        <w:rPr>
          <w:i/>
          <w:iCs/>
        </w:rPr>
        <w:t>Sous titre</w:t>
      </w:r>
      <w:proofErr w:type="spellEnd"/>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19"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EA08" w14:textId="77777777" w:rsidR="00D860E3" w:rsidRDefault="00D860E3" w:rsidP="001944A5">
      <w:pPr>
        <w:spacing w:after="0" w:line="240" w:lineRule="auto"/>
      </w:pPr>
      <w:r>
        <w:separator/>
      </w:r>
    </w:p>
  </w:endnote>
  <w:endnote w:type="continuationSeparator" w:id="0">
    <w:p w14:paraId="4D6CC32E" w14:textId="77777777" w:rsidR="00D860E3" w:rsidRDefault="00D860E3"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84DD" w14:textId="77777777" w:rsidR="00D860E3" w:rsidRDefault="00D860E3" w:rsidP="001944A5">
      <w:pPr>
        <w:spacing w:after="0" w:line="240" w:lineRule="auto"/>
      </w:pPr>
      <w:r>
        <w:separator/>
      </w:r>
    </w:p>
  </w:footnote>
  <w:footnote w:type="continuationSeparator" w:id="0">
    <w:p w14:paraId="439B225A" w14:textId="77777777" w:rsidR="00D860E3" w:rsidRDefault="00D860E3"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578E"/>
    <w:rsid w:val="000709CB"/>
    <w:rsid w:val="00072F7F"/>
    <w:rsid w:val="00074CB9"/>
    <w:rsid w:val="00075675"/>
    <w:rsid w:val="00075DFB"/>
    <w:rsid w:val="00083628"/>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5680"/>
    <w:rsid w:val="000C6D16"/>
    <w:rsid w:val="000C7012"/>
    <w:rsid w:val="000C771F"/>
    <w:rsid w:val="000D0C24"/>
    <w:rsid w:val="000D0FB5"/>
    <w:rsid w:val="000D248C"/>
    <w:rsid w:val="000D3244"/>
    <w:rsid w:val="000D5DE4"/>
    <w:rsid w:val="000D63A7"/>
    <w:rsid w:val="000D70BB"/>
    <w:rsid w:val="000E0927"/>
    <w:rsid w:val="000E0A94"/>
    <w:rsid w:val="000E22FE"/>
    <w:rsid w:val="000E7A05"/>
    <w:rsid w:val="000F0772"/>
    <w:rsid w:val="000F17DE"/>
    <w:rsid w:val="000F3F95"/>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3E2C"/>
    <w:rsid w:val="002F40AB"/>
    <w:rsid w:val="002F6A22"/>
    <w:rsid w:val="003009B3"/>
    <w:rsid w:val="00305EF6"/>
    <w:rsid w:val="00305FB3"/>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613F"/>
    <w:rsid w:val="005B7D1B"/>
    <w:rsid w:val="005D069A"/>
    <w:rsid w:val="005D0C9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9F5"/>
    <w:rsid w:val="00652EBD"/>
    <w:rsid w:val="00655241"/>
    <w:rsid w:val="00656300"/>
    <w:rsid w:val="0065736B"/>
    <w:rsid w:val="006575A2"/>
    <w:rsid w:val="00657808"/>
    <w:rsid w:val="0066065B"/>
    <w:rsid w:val="0066201B"/>
    <w:rsid w:val="006635AE"/>
    <w:rsid w:val="006657ED"/>
    <w:rsid w:val="006672A6"/>
    <w:rsid w:val="0067511D"/>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617F"/>
    <w:rsid w:val="008371FF"/>
    <w:rsid w:val="008375F4"/>
    <w:rsid w:val="0084248F"/>
    <w:rsid w:val="00843E7C"/>
    <w:rsid w:val="00844123"/>
    <w:rsid w:val="0084427D"/>
    <w:rsid w:val="008469BB"/>
    <w:rsid w:val="00847B83"/>
    <w:rsid w:val="0085239E"/>
    <w:rsid w:val="00853072"/>
    <w:rsid w:val="00853775"/>
    <w:rsid w:val="00855071"/>
    <w:rsid w:val="008565CF"/>
    <w:rsid w:val="00857CB7"/>
    <w:rsid w:val="00857FAC"/>
    <w:rsid w:val="00860A53"/>
    <w:rsid w:val="00860D0A"/>
    <w:rsid w:val="00861657"/>
    <w:rsid w:val="00862813"/>
    <w:rsid w:val="00862BE6"/>
    <w:rsid w:val="00862D48"/>
    <w:rsid w:val="008659DB"/>
    <w:rsid w:val="00866E44"/>
    <w:rsid w:val="00870796"/>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768A"/>
    <w:rsid w:val="00BE025F"/>
    <w:rsid w:val="00BE15B7"/>
    <w:rsid w:val="00BE1B14"/>
    <w:rsid w:val="00BE3DA3"/>
    <w:rsid w:val="00BE5B67"/>
    <w:rsid w:val="00BE63BA"/>
    <w:rsid w:val="00BE6A6F"/>
    <w:rsid w:val="00BF4182"/>
    <w:rsid w:val="00BF68A9"/>
    <w:rsid w:val="00C01A8A"/>
    <w:rsid w:val="00C038B4"/>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7779"/>
    <w:rsid w:val="00DA0A78"/>
    <w:rsid w:val="00DA3AA1"/>
    <w:rsid w:val="00DA3E5E"/>
    <w:rsid w:val="00DA57F4"/>
    <w:rsid w:val="00DA6A32"/>
    <w:rsid w:val="00DB01E1"/>
    <w:rsid w:val="00DB03CC"/>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2D30"/>
    <w:rsid w:val="00E63278"/>
    <w:rsid w:val="00E6695C"/>
    <w:rsid w:val="00E72AE5"/>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57B1E"/>
    <w:rsid w:val="00F61861"/>
    <w:rsid w:val="00F66FA7"/>
    <w:rsid w:val="00F70277"/>
    <w:rsid w:val="00F71998"/>
    <w:rsid w:val="00F72EA2"/>
    <w:rsid w:val="00F744D8"/>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6455"/>
    <w:rsid w:val="00FC7A30"/>
    <w:rsid w:val="00FC7E12"/>
    <w:rsid w:val="00FD2022"/>
    <w:rsid w:val="00FD72BF"/>
    <w:rsid w:val="00FE111F"/>
    <w:rsid w:val="00FE12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InnovationLab-EFREIParis/Stage_1DOF_DroneBen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21</Pages>
  <Words>3928</Words>
  <Characters>21608</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24</cp:revision>
  <cp:lastPrinted>2021-02-12T19:17:00Z</cp:lastPrinted>
  <dcterms:created xsi:type="dcterms:W3CDTF">2023-01-02T11:36:00Z</dcterms:created>
  <dcterms:modified xsi:type="dcterms:W3CDTF">2023-01-17T16:23:00Z</dcterms:modified>
</cp:coreProperties>
</file>