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5" w:type="dxa"/>
        <w:tblBorders>
          <w:top w:val="single" w:sz="12" w:space="0" w:color="auto"/>
          <w:left w:val="single" w:sz="12" w:space="0" w:color="auto"/>
          <w:right w:val="single" w:sz="12" w:space="0" w:color="auto"/>
          <w:insideH w:val="single" w:sz="12" w:space="0" w:color="auto"/>
          <w:insideV w:val="single" w:sz="12" w:space="0" w:color="auto"/>
        </w:tblBorders>
        <w:tblLayout w:type="fixed"/>
        <w:tblCellMar>
          <w:left w:w="71" w:type="dxa"/>
          <w:right w:w="71" w:type="dxa"/>
        </w:tblCellMar>
        <w:tblLook w:val="0000" w:firstRow="0" w:lastRow="0" w:firstColumn="0" w:lastColumn="0" w:noHBand="0" w:noVBand="0"/>
      </w:tblPr>
      <w:tblGrid>
        <w:gridCol w:w="3462"/>
        <w:gridCol w:w="3447"/>
        <w:gridCol w:w="2163"/>
      </w:tblGrid>
      <w:tr w:rsidR="00B61131" w14:paraId="24E51459" w14:textId="77777777" w:rsidTr="00B61131">
        <w:trPr>
          <w:cantSplit/>
          <w:trHeight w:val="1397"/>
        </w:trPr>
        <w:tc>
          <w:tcPr>
            <w:tcW w:w="3462" w:type="dxa"/>
          </w:tcPr>
          <w:p w14:paraId="3EB18138" w14:textId="77777777" w:rsidR="00B61131" w:rsidRPr="008B21EC" w:rsidRDefault="00B61131" w:rsidP="000C452E">
            <w:pPr>
              <w:keepLines/>
              <w:spacing w:before="1080" w:line="240" w:lineRule="exact"/>
              <w:jc w:val="center"/>
            </w:pPr>
            <w:r>
              <w:rPr>
                <w:noProof/>
              </w:rPr>
              <w:drawing>
                <wp:inline distT="0" distB="0" distL="0" distR="0" wp14:anchorId="4101C193" wp14:editId="7B6BFA44">
                  <wp:extent cx="2095500" cy="695325"/>
                  <wp:effectExtent l="0" t="0" r="0" b="0"/>
                  <wp:docPr id="1944427515" name="Image 1944427515" descr="Une image contenant texte, arts de la table, vaisselle, assi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27515" name="Image 1944427515" descr="Une image contenant texte, arts de la table, vaisselle, assiet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95500" cy="695325"/>
                          </a:xfrm>
                          <a:prstGeom prst="rect">
                            <a:avLst/>
                          </a:prstGeom>
                        </pic:spPr>
                      </pic:pic>
                    </a:graphicData>
                  </a:graphic>
                </wp:inline>
              </w:drawing>
            </w:r>
          </w:p>
        </w:tc>
        <w:tc>
          <w:tcPr>
            <w:tcW w:w="3447" w:type="dxa"/>
          </w:tcPr>
          <w:p w14:paraId="3AB708FA" w14:textId="77777777" w:rsidR="00B61131" w:rsidRPr="003C28E8" w:rsidRDefault="00B61131" w:rsidP="00B61131">
            <w:pPr>
              <w:pStyle w:val="Titre1"/>
              <w:numPr>
                <w:ilvl w:val="0"/>
                <w:numId w:val="0"/>
              </w:numPr>
              <w:spacing w:before="720"/>
              <w:ind w:left="432" w:hanging="432"/>
              <w:jc w:val="center"/>
              <w:rPr>
                <w:b/>
                <w:bCs/>
                <w:color w:val="auto"/>
              </w:rPr>
            </w:pPr>
            <w:r w:rsidRPr="003C28E8">
              <w:rPr>
                <w:b/>
                <w:bCs/>
                <w:color w:val="auto"/>
              </w:rPr>
              <w:t>RAPPORT DE STAGE</w:t>
            </w:r>
          </w:p>
        </w:tc>
        <w:tc>
          <w:tcPr>
            <w:tcW w:w="2163" w:type="dxa"/>
          </w:tcPr>
          <w:p w14:paraId="1AE02B2D" w14:textId="2A4082B1" w:rsidR="00B61131" w:rsidRPr="003C28E8" w:rsidRDefault="00B61131" w:rsidP="00B61131">
            <w:pPr>
              <w:pStyle w:val="Titre1"/>
              <w:numPr>
                <w:ilvl w:val="0"/>
                <w:numId w:val="0"/>
              </w:numPr>
              <w:spacing w:before="720"/>
              <w:ind w:left="432" w:hanging="432"/>
              <w:jc w:val="center"/>
              <w:rPr>
                <w:b/>
                <w:bCs/>
                <w:color w:val="auto"/>
              </w:rPr>
            </w:pPr>
            <w:r w:rsidRPr="003C28E8">
              <w:rPr>
                <w:b/>
                <w:bCs/>
                <w:color w:val="auto"/>
              </w:rPr>
              <w:t>M1</w:t>
            </w:r>
          </w:p>
        </w:tc>
      </w:tr>
    </w:tbl>
    <w:p w14:paraId="034A5A40" w14:textId="70E9CF35" w:rsidR="00B61131" w:rsidRDefault="00B61131" w:rsidP="00B61131">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br/>
      </w:r>
      <w:r w:rsidRPr="00EF07DE">
        <w:rPr>
          <w:b/>
          <w:sz w:val="24"/>
          <w:szCs w:val="24"/>
          <w:u w:val="single"/>
        </w:rPr>
        <w:t xml:space="preserve">ELEVE </w:t>
      </w:r>
      <w:r>
        <w:rPr>
          <w:sz w:val="24"/>
        </w:rPr>
        <w:br/>
      </w:r>
      <w:r>
        <w:rPr>
          <w:sz w:val="24"/>
        </w:rPr>
        <w:br/>
        <w:t>Nom :</w:t>
      </w:r>
      <w:r w:rsidR="003C28E8">
        <w:rPr>
          <w:sz w:val="24"/>
        </w:rPr>
        <w:t xml:space="preserve"> </w:t>
      </w:r>
      <w:r w:rsidR="003C28E8" w:rsidRPr="003C28E8">
        <w:rPr>
          <w:b/>
          <w:bCs/>
          <w:sz w:val="24"/>
        </w:rPr>
        <w:t>PANNIER</w:t>
      </w:r>
      <w:r>
        <w:rPr>
          <w:sz w:val="24"/>
        </w:rPr>
        <w:tab/>
        <w:t>Prénom :</w:t>
      </w:r>
      <w:r w:rsidR="003C28E8">
        <w:rPr>
          <w:sz w:val="24"/>
        </w:rPr>
        <w:t xml:space="preserve"> </w:t>
      </w:r>
      <w:r w:rsidR="003C28E8" w:rsidRPr="003C28E8">
        <w:rPr>
          <w:b/>
          <w:bCs/>
          <w:sz w:val="24"/>
        </w:rPr>
        <w:t>JULIEN</w:t>
      </w:r>
      <w:r>
        <w:rPr>
          <w:sz w:val="24"/>
        </w:rPr>
        <w:tab/>
        <w:t>Filière :</w:t>
      </w:r>
      <w:r w:rsidR="003C28E8">
        <w:rPr>
          <w:sz w:val="24"/>
        </w:rPr>
        <w:t xml:space="preserve"> </w:t>
      </w:r>
      <w:r w:rsidR="003C28E8" w:rsidRPr="003C28E8">
        <w:rPr>
          <w:b/>
          <w:bCs/>
          <w:sz w:val="24"/>
        </w:rPr>
        <w:t>Systèmes Embarqués - SRD</w:t>
      </w:r>
      <w:r>
        <w:rPr>
          <w:sz w:val="24"/>
        </w:rPr>
        <w:tab/>
      </w:r>
    </w:p>
    <w:p w14:paraId="5674FA67" w14:textId="397D1256" w:rsidR="00B61131" w:rsidRPr="00EF07DE" w:rsidRDefault="00B61131" w:rsidP="00B61131">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szCs w:val="24"/>
        </w:rPr>
      </w:pPr>
      <w:r w:rsidRPr="00EF07DE">
        <w:rPr>
          <w:b/>
          <w:sz w:val="24"/>
          <w:szCs w:val="24"/>
          <w:u w:val="single"/>
        </w:rPr>
        <w:br/>
        <w:t>SUJET</w:t>
      </w:r>
      <w:r w:rsidRPr="00EF07DE">
        <w:rPr>
          <w:b/>
          <w:sz w:val="24"/>
          <w:szCs w:val="24"/>
        </w:rPr>
        <w:br/>
      </w:r>
      <w:r w:rsidRPr="00EF07DE">
        <w:rPr>
          <w:sz w:val="24"/>
          <w:szCs w:val="24"/>
        </w:rPr>
        <w:br/>
      </w:r>
      <w:r w:rsidR="003C28E8" w:rsidRPr="003A7081">
        <w:rPr>
          <w:i/>
          <w:iCs/>
          <w:sz w:val="28"/>
          <w:szCs w:val="28"/>
        </w:rPr>
        <w:t xml:space="preserve">Fabrication de matériel pédagogique : </w:t>
      </w:r>
      <w:r w:rsidR="003C28E8" w:rsidRPr="003A7081">
        <w:rPr>
          <w:i/>
          <w:iCs/>
          <w:sz w:val="28"/>
          <w:szCs w:val="28"/>
        </w:rPr>
        <w:tab/>
      </w:r>
      <w:r w:rsidR="003C28E8" w:rsidRPr="003A7081">
        <w:rPr>
          <w:i/>
          <w:iCs/>
          <w:sz w:val="28"/>
          <w:szCs w:val="28"/>
        </w:rPr>
        <w:tab/>
      </w:r>
      <w:r w:rsidR="003C28E8" w:rsidRPr="003A7081">
        <w:rPr>
          <w:i/>
          <w:iCs/>
          <w:sz w:val="28"/>
          <w:szCs w:val="28"/>
        </w:rPr>
        <w:tab/>
      </w:r>
      <w:r w:rsidR="003C28E8" w:rsidRPr="003A7081">
        <w:rPr>
          <w:i/>
          <w:iCs/>
          <w:sz w:val="28"/>
          <w:szCs w:val="28"/>
        </w:rPr>
        <w:tab/>
      </w:r>
      <w:r w:rsidR="003C28E8" w:rsidRPr="003A7081">
        <w:rPr>
          <w:i/>
          <w:iCs/>
          <w:sz w:val="28"/>
          <w:szCs w:val="28"/>
        </w:rPr>
        <w:tab/>
        <w:t xml:space="preserve">         </w:t>
      </w:r>
      <w:r w:rsidR="003C28E8" w:rsidRPr="003A7081">
        <w:rPr>
          <w:i/>
          <w:iCs/>
          <w:sz w:val="28"/>
          <w:szCs w:val="28"/>
        </w:rPr>
        <w:t>Asservissement d’un bras à hélice avec un degré de liberté</w:t>
      </w:r>
    </w:p>
    <w:p w14:paraId="01C740B3" w14:textId="464E8463" w:rsidR="003C28E8" w:rsidRDefault="00B6113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
          <w:bCs/>
          <w:sz w:val="24"/>
        </w:rPr>
      </w:pPr>
      <w:r>
        <w:rPr>
          <w:b/>
          <w:sz w:val="24"/>
          <w:u w:val="single"/>
        </w:rPr>
        <w:br/>
      </w:r>
      <w:r w:rsidRPr="00EF07DE">
        <w:rPr>
          <w:b/>
          <w:sz w:val="24"/>
          <w:szCs w:val="24"/>
          <w:u w:val="single"/>
        </w:rPr>
        <w:t>ENTREPRISE</w:t>
      </w:r>
      <w:r>
        <w:rPr>
          <w:sz w:val="24"/>
        </w:rPr>
        <w:br/>
      </w:r>
      <w:r>
        <w:rPr>
          <w:sz w:val="24"/>
        </w:rPr>
        <w:br/>
        <w:t>Nom :</w:t>
      </w:r>
      <w:r w:rsidR="003C28E8">
        <w:rPr>
          <w:sz w:val="24"/>
        </w:rPr>
        <w:t xml:space="preserve"> </w:t>
      </w:r>
      <w:r w:rsidR="003C28E8" w:rsidRPr="003C28E8">
        <w:rPr>
          <w:b/>
          <w:bCs/>
          <w:sz w:val="24"/>
        </w:rPr>
        <w:t>EFREI Paris</w:t>
      </w:r>
      <w:r>
        <w:rPr>
          <w:sz w:val="24"/>
        </w:rPr>
        <w:br/>
        <w:t>Adresse :</w:t>
      </w:r>
      <w:r w:rsidR="003C28E8">
        <w:rPr>
          <w:sz w:val="24"/>
        </w:rPr>
        <w:t xml:space="preserve"> </w:t>
      </w:r>
      <w:r w:rsidR="003C28E8" w:rsidRPr="003C28E8">
        <w:rPr>
          <w:b/>
          <w:bCs/>
          <w:sz w:val="24"/>
        </w:rPr>
        <w:t>30-32 Avenue de la République 94800 VILLEJUIF</w:t>
      </w:r>
    </w:p>
    <w:p w14:paraId="3B3687F3" w14:textId="53D940B6" w:rsidR="003C28E8" w:rsidRDefault="00B6113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br/>
      </w:r>
      <w:r w:rsidRPr="00EF07DE">
        <w:rPr>
          <w:b/>
          <w:sz w:val="24"/>
          <w:szCs w:val="24"/>
          <w:u w:val="single"/>
        </w:rPr>
        <w:t>DATE DU STAGE</w:t>
      </w:r>
      <w:r>
        <w:rPr>
          <w:sz w:val="24"/>
        </w:rPr>
        <w:tab/>
        <w:t>Date de remise du rapport aux membres du Jury :</w:t>
      </w:r>
      <w:r>
        <w:rPr>
          <w:sz w:val="24"/>
        </w:rPr>
        <w:br/>
      </w:r>
      <w:r>
        <w:rPr>
          <w:sz w:val="24"/>
        </w:rPr>
        <w:br/>
        <w:t>du :</w:t>
      </w:r>
      <w:r w:rsidR="003A7081">
        <w:rPr>
          <w:sz w:val="24"/>
        </w:rPr>
        <w:t xml:space="preserve"> </w:t>
      </w:r>
      <w:r w:rsidR="003A7081" w:rsidRPr="003A7081">
        <w:rPr>
          <w:b/>
          <w:bCs/>
          <w:sz w:val="24"/>
        </w:rPr>
        <w:t>07/11/2022</w:t>
      </w:r>
      <w:r>
        <w:rPr>
          <w:sz w:val="24"/>
        </w:rPr>
        <w:t xml:space="preserve">         </w:t>
      </w:r>
      <w:r w:rsidR="003A7081">
        <w:rPr>
          <w:sz w:val="24"/>
        </w:rPr>
        <w:tab/>
      </w:r>
      <w:r>
        <w:rPr>
          <w:sz w:val="24"/>
        </w:rPr>
        <w:t xml:space="preserve"> </w:t>
      </w:r>
      <w:r w:rsidR="003A7081">
        <w:rPr>
          <w:sz w:val="24"/>
        </w:rPr>
        <w:tab/>
      </w:r>
      <w:r>
        <w:rPr>
          <w:sz w:val="24"/>
        </w:rPr>
        <w:t xml:space="preserve">au : </w:t>
      </w:r>
      <w:r w:rsidR="003A7081" w:rsidRPr="003A7081">
        <w:rPr>
          <w:b/>
          <w:bCs/>
          <w:sz w:val="24"/>
        </w:rPr>
        <w:t>31/03/2023</w:t>
      </w:r>
      <w:r>
        <w:rPr>
          <w:sz w:val="24"/>
        </w:rPr>
        <w:t xml:space="preserve">                          durée effective en semaines :</w:t>
      </w:r>
      <w:r w:rsidR="003A7081">
        <w:rPr>
          <w:sz w:val="24"/>
        </w:rPr>
        <w:t xml:space="preserve"> </w:t>
      </w:r>
      <w:r w:rsidR="003A7081" w:rsidRPr="003A7081">
        <w:rPr>
          <w:b/>
          <w:bCs/>
          <w:sz w:val="24"/>
        </w:rPr>
        <w:t>20</w:t>
      </w:r>
    </w:p>
    <w:p w14:paraId="4642C99C" w14:textId="77777777" w:rsidR="003C28E8" w:rsidRDefault="003C28E8"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
          <w:sz w:val="24"/>
          <w:u w:val="single"/>
        </w:rPr>
      </w:pPr>
      <w:r>
        <w:rPr>
          <w:b/>
          <w:sz w:val="24"/>
          <w:szCs w:val="24"/>
          <w:u w:val="single"/>
        </w:rPr>
        <w:t xml:space="preserve">                                                                                                                                              </w:t>
      </w:r>
      <w:r w:rsidR="00B61131" w:rsidRPr="00EF07DE">
        <w:rPr>
          <w:b/>
          <w:sz w:val="24"/>
          <w:szCs w:val="24"/>
          <w:u w:val="single"/>
        </w:rPr>
        <w:t>SOUTENANCE</w:t>
      </w:r>
      <w:r w:rsidR="00B61131" w:rsidRPr="00EF07DE">
        <w:rPr>
          <w:b/>
          <w:sz w:val="24"/>
          <w:szCs w:val="24"/>
        </w:rPr>
        <w:tab/>
      </w:r>
      <w:r w:rsidR="00B61131">
        <w:rPr>
          <w:b/>
          <w:sz w:val="24"/>
        </w:rPr>
        <w:tab/>
      </w:r>
      <w:r w:rsidR="00B61131">
        <w:rPr>
          <w:b/>
          <w:sz w:val="24"/>
        </w:rPr>
        <w:tab/>
      </w:r>
      <w:r w:rsidR="00B61131">
        <w:rPr>
          <w:b/>
          <w:sz w:val="24"/>
        </w:rPr>
        <w:tab/>
      </w:r>
      <w:r w:rsidR="00B61131">
        <w:rPr>
          <w:b/>
          <w:sz w:val="24"/>
        </w:rPr>
        <w:tab/>
      </w:r>
      <w:r w:rsidR="00B61131">
        <w:rPr>
          <w:bCs/>
          <w:sz w:val="24"/>
        </w:rPr>
        <w:t>Date :</w:t>
      </w:r>
      <w:r w:rsidR="00B61131">
        <w:rPr>
          <w:bCs/>
          <w:sz w:val="24"/>
        </w:rPr>
        <w:tab/>
      </w:r>
      <w:r w:rsidR="00B61131">
        <w:rPr>
          <w:bCs/>
          <w:sz w:val="24"/>
        </w:rPr>
        <w:tab/>
      </w:r>
      <w:r w:rsidR="00B61131">
        <w:rPr>
          <w:bCs/>
          <w:sz w:val="24"/>
        </w:rPr>
        <w:tab/>
      </w:r>
      <w:r w:rsidR="00B61131">
        <w:rPr>
          <w:bCs/>
          <w:sz w:val="24"/>
        </w:rPr>
        <w:tab/>
        <w:t>Heure :</w:t>
      </w:r>
      <w:r w:rsidR="00B61131">
        <w:rPr>
          <w:b/>
          <w:sz w:val="24"/>
        </w:rPr>
        <w:t xml:space="preserve"> </w:t>
      </w:r>
      <w:r w:rsidR="00B61131">
        <w:rPr>
          <w:sz w:val="24"/>
        </w:rPr>
        <w:br/>
      </w:r>
      <w:r w:rsidR="00B61131">
        <w:rPr>
          <w:sz w:val="24"/>
        </w:rPr>
        <w:br/>
        <w:t>Composition du Jury :</w:t>
      </w:r>
      <w:r w:rsidR="00B61131">
        <w:rPr>
          <w:sz w:val="24"/>
        </w:rPr>
        <w:br/>
      </w:r>
      <w:r w:rsidR="00B61131">
        <w:rPr>
          <w:sz w:val="24"/>
        </w:rPr>
        <w:br/>
        <w:t xml:space="preserve"> </w:t>
      </w:r>
      <w:r w:rsidR="00B61131">
        <w:rPr>
          <w:sz w:val="24"/>
        </w:rPr>
        <w:tab/>
        <w:t>- Président (responsable EFREI  ) :</w:t>
      </w:r>
      <w:r w:rsidR="00B61131">
        <w:rPr>
          <w:sz w:val="24"/>
        </w:rPr>
        <w:tab/>
      </w:r>
      <w:r w:rsidR="00B61131">
        <w:rPr>
          <w:sz w:val="24"/>
        </w:rPr>
        <w:tab/>
      </w:r>
      <w:r w:rsidR="00B61131">
        <w:rPr>
          <w:sz w:val="24"/>
        </w:rPr>
        <w:tab/>
      </w:r>
      <w:r w:rsidR="00B61131">
        <w:rPr>
          <w:sz w:val="24"/>
        </w:rPr>
        <w:tab/>
      </w:r>
      <w:r w:rsidR="00B61131">
        <w:rPr>
          <w:sz w:val="24"/>
        </w:rPr>
        <w:tab/>
      </w:r>
      <w:r w:rsidR="00B61131">
        <w:rPr>
          <w:sz w:val="24"/>
        </w:rPr>
        <w:tab/>
      </w:r>
      <w:r w:rsidR="00B61131">
        <w:rPr>
          <w:sz w:val="24"/>
        </w:rPr>
        <w:br/>
      </w:r>
      <w:r w:rsidR="00B61131">
        <w:rPr>
          <w:sz w:val="24"/>
        </w:rPr>
        <w:br/>
        <w:t xml:space="preserve"> </w:t>
      </w:r>
      <w:r w:rsidR="00B61131">
        <w:rPr>
          <w:sz w:val="24"/>
        </w:rPr>
        <w:tab/>
        <w:t>- Responsable du stage (Entreprise) :</w:t>
      </w:r>
      <w:r w:rsidR="00B61131">
        <w:rPr>
          <w:sz w:val="24"/>
        </w:rPr>
        <w:tab/>
      </w:r>
      <w:r w:rsidR="00B61131">
        <w:rPr>
          <w:sz w:val="24"/>
        </w:rPr>
        <w:tab/>
      </w:r>
      <w:r w:rsidR="00B61131">
        <w:rPr>
          <w:sz w:val="24"/>
        </w:rPr>
        <w:tab/>
      </w:r>
      <w:r w:rsidR="00B61131">
        <w:rPr>
          <w:sz w:val="24"/>
        </w:rPr>
        <w:tab/>
      </w:r>
      <w:r w:rsidR="00B61131">
        <w:rPr>
          <w:sz w:val="24"/>
        </w:rPr>
        <w:br/>
      </w:r>
      <w:r w:rsidR="00B61131">
        <w:rPr>
          <w:sz w:val="24"/>
        </w:rPr>
        <w:br/>
        <w:t xml:space="preserve"> </w:t>
      </w:r>
      <w:r w:rsidR="00B61131">
        <w:rPr>
          <w:sz w:val="24"/>
        </w:rPr>
        <w:tab/>
        <w:t>- Invité(e) :</w:t>
      </w:r>
      <w:r w:rsidR="00B61131">
        <w:rPr>
          <w:sz w:val="24"/>
        </w:rPr>
        <w:br/>
      </w:r>
    </w:p>
    <w:p w14:paraId="20B7871E" w14:textId="4B24FC0E" w:rsidR="003C28E8" w:rsidRDefault="003A708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t xml:space="preserve">                                                                                                                                               </w:t>
      </w:r>
      <w:r w:rsidR="00B61131" w:rsidRPr="00EF07DE">
        <w:rPr>
          <w:b/>
          <w:sz w:val="24"/>
          <w:u w:val="single"/>
        </w:rPr>
        <w:t>PUBLICATION DU RAPPORT DE STAGE</w:t>
      </w:r>
      <w:r w:rsidR="00B61131">
        <w:rPr>
          <w:sz w:val="24"/>
        </w:rPr>
        <w:br/>
      </w:r>
      <w:r w:rsidR="003C28E8">
        <w:rPr>
          <w:sz w:val="24"/>
        </w:rPr>
        <w:t xml:space="preserve">                                                                                                                                                                    </w:t>
      </w:r>
      <w:r w:rsidR="00B61131" w:rsidRPr="00EE12E2">
        <w:rPr>
          <w:sz w:val="24"/>
        </w:rPr>
        <w:t>Le Responsable du stage</w:t>
      </w:r>
      <w:r w:rsidR="00B61131">
        <w:rPr>
          <w:sz w:val="24"/>
        </w:rPr>
        <w:t xml:space="preserve"> :  </w:t>
      </w:r>
      <w:r w:rsidR="00B61131" w:rsidRPr="00EE12E2">
        <w:rPr>
          <w:sz w:val="24"/>
        </w:rPr>
        <w:t xml:space="preserve">                                          </w:t>
      </w:r>
      <w:r w:rsidR="00B61131">
        <w:rPr>
          <w:sz w:val="24"/>
        </w:rPr>
        <w:t xml:space="preserve">     </w:t>
      </w:r>
      <w:r w:rsidR="00B61131" w:rsidRPr="00EE12E2">
        <w:rPr>
          <w:sz w:val="24"/>
        </w:rPr>
        <w:t xml:space="preserve"> autorise le stagiaire à publier le rapport de stage sur l’</w:t>
      </w:r>
      <w:r w:rsidR="00B61131">
        <w:rPr>
          <w:sz w:val="24"/>
        </w:rPr>
        <w:t>I</w:t>
      </w:r>
      <w:r w:rsidR="00B61131" w:rsidRPr="00EE12E2">
        <w:rPr>
          <w:sz w:val="24"/>
        </w:rPr>
        <w:t>ntranet de l’Ecole</w:t>
      </w:r>
      <w:r w:rsidR="00B61131">
        <w:rPr>
          <w:sz w:val="24"/>
        </w:rPr>
        <w:t>.</w:t>
      </w:r>
      <w:r w:rsidR="003C28E8">
        <w:rPr>
          <w:sz w:val="24"/>
        </w:rPr>
        <w:t xml:space="preserve">                                                                             </w:t>
      </w:r>
      <w:r w:rsidR="00B61131">
        <w:rPr>
          <w:sz w:val="24"/>
        </w:rPr>
        <w:t xml:space="preserve">Signature  </w:t>
      </w:r>
    </w:p>
    <w:p w14:paraId="00BF98BE" w14:textId="08258738" w:rsidR="003A7081" w:rsidRPr="003A7081" w:rsidRDefault="003A708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Cs/>
          <w:i/>
          <w:iCs/>
          <w:sz w:val="24"/>
        </w:rPr>
      </w:pPr>
      <w:r>
        <w:rPr>
          <w:b/>
          <w:sz w:val="24"/>
          <w:u w:val="single"/>
        </w:rPr>
        <w:t xml:space="preserve">                                                                                                                                                              </w:t>
      </w:r>
      <w:r w:rsidR="00B61131" w:rsidRPr="00350A97">
        <w:rPr>
          <w:b/>
          <w:sz w:val="24"/>
          <w:u w:val="single"/>
        </w:rPr>
        <w:t xml:space="preserve">Mots </w:t>
      </w:r>
      <w:r w:rsidR="00B61131" w:rsidRPr="003A7081">
        <w:rPr>
          <w:b/>
          <w:sz w:val="24"/>
          <w:u w:val="single"/>
        </w:rPr>
        <w:t>clés</w:t>
      </w:r>
      <w:r w:rsidR="00B61131" w:rsidRPr="003A7081">
        <w:rPr>
          <w:bCs/>
          <w:sz w:val="24"/>
        </w:rPr>
        <w:t xml:space="preserve"> </w:t>
      </w:r>
      <w:r>
        <w:rPr>
          <w:bCs/>
          <w:sz w:val="24"/>
        </w:rPr>
        <w:t xml:space="preserve">                                                                                                                                             </w:t>
      </w:r>
    </w:p>
    <w:p w14:paraId="3166F874" w14:textId="77777777" w:rsidR="00B61131" w:rsidRDefault="00B61131" w:rsidP="008154A8">
      <w:pPr>
        <w:jc w:val="both"/>
        <w:rPr>
          <w:b/>
          <w:bCs/>
          <w:sz w:val="36"/>
          <w:szCs w:val="36"/>
        </w:rPr>
      </w:pPr>
    </w:p>
    <w:p w14:paraId="45CA196C" w14:textId="77777777" w:rsidR="00B61131" w:rsidRDefault="00B61131">
      <w:pPr>
        <w:rPr>
          <w:b/>
          <w:bCs/>
          <w:sz w:val="36"/>
          <w:szCs w:val="36"/>
        </w:rPr>
      </w:pPr>
      <w:r>
        <w:rPr>
          <w:b/>
          <w:bCs/>
          <w:sz w:val="36"/>
          <w:szCs w:val="36"/>
        </w:rPr>
        <w:br w:type="page"/>
      </w:r>
    </w:p>
    <w:p w14:paraId="4BA60693" w14:textId="56563F60"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9"/>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w:t>
          </w:r>
          <w:proofErr w:type="spellStart"/>
          <w:r w:rsidR="00456081">
            <w:t>Innovation’Lab</w:t>
          </w:r>
          <w:proofErr w:type="spellEnd"/>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 xml:space="preserve">Key </w:t>
      </w:r>
      <w:proofErr w:type="spellStart"/>
      <w:r w:rsidRPr="00AC4250">
        <w:t>words</w:t>
      </w:r>
      <w:proofErr w:type="spellEnd"/>
      <w:r w:rsidRPr="00AC4250">
        <w:t>:</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AE79C2" w:rsidRDefault="0079625D" w:rsidP="003F2554">
      <w:pPr>
        <w:jc w:val="both"/>
        <w:rPr>
          <w:b/>
          <w:bCs/>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w:t>
      </w:r>
      <w:proofErr w:type="spellStart"/>
      <w:r w:rsidR="00812C63">
        <w:t>Innovation’Lab</w:t>
      </w:r>
      <w:proofErr w:type="spellEnd"/>
      <w:r w:rsidR="00812C63">
        <w:t>.</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w:t>
      </w:r>
      <w:proofErr w:type="spellStart"/>
      <w:r w:rsidR="00456081">
        <w:rPr>
          <w:sz w:val="28"/>
          <w:szCs w:val="28"/>
          <w:u w:val="single"/>
        </w:rPr>
        <w:t>Innovation’Lab</w:t>
      </w:r>
      <w:proofErr w:type="spellEnd"/>
    </w:p>
    <w:p w14:paraId="42435D7C" w14:textId="6BA0B955" w:rsidR="00BD62F0" w:rsidRPr="00AE79C2" w:rsidRDefault="00BD62F0" w:rsidP="003F2554">
      <w:pPr>
        <w:jc w:val="both"/>
      </w:pPr>
    </w:p>
    <w:p w14:paraId="2147D273" w14:textId="77777777" w:rsidR="004E5076" w:rsidRDefault="00812C63" w:rsidP="003F2554">
      <w:pPr>
        <w:jc w:val="both"/>
      </w:pPr>
      <w:r>
        <w:t>L’</w:t>
      </w:r>
      <w:proofErr w:type="spellStart"/>
      <w:r>
        <w:t>Innovation’Lab</w:t>
      </w:r>
      <w:proofErr w:type="spellEnd"/>
      <w:r>
        <w:t xml:space="preserve"> est un espace de travail dédié aux étudiants, enseignants et associations étudiantes disposant d’outils pour la conception et réalisation de projets. </w:t>
      </w:r>
      <w:r w:rsidR="00524510">
        <w:t>L’</w:t>
      </w:r>
      <w:proofErr w:type="spellStart"/>
      <w:r w:rsidR="00524510">
        <w:t>Innovation’Lab</w:t>
      </w:r>
      <w:proofErr w:type="spellEnd"/>
      <w:r w:rsidR="00524510">
        <w:t xml:space="preserve">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w:t>
      </w:r>
      <w:proofErr w:type="spellStart"/>
      <w:r>
        <w:t>Innovation’Lab</w:t>
      </w:r>
      <w:proofErr w:type="spellEnd"/>
      <w:r>
        <w:t xml:space="preserve"> (</w:t>
      </w:r>
      <w:proofErr w:type="spellStart"/>
      <w:r>
        <w:t>I’Lab</w:t>
      </w:r>
      <w:proofErr w:type="spellEnd"/>
      <w:r>
        <w:t>)</w:t>
      </w:r>
      <w:r w:rsidR="008770B5">
        <w:t xml:space="preserve"> en partenariat avec la majeure Systèmes Robotiques &amp; Drones (SRD)</w:t>
      </w:r>
      <w:r>
        <w:t>, est encadré par Monsieur GRIOT Rémi, en sa qualité de manager de l’</w:t>
      </w:r>
      <w:proofErr w:type="spellStart"/>
      <w:r>
        <w:t>I’Lab</w:t>
      </w:r>
      <w:proofErr w:type="spellEnd"/>
      <w:r>
        <w:t xml:space="preserve">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 xml:space="preserve">Yann Kader Axel </w:t>
      </w:r>
      <w:proofErr w:type="spellStart"/>
      <w:r w:rsidR="0047151A">
        <w:t>Obou</w:t>
      </w:r>
      <w:proofErr w:type="spellEnd"/>
      <w:r w:rsidR="0047151A">
        <w:t>,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proofErr w:type="spellStart"/>
      <w:r w:rsidR="0079229F">
        <w:t>brushless</w:t>
      </w:r>
      <w:proofErr w:type="spellEnd"/>
      <w:r w:rsidR="0079229F">
        <w:t xml:space="preserve"> et un contrôleur de vitesse électronique (ESC </w:t>
      </w:r>
      <w:proofErr w:type="spellStart"/>
      <w:r w:rsidR="0079229F" w:rsidRPr="0079229F">
        <w:rPr>
          <w:i/>
          <w:iCs/>
        </w:rPr>
        <w:t>Electronic</w:t>
      </w:r>
      <w:proofErr w:type="spellEnd"/>
      <w:r w:rsidR="0079229F" w:rsidRPr="0079229F">
        <w:rPr>
          <w:i/>
          <w:iCs/>
        </w:rPr>
        <w:t xml:space="preserve"> Speed Controller</w:t>
      </w:r>
      <w:r w:rsidR="0079229F">
        <w:t xml:space="preserve"> ) issus du commerce de drones ; </w:t>
      </w:r>
      <w:r w:rsidR="000D70BB">
        <w:t xml:space="preserve">un potentiomètre ; </w:t>
      </w:r>
      <w:r w:rsidR="0079229F">
        <w:t xml:space="preserve">une centrale inertielle (MPU-6050 de chez </w:t>
      </w:r>
      <w:proofErr w:type="spellStart"/>
      <w:r w:rsidR="0079229F">
        <w:t>InvenSense</w:t>
      </w:r>
      <w:proofErr w:type="spellEnd"/>
      <w:r w:rsidR="0079229F">
        <w:t xml:space="preserv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w:t>
      </w:r>
      <w:proofErr w:type="spellStart"/>
      <w:r>
        <w:t>firmware</w:t>
      </w:r>
      <w:proofErr w:type="spellEnd"/>
      <w:r>
        <w:t xml:space="preserve"> implémenté dans la carte. La communication avec la carte se fait en série </w:t>
      </w:r>
      <w:r w:rsidR="00206DDD">
        <w:t>via</w:t>
      </w:r>
      <w:r>
        <w:t xml:space="preserve"> le protocole UART</w:t>
      </w:r>
      <w:r w:rsidR="009A453D">
        <w:t xml:space="preserve"> RS232 avec un Baud Rate de 115200 Bits/s et un Word </w:t>
      </w:r>
      <w:proofErr w:type="spellStart"/>
      <w:r w:rsidR="009A453D">
        <w:t>Length</w:t>
      </w:r>
      <w:proofErr w:type="spellEnd"/>
      <w:r w:rsidR="009A453D">
        <w:t xml:space="preserve"> de 8 Bits.</w:t>
      </w:r>
      <w:r w:rsidR="00206DDD">
        <w:t xml:space="preserve"> L’utilisation d’un terminal UART permet de rentrer des commandes sur ordinateur.</w:t>
      </w:r>
      <w:r w:rsidR="0031663A">
        <w:t xml:space="preserve"> </w:t>
      </w:r>
    </w:p>
    <w:p w14:paraId="706A0CE1" w14:textId="3666E39C" w:rsidR="00206DDD" w:rsidRDefault="0031663A" w:rsidP="003F2554">
      <w:pPr>
        <w:jc w:val="both"/>
        <w:rPr>
          <w:color w:val="FF0000"/>
        </w:rPr>
      </w:pPr>
      <w:r w:rsidRPr="0031663A">
        <w:rPr>
          <w:color w:val="FF0000"/>
        </w:rPr>
        <w:t>[NOUVELLE PHOTO DU DISPOSITIF A PRENDRE / PHOTOS DETAILLEES ?]</w:t>
      </w:r>
    </w:p>
    <w:p w14:paraId="24369EB5" w14:textId="1BEC94F9" w:rsidR="005A509A" w:rsidRPr="0031663A" w:rsidRDefault="005A509A" w:rsidP="003F2554">
      <w:pPr>
        <w:jc w:val="both"/>
        <w:rPr>
          <w:color w:val="FF0000"/>
        </w:rPr>
      </w:pPr>
      <w:r>
        <w:rPr>
          <w:color w:val="FF0000"/>
        </w:rPr>
        <w:t>[Schéma fonctionnel pc carte dispositif]</w:t>
      </w:r>
    </w:p>
    <w:p w14:paraId="12998FC3" w14:textId="2B7D3CB5" w:rsidR="001D43DF" w:rsidRDefault="001D43DF" w:rsidP="003F2554">
      <w:pPr>
        <w:jc w:val="both"/>
      </w:pPr>
    </w:p>
    <w:p w14:paraId="7E8EA9F1" w14:textId="421A799D" w:rsidR="00AE79C2" w:rsidRDefault="00AE79C2" w:rsidP="003F2554">
      <w:pPr>
        <w:jc w:val="both"/>
      </w:pPr>
    </w:p>
    <w:p w14:paraId="0CB847A4" w14:textId="77777777" w:rsidR="00AE79C2" w:rsidRDefault="00AE79C2"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t>En début de stage, le dispositif est dans un état fonctionnel : il est possible de communiquer avec la STM32 en suivant les conditions de passages d’un état à un autre de la machine d’état développée dans le fichier source « </w:t>
      </w:r>
      <w:proofErr w:type="spellStart"/>
      <w:r>
        <w:t>main.c</w:t>
      </w:r>
      <w:proofErr w:type="spellEnd"/>
      <w:r>
        <w:t>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8449854"/>
                    </a:xfrm>
                    <a:prstGeom prst="rect">
                      <a:avLst/>
                    </a:prstGeom>
                  </pic:spPr>
                </pic:pic>
              </a:graphicData>
            </a:graphic>
          </wp:inline>
        </w:drawing>
      </w:r>
    </w:p>
    <w:p w14:paraId="1F520D49" w14:textId="743851BB" w:rsidR="009A0472" w:rsidRDefault="009A0472" w:rsidP="009A0472">
      <w:pPr>
        <w:pStyle w:val="Lgende"/>
        <w:jc w:val="center"/>
      </w:pPr>
      <w:r>
        <w:t xml:space="preserve">Figure </w:t>
      </w:r>
      <w:fldSimple w:instr=" SEQ Figure \* ARABIC ">
        <w:r w:rsidR="00A06AB2">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w:t>
      </w:r>
      <w:proofErr w:type="spellStart"/>
      <w:r w:rsidR="009A0472">
        <w:t>Init_UC</w:t>
      </w:r>
      <w:proofErr w:type="spellEnd"/>
      <w:r w:rsidR="009A0472">
        <w:t xml:space="preserve"> » </w:t>
      </w:r>
      <w:r w:rsidR="0005292E">
        <w:t xml:space="preserve">est un état de transition dans lequel il est possible d’accéder à l’état « Info » (qui propose un récapitulatif des différents modes et autres informations relatives à la simulation) ou bien à l’état « Init </w:t>
      </w:r>
      <w:proofErr w:type="spellStart"/>
      <w:r w:rsidR="0005292E">
        <w:t>Motor</w:t>
      </w:r>
      <w:proofErr w:type="spellEnd"/>
      <w:r w:rsidR="0005292E">
        <w:t xml:space="preserve"> » par sélection du caractère spécifique associé (un chiffre). L’état « Init </w:t>
      </w:r>
      <w:proofErr w:type="spellStart"/>
      <w:r w:rsidR="0005292E">
        <w:t>Motor</w:t>
      </w:r>
      <w:proofErr w:type="spellEnd"/>
      <w:r w:rsidR="0005292E">
        <w:t> » vérifie s’il y a bien une acquisition de signal en provenance du moteur, auquel cas la transition à l’état suivant « </w:t>
      </w:r>
      <w:proofErr w:type="spellStart"/>
      <w:r w:rsidR="0005292E">
        <w:t>Motor</w:t>
      </w:r>
      <w:proofErr w:type="spellEnd"/>
      <w:r w:rsidR="0005292E">
        <w:t xml:space="preserve"> </w:t>
      </w:r>
      <w:proofErr w:type="spellStart"/>
      <w:r w:rsidR="0005292E">
        <w:t>Ready</w:t>
      </w:r>
      <w:proofErr w:type="spellEnd"/>
      <w:r w:rsidR="0005292E">
        <w:t> » est possible. C’est dans « </w:t>
      </w:r>
      <w:proofErr w:type="spellStart"/>
      <w:r w:rsidR="0005292E">
        <w:t>Motor</w:t>
      </w:r>
      <w:proofErr w:type="spellEnd"/>
      <w:r w:rsidR="0005292E">
        <w:t xml:space="preserve"> </w:t>
      </w:r>
      <w:proofErr w:type="spellStart"/>
      <w:r w:rsidR="0005292E">
        <w:t>Ready</w:t>
      </w:r>
      <w:proofErr w:type="spellEnd"/>
      <w:r w:rsidR="0005292E">
        <w:t> » qu’il est alors possible de choisir (par sélection d’un caractère également) entre plusieurs modes d’interaction avec le moteur : « Manual Mode Pot », pour une interaction manuelle avec le moteur via le potentiomètre</w:t>
      </w:r>
      <w:r w:rsidR="006657ED">
        <w:t xml:space="preserve"> ; « Manual Mode </w:t>
      </w:r>
      <w:proofErr w:type="spellStart"/>
      <w:r w:rsidR="006657ED">
        <w:t>Term</w:t>
      </w:r>
      <w:proofErr w:type="spellEnd"/>
      <w:r w:rsidR="006657ED">
        <w:t>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w:t>
      </w:r>
      <w:proofErr w:type="spellStart"/>
      <w:r w:rsidR="00E107DA">
        <w:t>Motor</w:t>
      </w:r>
      <w:proofErr w:type="spellEnd"/>
      <w:r w:rsidR="00E107DA">
        <w:t xml:space="preserve"> </w:t>
      </w:r>
      <w:proofErr w:type="spellStart"/>
      <w:r w:rsidR="00E107DA">
        <w:t>Ready</w:t>
      </w:r>
      <w:proofErr w:type="spellEnd"/>
      <w:r w:rsidR="00E107DA">
        <w:t>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 xml:space="preserve">développer le </w:t>
      </w:r>
      <w:proofErr w:type="spellStart"/>
      <w:r w:rsidR="005E3E48">
        <w:t>firmware</w:t>
      </w:r>
      <w:proofErr w:type="spellEnd"/>
      <w:r w:rsidR="005E3E48">
        <w:t xml:space="preserv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w:t>
      </w:r>
      <w:proofErr w:type="spellStart"/>
      <w:r>
        <w:t>I’Lab</w:t>
      </w:r>
      <w:proofErr w:type="spellEnd"/>
      <w:r>
        <w:t xml:space="preserve">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 xml:space="preserve">[PHOTOS DE </w:t>
      </w:r>
      <w:proofErr w:type="spellStart"/>
      <w:r>
        <w:t>L IDE</w:t>
      </w:r>
      <w:proofErr w:type="spellEnd"/>
      <w:r>
        <w:t xml:space="preserv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t>
      </w:r>
      <w:proofErr w:type="spellStart"/>
      <w:r w:rsidR="002D27F2">
        <w:t>while</w:t>
      </w:r>
      <w:proofErr w:type="spellEnd"/>
      <w:r w:rsidR="002D27F2">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xml:space="preserve"> : ‘1’ pour « Manual Mode Pot » / ‘2’ pour « Manual Mode </w:t>
      </w:r>
      <w:proofErr w:type="spellStart"/>
      <w:r w:rsidR="0044564D">
        <w:t>Term</w:t>
      </w:r>
      <w:proofErr w:type="spellEnd"/>
      <w:r w:rsidR="0044564D">
        <w:t xml:space="preserve"> » / ‘3’ pour </w:t>
      </w:r>
      <w:proofErr w:type="gramStart"/>
      <w:r w:rsidR="0044564D">
        <w:t>« Auto Mode »</w:t>
      </w:r>
      <w:proofErr w:type="gramEnd"/>
      <w:r w:rsidR="0044564D">
        <w:t>.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w:t>
      </w:r>
      <w:proofErr w:type="spellStart"/>
      <w:r>
        <w:t>Motor</w:t>
      </w:r>
      <w:proofErr w:type="spellEnd"/>
      <w:r>
        <w:t xml:space="preserve"> </w:t>
      </w:r>
      <w:proofErr w:type="spellStart"/>
      <w:r>
        <w:t>Ready</w:t>
      </w:r>
      <w:proofErr w:type="spellEnd"/>
      <w: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55E91AE7" w:rsidR="008D1CB9" w:rsidRDefault="008D1CB9" w:rsidP="00BA5DB8">
      <w:r>
        <w:t>Afin d’éviter d’autres potentiels « dangers </w:t>
      </w:r>
      <w:r w:rsidR="00876D35">
        <w:t>» ou</w:t>
      </w:r>
      <w:r>
        <w:t xml:space="preserve"> dommages sur le dispositif, j’ai décidé alors d’ajouter des garde-fous accompagnés de messages d’erreurs sur les 2 modes de fonctionnement « Manual Mode </w:t>
      </w:r>
      <w:proofErr w:type="spellStart"/>
      <w:r>
        <w:t>Term</w:t>
      </w:r>
      <w:proofErr w:type="spellEnd"/>
      <w:r>
        <w:t xml:space="preserve"> » et « Auto Mode » présentant une partie interactive (demande de consigne). Par exemple, le mode 2 « Manual Mode </w:t>
      </w:r>
      <w:proofErr w:type="spellStart"/>
      <w:r w:rsidR="00A52F11">
        <w:t>T</w:t>
      </w:r>
      <w:r>
        <w:t>erm</w:t>
      </w:r>
      <w:proofErr w:type="spellEnd"/>
      <w:r>
        <w:t xml:space="preserve"> » requiert une valeur consigne de pourcentage de gaz à </w:t>
      </w:r>
      <w:r>
        <w:lastRenderedPageBreak/>
        <w:t xml:space="preserve">attribuer au moteur et par expérimentation, j’ai constaté </w:t>
      </w:r>
      <w:r w:rsidR="00876D35">
        <w:t>qu’une valeur supérieure</w:t>
      </w:r>
      <w:r>
        <w:t xml:space="preserve">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Ensuite, il a été convenu que le mode « Init UC » ne devrait plus être accessible depuis « </w:t>
      </w:r>
      <w:proofErr w:type="spellStart"/>
      <w:r>
        <w:t>Motor</w:t>
      </w:r>
      <w:proofErr w:type="spellEnd"/>
      <w:r>
        <w:t xml:space="preserve"> </w:t>
      </w:r>
      <w:proofErr w:type="spellStart"/>
      <w:r>
        <w:t>Ready</w:t>
      </w:r>
      <w:proofErr w:type="spellEnd"/>
      <w:r>
        <w:t xml:space="preserve">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w:t>
      </w:r>
      <w:proofErr w:type="spellStart"/>
      <w:r w:rsidR="00F366ED">
        <w:t>Motor</w:t>
      </w:r>
      <w:proofErr w:type="spellEnd"/>
      <w:r w:rsidR="00F366ED">
        <w:t xml:space="preserve"> </w:t>
      </w:r>
      <w:proofErr w:type="spellStart"/>
      <w:r w:rsidR="00F366ED">
        <w:t>Ready</w:t>
      </w:r>
      <w:proofErr w:type="spellEnd"/>
      <w:r w:rsidR="00F366ED">
        <w:t> », mais aussi parallèlement utilis</w:t>
      </w:r>
      <w:r w:rsidR="002A683C">
        <w:t xml:space="preserve">é </w:t>
      </w:r>
      <w:r w:rsidR="00F366ED">
        <w:t>pour l’atterrissage.</w:t>
      </w:r>
      <w:r w:rsidR="00F11473">
        <w:t xml:space="preserve"> Une fois « </w:t>
      </w:r>
      <w:proofErr w:type="spellStart"/>
      <w:r w:rsidR="00F11473">
        <w:t>Motor</w:t>
      </w:r>
      <w:proofErr w:type="spellEnd"/>
      <w:r w:rsidR="00F11473">
        <w:t xml:space="preserve"> </w:t>
      </w:r>
      <w:proofErr w:type="spellStart"/>
      <w:r w:rsidR="00F11473">
        <w:t>Ready</w:t>
      </w:r>
      <w:proofErr w:type="spellEnd"/>
      <w:r w:rsidR="00F11473">
        <w:t> » atteint, il nous est alors demandé de saisir ‘1’, ‘2’ ou ‘3’ (ou encore ‘</w:t>
      </w:r>
      <w:r w:rsidR="000C163A">
        <w:t> ?</w:t>
      </w:r>
      <w:r w:rsidR="00F11473">
        <w:t>’) et donc d’exprimer notre choix de mode (« </w:t>
      </w:r>
      <w:proofErr w:type="spellStart"/>
      <w:r w:rsidR="00F11473">
        <w:t>Motor</w:t>
      </w:r>
      <w:proofErr w:type="spellEnd"/>
      <w:r w:rsidR="00F11473">
        <w:t xml:space="preserve"> </w:t>
      </w:r>
      <w:proofErr w:type="spellStart"/>
      <w:r w:rsidR="00F11473">
        <w:t>Ready</w:t>
      </w:r>
      <w:proofErr w:type="spellEnd"/>
      <w:r w:rsidR="00F11473">
        <w:t>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w:t>
      </w:r>
      <w:proofErr w:type="spellStart"/>
      <w:r>
        <w:t>Instruct</w:t>
      </w:r>
      <w:proofErr w:type="spellEnd"/>
      <w:r>
        <w:t xml:space="preserve"> Angle », qui une fois rentrée nous amène à l’état « Auto Mode » ou bien nous ramène à ce même état, si l’on a demandé à accéder à « </w:t>
      </w:r>
      <w:proofErr w:type="spellStart"/>
      <w:r>
        <w:t>Instruct</w:t>
      </w:r>
      <w:proofErr w:type="spellEnd"/>
      <w:r>
        <w:t xml:space="preserve">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 xml:space="preserve">J’ai en premier temps cherché les bibliothèques qui me permettraient de créer une IHM en Python. J’ai préféré débuter une IHM avec </w:t>
      </w:r>
      <w:proofErr w:type="spellStart"/>
      <w:r>
        <w:t>Tkinter</w:t>
      </w:r>
      <w:proofErr w:type="spellEnd"/>
      <w:r>
        <w:t xml:space="preserve">, plutôt que </w:t>
      </w:r>
      <w:proofErr w:type="spellStart"/>
      <w:r>
        <w:t>PyQt</w:t>
      </w:r>
      <w:proofErr w:type="spellEnd"/>
      <w:r>
        <w:t xml:space="preserve"> et </w:t>
      </w:r>
      <w:proofErr w:type="spellStart"/>
      <w:r>
        <w:t>PySide</w:t>
      </w:r>
      <w:proofErr w:type="spellEnd"/>
      <w:r>
        <w:t>,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Default="00285877" w:rsidP="00BA5DB8">
      <w:r>
        <w:t xml:space="preserve">J’ai alors </w:t>
      </w:r>
      <w:r w:rsidR="00171F01">
        <w:t>suivi</w:t>
      </w:r>
      <w:r>
        <w:t xml:space="preserve"> plusieurs tutoriels afin de pouvoir me lancer dans le développement de cette IHM.</w:t>
      </w:r>
      <w:r w:rsidR="00171F01">
        <w:t xml:space="preserve"> L’un </w:t>
      </w:r>
      <w:r w:rsidR="00876D35">
        <w:t>des tutoriels</w:t>
      </w:r>
      <w:r w:rsidR="00171F01">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426" cy="1467055"/>
                    </a:xfrm>
                    <a:prstGeom prst="rect">
                      <a:avLst/>
                    </a:prstGeom>
                  </pic:spPr>
                </pic:pic>
              </a:graphicData>
            </a:graphic>
          </wp:inline>
        </w:drawing>
      </w:r>
    </w:p>
    <w:p w14:paraId="504F27AA" w14:textId="512F301F" w:rsidR="007029CD" w:rsidRDefault="007029CD" w:rsidP="007029CD">
      <w:pPr>
        <w:pStyle w:val="Lgende"/>
        <w:jc w:val="center"/>
      </w:pPr>
      <w:r>
        <w:t xml:space="preserve">Figure </w:t>
      </w:r>
      <w:fldSimple w:instr=" SEQ Figure \* ARABIC ">
        <w:r w:rsidR="00A06AB2">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w:t>
      </w:r>
      <w:proofErr w:type="spellStart"/>
      <w:r w:rsidR="00DD2D1D">
        <w:t>Connect</w:t>
      </w:r>
      <w:proofErr w:type="spellEnd"/>
      <w:r w:rsidR="00DD2D1D">
        <w:t> » n’est plus grisé (« </w:t>
      </w:r>
      <w:proofErr w:type="spellStart"/>
      <w:r w:rsidR="00DD2D1D">
        <w:t>disabled</w:t>
      </w:r>
      <w:proofErr w:type="spellEnd"/>
      <w:r w:rsidR="00DD2D1D">
        <w:t>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stretch>
                      <a:fillRect/>
                    </a:stretch>
                  </pic:blipFill>
                  <pic:spPr>
                    <a:xfrm>
                      <a:off x="0" y="0"/>
                      <a:ext cx="3059117" cy="1378284"/>
                    </a:xfrm>
                    <a:prstGeom prst="rect">
                      <a:avLst/>
                    </a:prstGeom>
                  </pic:spPr>
                </pic:pic>
              </a:graphicData>
            </a:graphic>
          </wp:inline>
        </w:drawing>
      </w:r>
    </w:p>
    <w:p w14:paraId="6F795F2E" w14:textId="3E457DCD" w:rsidR="00DD2D1D" w:rsidRDefault="00F57B1E" w:rsidP="00F57B1E">
      <w:pPr>
        <w:pStyle w:val="Lgende"/>
        <w:jc w:val="center"/>
      </w:pPr>
      <w:r>
        <w:t xml:space="preserve">Figure </w:t>
      </w:r>
      <w:fldSimple w:instr=" SEQ Figure \* ARABIC ">
        <w:r w:rsidR="00A06AB2">
          <w:rPr>
            <w:noProof/>
          </w:rPr>
          <w:t>3</w:t>
        </w:r>
      </w:fldSimple>
      <w:r>
        <w:t xml:space="preserve">: Messages de connexion (bouton </w:t>
      </w:r>
      <w:proofErr w:type="spellStart"/>
      <w:r>
        <w:t>Connect</w:t>
      </w:r>
      <w:proofErr w:type="spellEnd"/>
      <w:r>
        <w: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w:t>
      </w:r>
      <w:proofErr w:type="spellStart"/>
      <w:r>
        <w:t>py</w:t>
      </w:r>
      <w:proofErr w:type="spellEnd"/>
      <w:r>
        <w:t> » dont un fichier principal nommé « Master.py », lequel est exécuté lorsque l’on veut utiliser l’IHM et qui fait appel à plusieurs autres fichiers « .</w:t>
      </w:r>
      <w:proofErr w:type="spellStart"/>
      <w:r>
        <w:t>py</w:t>
      </w:r>
      <w:proofErr w:type="spellEnd"/>
      <w:r>
        <w:t> » regroupant les différentes classes et fonctions utilisées.</w:t>
      </w:r>
    </w:p>
    <w:p w14:paraId="577C1550" w14:textId="3405CC49" w:rsidR="00F57B1E" w:rsidRDefault="00F57B1E" w:rsidP="00F57B1E">
      <w:r>
        <w:t xml:space="preserve">L’un de ces fichiers est appelé « GUI_Master.py », GUI pour </w:t>
      </w:r>
      <w:proofErr w:type="spellStart"/>
      <w:r>
        <w:t>Graphical</w:t>
      </w:r>
      <w:proofErr w:type="spellEnd"/>
      <w:r>
        <w:t xml:space="preserve">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Dans ce fichier, on retrouve donc la classe propre à la fenêtre principale, « </w:t>
      </w:r>
      <w:proofErr w:type="spellStart"/>
      <w:r>
        <w:t>ComGui</w:t>
      </w:r>
      <w:proofErr w:type="spellEnd"/>
      <w:r>
        <w:t xml:space="preserve"> » (pour la communication série / TAG_IHM_002) , </w:t>
      </w:r>
      <w:r w:rsidR="009F2C0F">
        <w:t>et cette même classe contient des fonctions qui sont appelées lors des interactions avec les widgets, soit par exemple la fonction « </w:t>
      </w:r>
      <w:proofErr w:type="spellStart"/>
      <w:r w:rsidR="009F2C0F">
        <w:t>ComOptionMenu</w:t>
      </w:r>
      <w:proofErr w:type="spellEnd"/>
      <w:r w:rsidR="009F2C0F">
        <w:t> » qui s’occupe de gérer l’obtention et l’affichage de la liste des ports COM dans le widget « </w:t>
      </w:r>
      <w:proofErr w:type="spellStart"/>
      <w:r w:rsidR="009F2C0F">
        <w:t>drop_com</w:t>
      </w:r>
      <w:proofErr w:type="spellEnd"/>
      <w:r w:rsidR="009F2C0F">
        <w:t> »</w:t>
      </w:r>
      <w:r w:rsidR="00885038">
        <w:t xml:space="preserve"> (en face du label « </w:t>
      </w:r>
      <w:proofErr w:type="spellStart"/>
      <w:r w:rsidR="00885038">
        <w:t>Available</w:t>
      </w:r>
      <w:proofErr w:type="spellEnd"/>
      <w:r w:rsidR="00885038">
        <w:t xml:space="preserve"> Port(s) », Fig.2)</w:t>
      </w:r>
      <w:r w:rsidR="009F2C0F">
        <w:t>.</w:t>
      </w:r>
    </w:p>
    <w:p w14:paraId="7007BE83" w14:textId="50B60617" w:rsidR="00DC3B85" w:rsidRDefault="00DC3B85" w:rsidP="00F57B1E">
      <w:r>
        <w:lastRenderedPageBreak/>
        <w:t>Cette classe fait également appel au module « </w:t>
      </w:r>
      <w:proofErr w:type="spellStart"/>
      <w:r>
        <w:t>pyserial</w:t>
      </w:r>
      <w:proofErr w:type="spellEnd"/>
      <w:r>
        <w:t>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t>
      </w:r>
      <w:proofErr w:type="spellStart"/>
      <w:r>
        <w:t>write</w:t>
      </w:r>
      <w:proofErr w:type="spellEnd"/>
      <w:r>
        <w:t> » et « </w:t>
      </w:r>
      <w:proofErr w:type="spellStart"/>
      <w:r>
        <w:t>readline</w:t>
      </w:r>
      <w:proofErr w:type="spellEnd"/>
      <w:r>
        <w:t> » de « </w:t>
      </w:r>
      <w:proofErr w:type="spellStart"/>
      <w:r>
        <w:t>pyserial</w:t>
      </w:r>
      <w:proofErr w:type="spellEnd"/>
      <w:r>
        <w:t>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w:t>
      </w:r>
      <w:proofErr w:type="spellStart"/>
      <w:r w:rsidR="00DA3AA1">
        <w:t>firmware</w:t>
      </w:r>
      <w:proofErr w:type="spellEnd"/>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532" cy="2562583"/>
                    </a:xfrm>
                    <a:prstGeom prst="rect">
                      <a:avLst/>
                    </a:prstGeom>
                  </pic:spPr>
                </pic:pic>
              </a:graphicData>
            </a:graphic>
          </wp:inline>
        </w:drawing>
      </w:r>
    </w:p>
    <w:p w14:paraId="4CA31AA3" w14:textId="2B803398" w:rsidR="0023724A" w:rsidRDefault="0023724A" w:rsidP="0023724A">
      <w:pPr>
        <w:pStyle w:val="Lgende"/>
        <w:jc w:val="center"/>
      </w:pPr>
      <w:r>
        <w:t xml:space="preserve">Figure </w:t>
      </w:r>
      <w:fldSimple w:instr=" SEQ Figure \* ARABIC ">
        <w:r w:rsidR="00A06AB2">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w:t>
      </w:r>
      <w:proofErr w:type="spellStart"/>
      <w:r>
        <w:t>Term</w:t>
      </w:r>
      <w:proofErr w:type="spellEnd"/>
      <w:r>
        <w:t> » et « Auto Mode ». Chacun de ces boutons sont définis dans la classe « </w:t>
      </w:r>
      <w:proofErr w:type="spellStart"/>
      <w:r>
        <w:t>MotorReadyGUI</w:t>
      </w:r>
      <w:proofErr w:type="spellEnd"/>
      <w:r>
        <w:t xml:space="preserve">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w:t>
      </w:r>
      <w:proofErr w:type="spellStart"/>
      <w:r>
        <w:t>Connect</w:t>
      </w:r>
      <w:proofErr w:type="spellEnd"/>
      <w:r>
        <w:t> » est maintenant désigné comme « </w:t>
      </w:r>
      <w:proofErr w:type="spellStart"/>
      <w:r>
        <w:t>Disconnect</w:t>
      </w:r>
      <w:proofErr w:type="spellEnd"/>
      <w:r>
        <w: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w:t>
      </w:r>
      <w:proofErr w:type="spellStart"/>
      <w:r w:rsidR="00C6294F">
        <w:t>Motor</w:t>
      </w:r>
      <w:proofErr w:type="spellEnd"/>
      <w:r w:rsidR="00C6294F">
        <w:t xml:space="preserve"> </w:t>
      </w:r>
      <w:proofErr w:type="spellStart"/>
      <w:r w:rsidR="00C6294F">
        <w:t>Ready</w:t>
      </w:r>
      <w:proofErr w:type="spellEnd"/>
      <w:r w:rsidR="00C6294F">
        <w:t> »</w:t>
      </w:r>
      <w:r w:rsidR="00C6294F" w:rsidRPr="00C6294F">
        <w:t xml:space="preserve"> </w:t>
      </w:r>
      <w:r w:rsidR="00C6294F">
        <w:t>(Fig.4)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 xml:space="preserve">réalisé le contenu de l’extension du mode « Manual Mode </w:t>
      </w:r>
      <w:proofErr w:type="spellStart"/>
      <w:r w:rsidR="00E72AE5">
        <w:t>Term</w:t>
      </w:r>
      <w:proofErr w:type="spellEnd"/>
      <w:r w:rsidR="00E72AE5">
        <w:t> » afin de pouvoir mettre en place, un peu plus tard, le mode calibration.</w:t>
      </w:r>
    </w:p>
    <w:p w14:paraId="6710FF8E" w14:textId="05867537" w:rsidR="00E72AE5" w:rsidRDefault="00E72AE5" w:rsidP="00E72AE5">
      <w:pPr>
        <w:keepNext/>
        <w:jc w:val="center"/>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stretch>
                      <a:fillRect/>
                    </a:stretch>
                  </pic:blipFill>
                  <pic:spPr>
                    <a:xfrm>
                      <a:off x="0" y="0"/>
                      <a:ext cx="6511870" cy="1124073"/>
                    </a:xfrm>
                    <a:prstGeom prst="rect">
                      <a:avLst/>
                    </a:prstGeom>
                  </pic:spPr>
                </pic:pic>
              </a:graphicData>
            </a:graphic>
          </wp:inline>
        </w:drawing>
      </w:r>
      <w:r w:rsidRPr="00E72AE5">
        <w:t xml:space="preserve"> </w:t>
      </w:r>
    </w:p>
    <w:p w14:paraId="46854136" w14:textId="31560DEC" w:rsidR="00E72AE5" w:rsidRDefault="00E72AE5" w:rsidP="00E72AE5">
      <w:pPr>
        <w:pStyle w:val="Lgende"/>
        <w:jc w:val="center"/>
      </w:pPr>
      <w:r>
        <w:t xml:space="preserve">Figure </w:t>
      </w:r>
      <w:fldSimple w:instr=" SEQ Figure \* ARABIC ">
        <w:r w:rsidR="00A06AB2">
          <w:rPr>
            <w:noProof/>
          </w:rPr>
          <w:t>5</w:t>
        </w:r>
      </w:fldSimple>
      <w:r>
        <w:t xml:space="preserve">: Extension de fenêtre propre au mode « Manual Mode </w:t>
      </w:r>
      <w:proofErr w:type="spellStart"/>
      <w:r>
        <w:t>Term</w:t>
      </w:r>
      <w:proofErr w:type="spellEnd"/>
      <w:r>
        <w:t xml:space="preserve"> », </w:t>
      </w:r>
      <w:r w:rsidR="00F86B93">
        <w:t xml:space="preserve">avant </w:t>
      </w:r>
      <w:r>
        <w:t>envoi d’une première consigne</w:t>
      </w:r>
    </w:p>
    <w:p w14:paraId="68D7B2D2" w14:textId="7F6816CC" w:rsidR="00AF4345" w:rsidRDefault="00E72AE5" w:rsidP="00E72AE5">
      <w:r>
        <w:t xml:space="preserve">Cette section de fenêtre (Fig.5) </w:t>
      </w:r>
      <w:r w:rsidR="00AF4345">
        <w:t>est définie dans la classe « </w:t>
      </w:r>
      <w:proofErr w:type="spellStart"/>
      <w:r w:rsidR="00AF4345">
        <w:t>ModeTermGUI</w:t>
      </w:r>
      <w:proofErr w:type="spellEnd"/>
      <w:r w:rsidR="00AF4345">
        <w:t> » du fichier « GUI Master » (TAG_IHM_004) et</w:t>
      </w:r>
      <w:r>
        <w:t> </w:t>
      </w:r>
      <w:r w:rsidR="00AF4345">
        <w:t xml:space="preserve">se caractérise via les widgets </w:t>
      </w:r>
      <w:r w:rsidR="00FC50CF">
        <w:t>suivants :</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 xml:space="preserve">un bouton « STOP ! » qui s’active une fois que la simulation a débuté et qui permet d’amorcer l’atterrissage (et de revenir au début du mode « Manual Mode </w:t>
      </w:r>
      <w:proofErr w:type="spellStart"/>
      <w:r>
        <w:t>Term</w:t>
      </w:r>
      <w:proofErr w:type="spellEnd"/>
      <w:r>
        <w:t xml:space="preserve"> », car cela nous permet d’enclencher directement une autre simulation sans avoir à revenir au menu de modes puis cliquer une fois encore sur le bouton « Manual Mode </w:t>
      </w:r>
      <w:proofErr w:type="spellStart"/>
      <w:r>
        <w:t>Term</w:t>
      </w:r>
      <w:proofErr w:type="spellEnd"/>
      <w:r>
        <w:t>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rPr>
          <w:noProof/>
        </w:rPr>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6495205" cy="1119048"/>
                    </a:xfrm>
                    <a:prstGeom prst="rect">
                      <a:avLst/>
                    </a:prstGeom>
                  </pic:spPr>
                </pic:pic>
              </a:graphicData>
            </a:graphic>
          </wp:inline>
        </w:drawing>
      </w:r>
    </w:p>
    <w:p w14:paraId="0D45A511" w14:textId="1D715500" w:rsidR="00F86B93" w:rsidRDefault="00F86B93" w:rsidP="00F86B93">
      <w:pPr>
        <w:pStyle w:val="Lgende"/>
        <w:jc w:val="center"/>
        <w:rPr>
          <w:noProof/>
        </w:rPr>
      </w:pPr>
      <w:r>
        <w:t xml:space="preserve">Figure </w:t>
      </w:r>
      <w:fldSimple w:instr=" SEQ Figure \* ARABIC ">
        <w:r w:rsidR="00A06AB2">
          <w:rPr>
            <w:noProof/>
          </w:rPr>
          <w:t>6</w:t>
        </w:r>
      </w:fldSimple>
      <w:r>
        <w:t xml:space="preserve">: </w:t>
      </w:r>
      <w:r w:rsidRPr="00D312E6">
        <w:t xml:space="preserve">Extension de fenêtre propre au mode « Manual Mode </w:t>
      </w:r>
      <w:proofErr w:type="spellStart"/>
      <w:r w:rsidRPr="00D312E6">
        <w:t>Term</w:t>
      </w:r>
      <w:proofErr w:type="spellEnd"/>
      <w:r w:rsidRPr="00D312E6">
        <w:t xml:space="preserve">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w:t>
      </w:r>
      <w:proofErr w:type="spellStart"/>
      <w:r w:rsidR="00CD4186">
        <w:t>AutoModeGUI</w:t>
      </w:r>
      <w:proofErr w:type="spellEnd"/>
      <w:r w:rsidR="00CD4186">
        <w:t xml:space="preserve"> » (TAG_IHM_005) qui reprend le même principe que celle attitrée au mode « Manual Mode </w:t>
      </w:r>
      <w:proofErr w:type="spellStart"/>
      <w:r w:rsidR="00CD4186">
        <w:t>Term</w:t>
      </w:r>
      <w:proofErr w:type="spellEnd"/>
      <w:r w:rsidR="00CD4186">
        <w:t>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rPr>
          <w:noProof/>
        </w:rPr>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8180" cy="1455873"/>
                    </a:xfrm>
                    <a:prstGeom prst="rect">
                      <a:avLst/>
                    </a:prstGeom>
                  </pic:spPr>
                </pic:pic>
              </a:graphicData>
            </a:graphic>
          </wp:inline>
        </w:drawing>
      </w:r>
    </w:p>
    <w:p w14:paraId="5C52E7E2" w14:textId="66B0753A" w:rsidR="00430348" w:rsidRDefault="00430348" w:rsidP="00430348">
      <w:pPr>
        <w:pStyle w:val="Lgende"/>
        <w:jc w:val="center"/>
      </w:pPr>
      <w:r>
        <w:t xml:space="preserve">Figure </w:t>
      </w:r>
      <w:fldSimple w:instr=" SEQ Figure \* ARABIC ">
        <w:r w:rsidR="00A06AB2">
          <w:rPr>
            <w:noProof/>
          </w:rPr>
          <w:t>7</w:t>
        </w:r>
      </w:fldSimple>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E72AE5">
      <w:r>
        <w:t xml:space="preserve">La section (Fig.7) se compose donc des mêmes éléments que « Manual Mode </w:t>
      </w:r>
      <w:proofErr w:type="spellStart"/>
      <w:r>
        <w:t>Term</w:t>
      </w:r>
      <w:proofErr w:type="spellEnd"/>
      <w:r>
        <w:t>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rPr>
          <w:noProof/>
        </w:rPr>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3317" cy="1475228"/>
                    </a:xfrm>
                    <a:prstGeom prst="rect">
                      <a:avLst/>
                    </a:prstGeom>
                  </pic:spPr>
                </pic:pic>
              </a:graphicData>
            </a:graphic>
          </wp:inline>
        </w:drawing>
      </w:r>
    </w:p>
    <w:p w14:paraId="03BD1376" w14:textId="2656D02F" w:rsidR="00B26DB0" w:rsidRDefault="00B26DB0" w:rsidP="00B26DB0">
      <w:pPr>
        <w:pStyle w:val="Lgende"/>
        <w:jc w:val="center"/>
      </w:pPr>
      <w:r>
        <w:t xml:space="preserve">Figure </w:t>
      </w:r>
      <w:fldSimple w:instr=" SEQ Figure \* ARABIC ">
        <w:r w:rsidR="00A06AB2">
          <w:rPr>
            <w:noProof/>
          </w:rPr>
          <w:t>8</w:t>
        </w:r>
      </w:fldSimple>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46E734A2" w14:textId="227FD82B" w:rsidR="002E5061" w:rsidRDefault="002E5061" w:rsidP="000F3F95">
      <w:r>
        <w:t>La classe « </w:t>
      </w:r>
      <w:proofErr w:type="spellStart"/>
      <w:r>
        <w:t>CalibrationGUI</w:t>
      </w:r>
      <w:proofErr w:type="spellEnd"/>
      <w:r>
        <w:t> » (</w:t>
      </w:r>
      <w:r w:rsidRPr="002E5061">
        <w:t>TAG_IHM_006</w:t>
      </w:r>
      <w:r>
        <w:t>) du fichier « GUI Master » reprend encore la même structure d’extension de fenêtre, mais cette fois-ci elle est un peu plus épurée (Fig.9).</w:t>
      </w:r>
    </w:p>
    <w:p w14:paraId="729E3BD2" w14:textId="77777777" w:rsidR="000C3619" w:rsidRDefault="000C3619" w:rsidP="000C3619">
      <w:pPr>
        <w:keepNext/>
        <w:jc w:val="center"/>
      </w:pPr>
      <w:r>
        <w:rPr>
          <w:noProof/>
        </w:rPr>
        <w:drawing>
          <wp:inline distT="0" distB="0" distL="0" distR="0" wp14:anchorId="0311B370" wp14:editId="1399D87C">
            <wp:extent cx="6245389" cy="156754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1638" cy="1569111"/>
                    </a:xfrm>
                    <a:prstGeom prst="rect">
                      <a:avLst/>
                    </a:prstGeom>
                  </pic:spPr>
                </pic:pic>
              </a:graphicData>
            </a:graphic>
          </wp:inline>
        </w:drawing>
      </w:r>
    </w:p>
    <w:p w14:paraId="1D949C80" w14:textId="43EE8BCD" w:rsidR="000C3619" w:rsidRDefault="000C3619" w:rsidP="000C3619">
      <w:pPr>
        <w:pStyle w:val="Lgende"/>
        <w:jc w:val="center"/>
      </w:pPr>
      <w:r>
        <w:t xml:space="preserve">Figure </w:t>
      </w:r>
      <w:fldSimple w:instr=" SEQ Figure \* ARABIC ">
        <w:r w:rsidR="00A06AB2">
          <w:rPr>
            <w:noProof/>
          </w:rPr>
          <w:t>9</w:t>
        </w:r>
      </w:fldSimple>
      <w:r>
        <w:t xml:space="preserve">: </w:t>
      </w:r>
      <w:r w:rsidRPr="00942012">
        <w:t xml:space="preserve">Extension de fenêtre propre au mode « </w:t>
      </w:r>
      <w:r>
        <w:t>Calibration</w:t>
      </w:r>
      <w:r w:rsidRPr="00942012">
        <w:t xml:space="preserve"> »</w:t>
      </w:r>
    </w:p>
    <w:p w14:paraId="07E006FE" w14:textId="1A4AB0EC" w:rsidR="000F3F95" w:rsidRDefault="002E5061" w:rsidP="000F3F95">
      <w:r>
        <w:t xml:space="preserve">En </w:t>
      </w:r>
      <w:r w:rsidR="00BE6A6F">
        <w:t>effet, elle</w:t>
      </w:r>
      <w:r w:rsidR="00876D35">
        <w:t xml:space="preserve"> dispose de moins de widgets, en grande partie car l’interaction et le renseignement des consignes n’est plus manuelle mais automatisée via un script </w:t>
      </w:r>
      <w:r w:rsidR="000E017B">
        <w:t>préétabli</w:t>
      </w:r>
      <w:r w:rsidR="00876D35">
        <w:t xml:space="preserve"> dans un fichier .txt que l’on va alors pouvoir compléter en suivant quelques règles.</w:t>
      </w:r>
    </w:p>
    <w:p w14:paraId="3E721A9C" w14:textId="38F95806" w:rsidR="00ED3C2F" w:rsidRDefault="00ED3C2F" w:rsidP="000F3F95">
      <w:r>
        <w:t xml:space="preserve">Un premier bouton « Select File » </w:t>
      </w:r>
      <w:r w:rsidR="00E610D7">
        <w:t xml:space="preserve">fut </w:t>
      </w:r>
      <w:r w:rsidR="00FE300F">
        <w:t>nécessaire pour</w:t>
      </w:r>
      <w:r>
        <w:t xml:space="preserve"> répondre </w:t>
      </w:r>
      <w:r w:rsidR="00E610D7">
        <w:t>au besoin spécifique de cette</w:t>
      </w:r>
      <w:r w:rsidR="00FE300F">
        <w:t xml:space="preserve"> méthode d’interaction. Lorsque l’utilisateur clique sur ce dernier, une seconde fenêtre laisse apparaître un</w:t>
      </w:r>
      <w:r w:rsidR="006661A9">
        <w:t>e boîte de dialogue grâce au module « </w:t>
      </w:r>
      <w:proofErr w:type="spellStart"/>
      <w:r w:rsidR="006661A9">
        <w:t>filedialog</w:t>
      </w:r>
      <w:proofErr w:type="spellEnd"/>
      <w:r w:rsidR="006661A9">
        <w:t xml:space="preserve"> » de la librairie </w:t>
      </w:r>
      <w:proofErr w:type="spellStart"/>
      <w:r w:rsidR="006661A9">
        <w:t>Tkinter</w:t>
      </w:r>
      <w:proofErr w:type="spellEnd"/>
      <w:r w:rsidR="00E610D7">
        <w:t xml:space="preserve"> (Fig.10), permettant de rechercher puis sélectionner un fichier. Sur la figure 10, </w:t>
      </w:r>
      <w:r w:rsidR="00306141">
        <w:t>on peut observer dans quel répertoire se trouve le fichier texte en question à compléter.</w:t>
      </w:r>
    </w:p>
    <w:p w14:paraId="0E2BC443" w14:textId="77777777" w:rsidR="00E610D7" w:rsidRDefault="00FE300F" w:rsidP="00E610D7">
      <w:pPr>
        <w:keepNext/>
        <w:jc w:val="center"/>
      </w:pPr>
      <w:r>
        <w:rPr>
          <w:noProof/>
        </w:rPr>
        <w:drawing>
          <wp:inline distT="0" distB="0" distL="0" distR="0" wp14:anchorId="67E6B6F4" wp14:editId="76F4599F">
            <wp:extent cx="6349904" cy="364671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2"/>
                    <a:stretch>
                      <a:fillRect/>
                    </a:stretch>
                  </pic:blipFill>
                  <pic:spPr>
                    <a:xfrm>
                      <a:off x="0" y="0"/>
                      <a:ext cx="6359641" cy="3652307"/>
                    </a:xfrm>
                    <a:prstGeom prst="rect">
                      <a:avLst/>
                    </a:prstGeom>
                  </pic:spPr>
                </pic:pic>
              </a:graphicData>
            </a:graphic>
          </wp:inline>
        </w:drawing>
      </w:r>
    </w:p>
    <w:p w14:paraId="712FA9F4" w14:textId="2E411BE6" w:rsidR="00FE300F" w:rsidRDefault="00E610D7" w:rsidP="00E610D7">
      <w:pPr>
        <w:pStyle w:val="Lgende"/>
        <w:jc w:val="center"/>
      </w:pPr>
      <w:r>
        <w:t xml:space="preserve">Figure </w:t>
      </w:r>
      <w:fldSimple w:instr=" SEQ Figure \* ARABIC ">
        <w:r w:rsidR="00A06AB2">
          <w:rPr>
            <w:noProof/>
          </w:rPr>
          <w:t>10</w:t>
        </w:r>
      </w:fldSimple>
      <w:r>
        <w:t>: Boîte de dialogue "File Explorer" permettant de sélectionner un fichier</w:t>
      </w:r>
    </w:p>
    <w:p w14:paraId="575A8721" w14:textId="77777777" w:rsidR="00855A4B" w:rsidRDefault="00855A4B" w:rsidP="00855A4B">
      <w:pPr>
        <w:keepNext/>
        <w:jc w:val="center"/>
      </w:pPr>
      <w:r>
        <w:rPr>
          <w:noProof/>
        </w:rPr>
        <w:lastRenderedPageBreak/>
        <w:drawing>
          <wp:inline distT="0" distB="0" distL="0" distR="0" wp14:anchorId="6BA6DBDD" wp14:editId="6EA0E714">
            <wp:extent cx="6455229" cy="3375618"/>
            <wp:effectExtent l="0" t="0" r="317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3"/>
                    <a:stretch>
                      <a:fillRect/>
                    </a:stretch>
                  </pic:blipFill>
                  <pic:spPr>
                    <a:xfrm>
                      <a:off x="0" y="0"/>
                      <a:ext cx="6468413" cy="3382512"/>
                    </a:xfrm>
                    <a:prstGeom prst="rect">
                      <a:avLst/>
                    </a:prstGeom>
                  </pic:spPr>
                </pic:pic>
              </a:graphicData>
            </a:graphic>
          </wp:inline>
        </w:drawing>
      </w:r>
    </w:p>
    <w:p w14:paraId="2DCFEEBE" w14:textId="62E7B547" w:rsidR="000F3F95" w:rsidRPr="000F3F95" w:rsidRDefault="00855A4B" w:rsidP="00855A4B">
      <w:pPr>
        <w:pStyle w:val="Lgende"/>
        <w:jc w:val="center"/>
      </w:pPr>
      <w:r>
        <w:t xml:space="preserve">Figure </w:t>
      </w:r>
      <w:fldSimple w:instr=" SEQ Figure \* ARABIC ">
        <w:r w:rsidR="00A06AB2">
          <w:rPr>
            <w:noProof/>
          </w:rPr>
          <w:t>11</w:t>
        </w:r>
      </w:fldSimple>
      <w:r>
        <w:t>: Fichier "test calibration" rempli</w:t>
      </w:r>
    </w:p>
    <w:p w14:paraId="019719DE" w14:textId="17D2F573" w:rsidR="00855A4B" w:rsidRDefault="00855A4B" w:rsidP="00855A4B">
      <w:r>
        <w:t>Le fichier dit « test calibration </w:t>
      </w:r>
      <w:r w:rsidR="009C22EE">
        <w:t>» a</w:t>
      </w:r>
      <w:r>
        <w:t xml:space="preserve"> évolué au cours du stage de manière à atteindre le résultat illustré sur la figure 11. Il a tout d’abord comporté uniquement </w:t>
      </w:r>
      <w:r w:rsidR="00A52F92">
        <w:t>un certain nombre de lignes composées de 2 nombres entiers espacés d’une tabulation</w:t>
      </w:r>
      <w:r w:rsidR="000849EA">
        <w:t xml:space="preserve"> et a ensuite disposé de commentaires.</w:t>
      </w:r>
    </w:p>
    <w:p w14:paraId="639B521A" w14:textId="16776FF7" w:rsidR="00986876" w:rsidRDefault="00986876" w:rsidP="00855A4B">
      <w:r>
        <w:t>Ces 2 nombres représentent, pour le premier, une valeur consigne de pourcentage de gaz, qui par la suite a évolué en pour mille (‰) afin d’obtenir une plus grande précision car la valeur de 17% de gaz correspondait déjà à notre valeur d’angle maximale (avant basculement du bras au-delà des 90°). Passer en ‰ nous permet donc, d’avoir des courbes beaucoup plus</w:t>
      </w:r>
      <w:r w:rsidR="00BA2D8F">
        <w:t xml:space="preserve"> détaillées</w:t>
      </w:r>
      <w:r>
        <w:t>. Pour le second nombre, il s’agit du temps (en secondes), pendant lequel on veut faire l’acquisition de données.</w:t>
      </w:r>
    </w:p>
    <w:p w14:paraId="2BE45EE9" w14:textId="3A7AA34F" w:rsidR="002D27F2" w:rsidRDefault="000849EA" w:rsidP="00BA5DB8">
      <w:r>
        <w:t xml:space="preserve">Il m’a donc fallu trouver un moyen pour différencier ce qui s’apparenterait aux valeurs consignes de la simulation et ce qui porterait plus sur </w:t>
      </w:r>
      <w:r w:rsidR="0065220F">
        <w:t>l’aspect décoratif du fichier, soit les commentaires et instructions.</w:t>
      </w:r>
    </w:p>
    <w:p w14:paraId="0DD7D0B0" w14:textId="37C10BCD" w:rsidR="0065220F" w:rsidRDefault="0065220F" w:rsidP="00BA5DB8">
      <w:r>
        <w:t>Poursuivre la lecture du fichier, malgré la présence d’erreurs ou d’oublis au niveau des consignes, était inéluctable. J’ai donc utilisé la fonction « compile » du module « re » (</w:t>
      </w:r>
      <w:r w:rsidR="00D90EB9">
        <w:t>« </w:t>
      </w:r>
      <w:proofErr w:type="spellStart"/>
      <w:r>
        <w:t>regular</w:t>
      </w:r>
      <w:proofErr w:type="spellEnd"/>
      <w:r>
        <w:t xml:space="preserve"> expression </w:t>
      </w:r>
      <w:proofErr w:type="spellStart"/>
      <w:r>
        <w:t>operations</w:t>
      </w:r>
      <w:proofErr w:type="spellEnd"/>
      <w:r w:rsidR="00D90EB9">
        <w:t> »</w:t>
      </w:r>
      <w:r>
        <w:t>) qui m’a alors permis de</w:t>
      </w:r>
      <w:r w:rsidR="00D90EB9">
        <w:t xml:space="preserve"> solutionner ces différents problèmes, via la création d’un motif (« pattern ») composé de 2 nombres entiers séparés d’une tabulation. Néanmoins, ce motif</w:t>
      </w:r>
      <w:r w:rsidR="00AF399C">
        <w:t xml:space="preserve">, </w:t>
      </w:r>
      <w:proofErr w:type="gramStart"/>
      <w:r w:rsidR="00AF399C">
        <w:t>de par</w:t>
      </w:r>
      <w:proofErr w:type="gramEnd"/>
      <w:r w:rsidR="00AF399C">
        <w:t xml:space="preserve"> son caractère strict, impose une certaine vigilance lors de l’entrée des données : un espace de trop engendrerait la non prise en compte d’une ligne de consignes par exemple (d’où la nécessité d’ajouter des instructions). A noter que les lignes vides ne viennent pas perturber la simulation.</w:t>
      </w:r>
    </w:p>
    <w:p w14:paraId="03EE7CEF" w14:textId="4EFFA5F0" w:rsidR="00AF399C" w:rsidRDefault="00AF399C" w:rsidP="00BA5DB8"/>
    <w:p w14:paraId="408DBDD5" w14:textId="504CE16A" w:rsidR="0035730B" w:rsidRDefault="0035730B" w:rsidP="00BA5DB8">
      <w:r>
        <w:t>Une fois le fichier sélectionné,</w:t>
      </w:r>
      <w:r w:rsidR="009C33BA">
        <w:t xml:space="preserve"> la fenêtre de dialogue se ferme et</w:t>
      </w:r>
      <w:r>
        <w:t xml:space="preserve"> s’il s’agit bel et bien du bon fichier non vide (=</w:t>
      </w:r>
      <w:r w:rsidR="005D0D2A">
        <w:t xml:space="preserve"> </w:t>
      </w:r>
      <w:r>
        <w:t>comportant des lignes de consignes valides)</w:t>
      </w:r>
      <w:r w:rsidR="009C33BA">
        <w:t>, la simulation pourra alors débuter. Lorsque cette dernière se termine, une nouvelle boîte de dialogue apparaît et propose cette fois-ci de sélectionner un emplacement de sauvegarde des résultats</w:t>
      </w:r>
      <w:r w:rsidR="00514BFC">
        <w:t xml:space="preserve"> sous format .csv. Un titre de fichier horodaté est également proposé par défaut.</w:t>
      </w:r>
    </w:p>
    <w:p w14:paraId="7C45EEBE" w14:textId="560DEB0F" w:rsidR="00BE5C60" w:rsidRDefault="00BD6F49" w:rsidP="00BA5DB8">
      <w:r>
        <w:lastRenderedPageBreak/>
        <w:t>Après avoir enregistré ou non les données issues de la simulation, le bouton « Show Graph » (Fig.9) est actif et donne la possibilité à l’utilisateur d’ouvrir une nouvelle fenêtre mettant à disposition un graphique issu des résultats</w:t>
      </w:r>
      <w:r w:rsidR="00675E56">
        <w:t xml:space="preserve"> avec une barre d’outils</w:t>
      </w:r>
      <w:r w:rsidR="00BE5C60">
        <w:t xml:space="preserve"> permettant de jouer sur l’affichage, mais aussi de sauvegarder l’image sous plusieurs formats</w:t>
      </w:r>
      <w:r w:rsidR="00E67A7E">
        <w:t xml:space="preserve"> (Fig.12 par exemple)</w:t>
      </w:r>
      <w:r w:rsidR="00BE5C60">
        <w:t>. Il est possible d’afficher ce graphique, autant de fois que l’utilisateur le désire. Le bouton est désactivé une fois que l’utilisateur a décidé de relancer une simulation (via « Select File ») ou bien tout simplement en quittant le mode d’une manière ou d’une autre.</w:t>
      </w:r>
    </w:p>
    <w:p w14:paraId="74A32DB9" w14:textId="1B6B4A67" w:rsidR="00BE5C60" w:rsidRDefault="00BE5C60" w:rsidP="00BA5DB8"/>
    <w:p w14:paraId="7E120723" w14:textId="16C627E6" w:rsidR="00834401" w:rsidRDefault="004B6849" w:rsidP="00BA5DB8">
      <w:r>
        <w:t xml:space="preserve">Le principe et but du mode « Calibration » est d’obtenir les mesures issues du capteur MPU6050 sous un mode non asservi, soit « Manual Mode </w:t>
      </w:r>
      <w:proofErr w:type="spellStart"/>
      <w:r>
        <w:t>Term</w:t>
      </w:r>
      <w:proofErr w:type="spellEnd"/>
      <w:r>
        <w:t xml:space="preserve"> », afin de pouvoir en tirer des études </w:t>
      </w:r>
      <w:r w:rsidR="00FD44D9">
        <w:t>sur l’évolution mécanique du bras en fonction du moteur.</w:t>
      </w:r>
    </w:p>
    <w:p w14:paraId="1EA111FC" w14:textId="248D016A" w:rsidR="00FD44D9" w:rsidRDefault="00FD44D9" w:rsidP="00BA5DB8">
      <w:r>
        <w:t>Ces études peuvent notamment faire office de sujets de travaux pratiques propres au dispositif.</w:t>
      </w:r>
    </w:p>
    <w:p w14:paraId="5718F41F" w14:textId="60B92D74" w:rsidR="00FD44D9" w:rsidRDefault="00064E3A" w:rsidP="00BA5DB8">
      <w:r>
        <w:t>Dans le cadre d’une future potentielle utilisation du dispositif, il nous a donc été demandé de pouvoir récupérer les données brutes issues du gyromètre et de l’accéléromètre de la centrale inertielle (sur 3 axes), ainsi que les positions angulaires calculées sur 2 axes (X sur laquelle la rotation du bras s’effectue et Y).</w:t>
      </w:r>
    </w:p>
    <w:p w14:paraId="3B11B666" w14:textId="5E3338B5" w:rsidR="00064E3A" w:rsidRDefault="00064E3A" w:rsidP="00BA5DB8">
      <w:r>
        <w:t xml:space="preserve">A noter que </w:t>
      </w:r>
      <w:r w:rsidR="00BA1F95">
        <w:t>les graphiques issus</w:t>
      </w:r>
      <w:r>
        <w:t xml:space="preserve"> de « Show graph » portent uniquement sur la position angulaire selon X, soit en fonction du temps pour un échelon donné (on donnera alors une seule ligne de consigne d’entrée</w:t>
      </w:r>
      <w:r w:rsidR="00BA1F95">
        <w:t>, ou bien 2</w:t>
      </w:r>
      <w:r w:rsidR="009C22EE">
        <w:t xml:space="preserve"> lignes</w:t>
      </w:r>
      <w:r w:rsidR="00BA1F95">
        <w:t xml:space="preserve"> avec un temps d’initialisation sur 0% si l’on désire éviter des premi</w:t>
      </w:r>
      <w:r w:rsidR="00C045DA">
        <w:t>ers points qui peuvent parfois être complètement faussés</w:t>
      </w:r>
      <w:r w:rsidR="00774A63">
        <w:t xml:space="preserve"> « glitch »</w:t>
      </w:r>
      <w:r>
        <w:t>)</w:t>
      </w:r>
      <w:r w:rsidR="00C045DA">
        <w:t>, soit en fonction de la consigne en pour mille de gaz moteur. La première étude étant dite dynamique</w:t>
      </w:r>
      <w:r w:rsidR="008C11FB">
        <w:t xml:space="preserve"> (Fig.12)</w:t>
      </w:r>
      <w:r w:rsidR="00C045DA">
        <w:t xml:space="preserve"> et la seconde est dite statique</w:t>
      </w:r>
      <w:r w:rsidR="008C11FB">
        <w:t xml:space="preserve"> (Fig.13)</w:t>
      </w:r>
      <w:r w:rsidR="00C045DA">
        <w:t>.</w:t>
      </w:r>
    </w:p>
    <w:p w14:paraId="0A2045A0" w14:textId="77777777" w:rsidR="008C11FB" w:rsidRDefault="008C11FB" w:rsidP="008C11FB">
      <w:pPr>
        <w:keepNext/>
        <w:jc w:val="center"/>
      </w:pPr>
      <w:r>
        <w:rPr>
          <w:noProof/>
        </w:rPr>
        <w:drawing>
          <wp:inline distT="0" distB="0" distL="0" distR="0" wp14:anchorId="34628984" wp14:editId="6C69E65A">
            <wp:extent cx="4234543" cy="36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5479" cy="3672675"/>
                    </a:xfrm>
                    <a:prstGeom prst="rect">
                      <a:avLst/>
                    </a:prstGeom>
                  </pic:spPr>
                </pic:pic>
              </a:graphicData>
            </a:graphic>
          </wp:inline>
        </w:drawing>
      </w:r>
    </w:p>
    <w:p w14:paraId="0E68B469" w14:textId="5AF042E2" w:rsidR="008C11FB" w:rsidRDefault="008C11FB" w:rsidP="008C11FB">
      <w:pPr>
        <w:pStyle w:val="Lgende"/>
        <w:jc w:val="center"/>
      </w:pPr>
      <w:r>
        <w:t xml:space="preserve">Figure </w:t>
      </w:r>
      <w:fldSimple w:instr=" SEQ Figure \* ARABIC ">
        <w:r w:rsidR="00A06AB2">
          <w:rPr>
            <w:noProof/>
          </w:rPr>
          <w:t>12</w:t>
        </w:r>
      </w:fldSimple>
      <w:r>
        <w:t>: Exemple de graphique issu de "Show Graph" du mode "Calibration" - étude dynamique</w:t>
      </w:r>
    </w:p>
    <w:p w14:paraId="572F54B5" w14:textId="77777777" w:rsidR="00F5576A" w:rsidRDefault="00F5576A" w:rsidP="00F5576A">
      <w:pPr>
        <w:keepNext/>
        <w:jc w:val="center"/>
      </w:pPr>
      <w:r>
        <w:rPr>
          <w:noProof/>
        </w:rPr>
        <w:lastRenderedPageBreak/>
        <w:drawing>
          <wp:inline distT="0" distB="0" distL="0" distR="0" wp14:anchorId="1ADE5255" wp14:editId="06A53C9C">
            <wp:extent cx="4528457" cy="3930452"/>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7081" cy="3937937"/>
                    </a:xfrm>
                    <a:prstGeom prst="rect">
                      <a:avLst/>
                    </a:prstGeom>
                  </pic:spPr>
                </pic:pic>
              </a:graphicData>
            </a:graphic>
          </wp:inline>
        </w:drawing>
      </w:r>
    </w:p>
    <w:p w14:paraId="4943F5A6" w14:textId="6F626D32" w:rsidR="008C11FB" w:rsidRDefault="00F5576A" w:rsidP="00F5576A">
      <w:pPr>
        <w:pStyle w:val="Lgende"/>
        <w:jc w:val="center"/>
      </w:pPr>
      <w:r>
        <w:t xml:space="preserve">Figure </w:t>
      </w:r>
      <w:fldSimple w:instr=" SEQ Figure \* ARABIC ">
        <w:r w:rsidR="00A06AB2">
          <w:rPr>
            <w:noProof/>
          </w:rPr>
          <w:t>13</w:t>
        </w:r>
      </w:fldSimple>
      <w:r>
        <w:t xml:space="preserve">: </w:t>
      </w:r>
      <w:r w:rsidRPr="00AD6E9E">
        <w:t xml:space="preserve">Exemple de graphique issu de "Show Graph" du mode "Calibration" - étude </w:t>
      </w:r>
      <w:r>
        <w:t>statique</w:t>
      </w:r>
    </w:p>
    <w:p w14:paraId="48D5EFB3" w14:textId="4FBF8E13" w:rsidR="00F5576A" w:rsidRDefault="00F5576A" w:rsidP="00F5576A"/>
    <w:p w14:paraId="02BA6179" w14:textId="6E777701" w:rsidR="00F75E45" w:rsidRDefault="00C57FC6" w:rsidP="00F5576A">
      <w:r>
        <w:t>Pour revenir en détail sur l</w:t>
      </w:r>
      <w:r w:rsidR="0042175A">
        <w:t>’obtention des mesures</w:t>
      </w:r>
      <w:r w:rsidR="002F18A0">
        <w:t xml:space="preserve">, il m’a été recommandé en premier temps, d’affiner le pas de la consigne de gaz moteur. Comme évoqué précédemment, le pas était de 1% et sachant que 17% de gaz suffisait à atteindre un seuil « critique » pour la position du bras, nous ne pouvions alors pas obtenir des courbes très détaillées. C’est ainsi que l’on m’a demandé de réduire le pas à 1‰ soit 0,1%. Cela s’est donc fait en modifiant la fonction </w:t>
      </w:r>
      <w:r w:rsidR="00901122">
        <w:t>« </w:t>
      </w:r>
      <w:proofErr w:type="spellStart"/>
      <w:r w:rsidR="00901122" w:rsidRPr="00901122">
        <w:t>mapping_adc_value_percent</w:t>
      </w:r>
      <w:proofErr w:type="spellEnd"/>
      <w:r w:rsidR="00901122">
        <w:t> » (</w:t>
      </w:r>
      <w:r w:rsidR="00901122" w:rsidRPr="00901122">
        <w:t>TAG_UC_007</w:t>
      </w:r>
      <w:r w:rsidR="00901122">
        <w:t>) définie dans le fichier « </w:t>
      </w:r>
      <w:proofErr w:type="spellStart"/>
      <w:r w:rsidR="00901122">
        <w:t>yann.c</w:t>
      </w:r>
      <w:proofErr w:type="spellEnd"/>
      <w:r w:rsidR="00901122">
        <w:t> »</w:t>
      </w:r>
      <w:r w:rsidR="00951462">
        <w:t>.</w:t>
      </w:r>
    </w:p>
    <w:p w14:paraId="6DD4D6A9" w14:textId="210F8691" w:rsidR="00E65F45" w:rsidRDefault="00951462" w:rsidP="00F5576A">
      <w:r>
        <w:t xml:space="preserve">Ensuite, il m’a été recommandé de m’informer au sujet de la méthode de communication </w:t>
      </w:r>
      <w:r w:rsidR="00BD0C8D">
        <w:t xml:space="preserve">à employer </w:t>
      </w:r>
      <w:r>
        <w:t xml:space="preserve">pour pouvoir transmettre les données mesurées </w:t>
      </w:r>
      <w:r w:rsidR="00BD0C8D">
        <w:t xml:space="preserve">car le « polling » m’imposait de renvoyer constamment un caractère </w:t>
      </w:r>
      <w:r w:rsidR="00E65F45">
        <w:t>pour pouvoir accéder aux fonctions de lecture du capteur. Je me suis alors orienté vers un mode par interruption, via les « </w:t>
      </w:r>
      <w:proofErr w:type="spellStart"/>
      <w:r w:rsidR="00E65F45">
        <w:t>Timers</w:t>
      </w:r>
      <w:proofErr w:type="spellEnd"/>
      <w:r w:rsidR="00E65F45">
        <w:t xml:space="preserve"> </w:t>
      </w:r>
      <w:proofErr w:type="spellStart"/>
      <w:r w:rsidR="00E65F45">
        <w:t>interrupts</w:t>
      </w:r>
      <w:proofErr w:type="spellEnd"/>
      <w:r w:rsidR="00E65F45">
        <w:t> »</w:t>
      </w:r>
      <w:r w:rsidR="00E761E9">
        <w:t xml:space="preserve"> de la STM32.</w:t>
      </w:r>
    </w:p>
    <w:p w14:paraId="6BAA27FD" w14:textId="1F830944" w:rsidR="00E761E9" w:rsidRDefault="00E761E9" w:rsidP="00F5576A">
      <w:r>
        <w:t>Il faut d’abord sélectionner une période de tic (« </w:t>
      </w:r>
      <w:proofErr w:type="spellStart"/>
      <w:r>
        <w:t>counter</w:t>
      </w:r>
      <w:proofErr w:type="spellEnd"/>
      <w:r>
        <w:t xml:space="preserve"> </w:t>
      </w:r>
      <w:proofErr w:type="spellStart"/>
      <w:r>
        <w:t>period</w:t>
      </w:r>
      <w:proofErr w:type="spellEnd"/>
      <w:r>
        <w:t> ») qui nous permet de connaître le nombre de fois que sera exécuté une routine définie dans la fonction « Callback » : « </w:t>
      </w:r>
      <w:proofErr w:type="spellStart"/>
      <w:r w:rsidRPr="00E761E9">
        <w:t>HAL_TIM_PeriodElapsedCallback</w:t>
      </w:r>
      <w:proofErr w:type="spellEnd"/>
      <w:r w:rsidRPr="00E761E9">
        <w:t> »</w:t>
      </w:r>
      <w:r>
        <w:t xml:space="preserve"> (</w:t>
      </w:r>
      <w:r w:rsidRPr="00E761E9">
        <w:t>TAG_UC_004).</w:t>
      </w:r>
    </w:p>
    <w:p w14:paraId="2091B5FE" w14:textId="77777777" w:rsidR="00350C78" w:rsidRDefault="00E761E9" w:rsidP="00F5576A">
      <w:r>
        <w:t xml:space="preserve">En connaissant le nombre de </w:t>
      </w:r>
      <w:r w:rsidR="00350C78">
        <w:t>tics</w:t>
      </w:r>
      <w:r>
        <w:t xml:space="preserve"> par seconde selon la valeur de « </w:t>
      </w:r>
      <w:proofErr w:type="spellStart"/>
      <w:r>
        <w:t>counter</w:t>
      </w:r>
      <w:proofErr w:type="spellEnd"/>
      <w:r>
        <w:t xml:space="preserve"> </w:t>
      </w:r>
      <w:proofErr w:type="spellStart"/>
      <w:r>
        <w:t>period</w:t>
      </w:r>
      <w:proofErr w:type="spellEnd"/>
      <w:r>
        <w:t xml:space="preserve"> » choisie, on a alors le nombre de </w:t>
      </w:r>
      <w:r w:rsidR="00350C78">
        <w:t>mesures effectuées et par conséquent le nombre de points par lignes de consignes (fichier .txt) sur nos graphiques.</w:t>
      </w:r>
    </w:p>
    <w:p w14:paraId="72883F06" w14:textId="75F99E6C" w:rsidR="00DB0E59" w:rsidRDefault="00350C78" w:rsidP="00F5576A">
      <w:r>
        <w:t>J’ai opté pour une « </w:t>
      </w:r>
      <w:proofErr w:type="spellStart"/>
      <w:r>
        <w:t>counter</w:t>
      </w:r>
      <w:proofErr w:type="spellEnd"/>
      <w:r>
        <w:t xml:space="preserve"> </w:t>
      </w:r>
      <w:proofErr w:type="spellStart"/>
      <w:r>
        <w:t>period</w:t>
      </w:r>
      <w:proofErr w:type="spellEnd"/>
      <w:r>
        <w:t> » de 200 qui est équivalente à 20ms. On a donc 50 points par seconde de prise de mesures (soit 250 points par ligne de consigne sur la Fig.11 dont les temps de mesures sont de 5s et donc 250 points par abscisse sur un graphique).</w:t>
      </w:r>
      <w:r w:rsidR="00DB0E59">
        <w:t xml:space="preserve"> Ce nombre de point très élevé est </w:t>
      </w:r>
      <w:r w:rsidR="00697010">
        <w:t>amplemen</w:t>
      </w:r>
      <w:r w:rsidR="00DB0E59">
        <w:t>t suffisant pour notre étude.</w:t>
      </w:r>
    </w:p>
    <w:p w14:paraId="3843C4CC" w14:textId="77777777" w:rsidR="00A97770" w:rsidRDefault="00DB0E59" w:rsidP="00F5576A">
      <w:r>
        <w:lastRenderedPageBreak/>
        <w:t>Il m’a ensuite été demandé de m’informer sur la communication via le DMA, mais qui après quelques recherches et tests, m’a paru ne pas être nécessaire pour cette mission.</w:t>
      </w:r>
    </w:p>
    <w:p w14:paraId="697BD5BF" w14:textId="77777777" w:rsidR="00A97770" w:rsidRDefault="00A97770" w:rsidP="00F5576A"/>
    <w:p w14:paraId="01073E76" w14:textId="5F726587" w:rsidR="00E761E9" w:rsidRDefault="00A97770" w:rsidP="00F5576A">
      <w:r>
        <w:t xml:space="preserve">Le mode « Séquence de vol » est défini selon la classe </w:t>
      </w:r>
      <w:r w:rsidR="0084779C">
        <w:t>« </w:t>
      </w:r>
      <w:proofErr w:type="spellStart"/>
      <w:r w:rsidR="0084779C">
        <w:t>TripModeGUI</w:t>
      </w:r>
      <w:proofErr w:type="spellEnd"/>
      <w:r w:rsidR="0084779C">
        <w:t> » (</w:t>
      </w:r>
      <w:r w:rsidR="0084779C" w:rsidRPr="002E5061">
        <w:t>TAG_IHM_00</w:t>
      </w:r>
      <w:r w:rsidR="0084779C">
        <w:t>7) du fichier « GUI Master »</w:t>
      </w:r>
      <w:r w:rsidR="008D1C08">
        <w:t xml:space="preserve"> et reprend cette fois-ci le même principe que l’extension de fenêtre du mode « Calibration », bien qu’il n’y ait pas de bouton « Show Graph » (Fig.14).</w:t>
      </w:r>
    </w:p>
    <w:p w14:paraId="73D64A98" w14:textId="77777777" w:rsidR="005F5444" w:rsidRDefault="005F5444" w:rsidP="005F5444">
      <w:pPr>
        <w:keepNext/>
        <w:jc w:val="center"/>
      </w:pPr>
      <w:r>
        <w:rPr>
          <w:noProof/>
        </w:rPr>
        <w:drawing>
          <wp:inline distT="0" distB="0" distL="0" distR="0" wp14:anchorId="6FCE3AA4" wp14:editId="7C22C24B">
            <wp:extent cx="6172203" cy="15893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0140" cy="1591359"/>
                    </a:xfrm>
                    <a:prstGeom prst="rect">
                      <a:avLst/>
                    </a:prstGeom>
                  </pic:spPr>
                </pic:pic>
              </a:graphicData>
            </a:graphic>
          </wp:inline>
        </w:drawing>
      </w:r>
    </w:p>
    <w:p w14:paraId="42ADCBCD" w14:textId="2DC6807B" w:rsidR="008D1C08" w:rsidRDefault="005F5444" w:rsidP="005F5444">
      <w:pPr>
        <w:pStyle w:val="Lgende"/>
        <w:jc w:val="center"/>
      </w:pPr>
      <w:r>
        <w:t xml:space="preserve">Figure </w:t>
      </w:r>
      <w:fldSimple w:instr=" SEQ Figure \* ARABIC ">
        <w:r w:rsidR="00A06AB2">
          <w:rPr>
            <w:noProof/>
          </w:rPr>
          <w:t>14</w:t>
        </w:r>
      </w:fldSimple>
      <w:r>
        <w:t xml:space="preserve">: </w:t>
      </w:r>
      <w:r w:rsidRPr="00942012">
        <w:t xml:space="preserve">Extension de fenêtre propre au mode « </w:t>
      </w:r>
      <w:r>
        <w:t xml:space="preserve">Trip </w:t>
      </w:r>
      <w:r w:rsidR="008977A0">
        <w:t>Mode</w:t>
      </w:r>
      <w:r w:rsidR="008977A0" w:rsidRPr="00942012">
        <w:t xml:space="preserve"> »</w:t>
      </w:r>
    </w:p>
    <w:p w14:paraId="33C0F694" w14:textId="01C64C90" w:rsidR="005F5444" w:rsidRDefault="005F5444" w:rsidP="005F5444"/>
    <w:p w14:paraId="2F73DC26" w14:textId="2FB05FD1" w:rsidR="008977A0" w:rsidRDefault="00792051" w:rsidP="005F5444">
      <w:r>
        <w:t xml:space="preserve">Le principe est similaire, l’utilisateur est invité à sélectionner un fichier (cette fois-ci le fichier « test trip » de la figure 10), </w:t>
      </w:r>
      <w:r w:rsidR="00915AE9">
        <w:t>puis l</w:t>
      </w:r>
      <w:r>
        <w:t>a simulation s</w:t>
      </w:r>
      <w:r w:rsidR="00860549">
        <w:t xml:space="preserve">’effectue selon le mode </w:t>
      </w:r>
      <w:proofErr w:type="gramStart"/>
      <w:r w:rsidR="00860549">
        <w:t>« Auto Mode »</w:t>
      </w:r>
      <w:proofErr w:type="gramEnd"/>
      <w:r w:rsidR="00915AE9">
        <w:t>.</w:t>
      </w:r>
    </w:p>
    <w:p w14:paraId="4FA2EAD0" w14:textId="2A4E30D1" w:rsidR="00860549" w:rsidRDefault="00860549" w:rsidP="005F5444">
      <w:r>
        <w:t>Le fichier texte « test trip » reprend exactement la même disposition que « test calibration », à ceci près que la première colonne de nombres entiers n’est plus en consigne de gaz moteur, mais en consigne de position angulaire.</w:t>
      </w:r>
    </w:p>
    <w:p w14:paraId="14B399AB" w14:textId="5BBA5547" w:rsidR="00ED593B" w:rsidRDefault="00ED593B" w:rsidP="005F5444">
      <w:r>
        <w:t>Le principe et but du mode « Test Trip » est aussi d’obtenir les mesures issues du capteur MPU6050, cette fois-ci sous un mode asservi, afin de pouvoir en tirer des études sur l’asservissement du bras en fonction du moteur. Les données récupérées comportent en plus les termes d’erreurs pris en compte dans le calcul de l’asservissement (Fig. 15).</w:t>
      </w:r>
    </w:p>
    <w:p w14:paraId="149FD34A" w14:textId="77777777" w:rsidR="00794A01" w:rsidRDefault="00794A01" w:rsidP="00794A01">
      <w:pPr>
        <w:keepNext/>
        <w:jc w:val="center"/>
      </w:pPr>
      <w:r w:rsidRPr="00794A01">
        <w:rPr>
          <w:noProof/>
        </w:rPr>
        <w:drawing>
          <wp:inline distT="0" distB="0" distL="0" distR="0" wp14:anchorId="03EB72E3" wp14:editId="412E32DF">
            <wp:extent cx="3734321" cy="1019317"/>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7"/>
                    <a:stretch>
                      <a:fillRect/>
                    </a:stretch>
                  </pic:blipFill>
                  <pic:spPr>
                    <a:xfrm>
                      <a:off x="0" y="0"/>
                      <a:ext cx="3734321" cy="1019317"/>
                    </a:xfrm>
                    <a:prstGeom prst="rect">
                      <a:avLst/>
                    </a:prstGeom>
                  </pic:spPr>
                </pic:pic>
              </a:graphicData>
            </a:graphic>
          </wp:inline>
        </w:drawing>
      </w:r>
    </w:p>
    <w:p w14:paraId="16665AE3" w14:textId="7C81B634" w:rsidR="00ED593B" w:rsidRDefault="00794A01" w:rsidP="00794A01">
      <w:pPr>
        <w:pStyle w:val="Lgende"/>
        <w:jc w:val="center"/>
      </w:pPr>
      <w:r>
        <w:t xml:space="preserve">Figure </w:t>
      </w:r>
      <w:fldSimple w:instr=" SEQ Figure \* ARABIC ">
        <w:r w:rsidR="00A06AB2">
          <w:rPr>
            <w:noProof/>
          </w:rPr>
          <w:t>15</w:t>
        </w:r>
      </w:fldSimple>
      <w:r>
        <w:t>: Routine du calcul de la commande dans la boucle d'asservissement</w:t>
      </w:r>
    </w:p>
    <w:p w14:paraId="75B5062B" w14:textId="6B512628" w:rsidR="00794A01" w:rsidRDefault="00B4728B" w:rsidP="00794A01">
      <w:r>
        <w:t>Les variables « erreur », « </w:t>
      </w:r>
      <w:proofErr w:type="spellStart"/>
      <w:r>
        <w:t>integre_erreur</w:t>
      </w:r>
      <w:proofErr w:type="spellEnd"/>
      <w:r>
        <w:t> », ainsi que « </w:t>
      </w:r>
      <w:proofErr w:type="spellStart"/>
      <w:r>
        <w:t>derrive_erreur</w:t>
      </w:r>
      <w:proofErr w:type="spellEnd"/>
      <w:r>
        <w:t xml:space="preserve"> » sont associées, respectivement, aux coefficients proportionnel intégral dérivé. L’ « erreur » proportionnelle correspond à la différence entre la consigne d’angle et la mesure de l’angle déduite des capteurs de la centrale inertielle. L’erreur </w:t>
      </w:r>
      <w:r w:rsidR="00F342DE">
        <w:t>intégrale correspond à l’accumulation (sommée) des erreurs proportionnelles, tandis que l’erreur dérivée prend en compte la différence entre l’erreur proportionnelle précédente et celle actuelle.</w:t>
      </w:r>
    </w:p>
    <w:p w14:paraId="2331B343" w14:textId="36E500D7" w:rsidR="00F342DE" w:rsidRPr="00794A01" w:rsidRDefault="00F342DE" w:rsidP="00794A01">
      <w:r>
        <w:t>Les valeurs successives de ces 3 variables ont été également rajouté dans la transmission de données.</w:t>
      </w:r>
    </w:p>
    <w:p w14:paraId="02F9D04D" w14:textId="44B8C2A9" w:rsidR="00ED593B" w:rsidRDefault="00ED593B" w:rsidP="005F5444"/>
    <w:p w14:paraId="7F109912" w14:textId="06E5D05F" w:rsidR="00ED593B" w:rsidRPr="00ED593B" w:rsidRDefault="00ED593B" w:rsidP="00ED593B">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Développement du mode « Séquence de vol »</w:t>
      </w:r>
    </w:p>
    <w:p w14:paraId="1B8DF1A1" w14:textId="7D7D0287" w:rsidR="00951462" w:rsidRDefault="00951462" w:rsidP="00F5576A"/>
    <w:p w14:paraId="21494BC9" w14:textId="1BC80729" w:rsidR="00901122" w:rsidRDefault="00ED593B" w:rsidP="00F5576A">
      <w:r>
        <w:t>Après avoir effectué de premiers tests concluants sur les modes « Calibration » et « Trip Mode », j’ai poursuivi le développement de ce dernier, car nous avion</w:t>
      </w:r>
      <w:r w:rsidR="00A06AB2">
        <w:t>s alors eu l’envie de trouver d’autres configurations de coefficients PID, dans un but de</w:t>
      </w:r>
      <w:r w:rsidR="00BA690B">
        <w:t xml:space="preserve"> meilleures</w:t>
      </w:r>
      <w:r w:rsidR="00A06AB2">
        <w:t xml:space="preserve"> performance</w:t>
      </w:r>
      <w:r w:rsidR="00BA690B">
        <w:t>s</w:t>
      </w:r>
      <w:r w:rsidR="00A06AB2">
        <w:t>.</w:t>
      </w:r>
    </w:p>
    <w:p w14:paraId="1F1B6210" w14:textId="5095B98B" w:rsidR="00A06AB2" w:rsidRDefault="00A06AB2" w:rsidP="00F5576A">
      <w:r>
        <w:t>Il m’est alors paru essentiel de rajouter des widgets à l’extension « </w:t>
      </w:r>
      <w:proofErr w:type="spellStart"/>
      <w:r>
        <w:t>TripModeGUI</w:t>
      </w:r>
      <w:proofErr w:type="spellEnd"/>
      <w:r>
        <w:t> », afin de pouvoir renseigner de nouveaux coefficients PID rapidement et consécutivement (Fig. 16)</w:t>
      </w:r>
      <w:r w:rsidR="005B5123">
        <w:t xml:space="preserve">, sans avoir à intervenir directement dans le </w:t>
      </w:r>
      <w:proofErr w:type="spellStart"/>
      <w:r w:rsidR="005B5123">
        <w:t>main.c</w:t>
      </w:r>
      <w:proofErr w:type="spellEnd"/>
      <w:r w:rsidR="005B5123">
        <w:t xml:space="preserve"> du </w:t>
      </w:r>
      <w:proofErr w:type="spellStart"/>
      <w:r w:rsidR="005B5123">
        <w:t>firmware</w:t>
      </w:r>
      <w:proofErr w:type="spellEnd"/>
      <w:r w:rsidR="005B5123">
        <w:t xml:space="preserve"> (on revient sur la même problématique de facilitation du renseignement des paramètres).</w:t>
      </w:r>
    </w:p>
    <w:p w14:paraId="3F7F00CC" w14:textId="77777777" w:rsidR="00A06AB2" w:rsidRDefault="00A06AB2" w:rsidP="00A06AB2">
      <w:pPr>
        <w:keepNext/>
        <w:jc w:val="center"/>
      </w:pPr>
      <w:r w:rsidRPr="00A06AB2">
        <w:rPr>
          <w:noProof/>
        </w:rPr>
        <w:drawing>
          <wp:inline distT="0" distB="0" distL="0" distR="0" wp14:anchorId="06110D62" wp14:editId="5770C92B">
            <wp:extent cx="5760720" cy="17786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78635"/>
                    </a:xfrm>
                    <a:prstGeom prst="rect">
                      <a:avLst/>
                    </a:prstGeom>
                  </pic:spPr>
                </pic:pic>
              </a:graphicData>
            </a:graphic>
          </wp:inline>
        </w:drawing>
      </w:r>
    </w:p>
    <w:p w14:paraId="3944F164" w14:textId="2EB53683" w:rsidR="00A06AB2" w:rsidRDefault="00A06AB2" w:rsidP="00A06AB2">
      <w:pPr>
        <w:pStyle w:val="Lgende"/>
        <w:jc w:val="center"/>
      </w:pPr>
      <w:r>
        <w:t xml:space="preserve">Figure </w:t>
      </w:r>
      <w:fldSimple w:instr=" SEQ Figure \* ARABIC ">
        <w:r>
          <w:rPr>
            <w:noProof/>
          </w:rPr>
          <w:t>16</w:t>
        </w:r>
      </w:fldSimple>
      <w:r>
        <w:t xml:space="preserve">: </w:t>
      </w:r>
      <w:r w:rsidRPr="00044D81">
        <w:t>Extension de fenêtre propre au mode « Trip Mode »</w:t>
      </w:r>
      <w:r>
        <w:t>, version avec widgets PID</w:t>
      </w:r>
    </w:p>
    <w:p w14:paraId="78F91A2D" w14:textId="076E2158" w:rsidR="00A06AB2" w:rsidRDefault="00A06AB2" w:rsidP="00A06AB2"/>
    <w:p w14:paraId="36BD17BF" w14:textId="77777777" w:rsidR="005B5123" w:rsidRDefault="00A06AB2" w:rsidP="00A06AB2">
      <w:r>
        <w:t>Ensuite, après avoir effectué des premiers essais, je me suis vite rendu compte</w:t>
      </w:r>
      <w:r w:rsidR="005B5123">
        <w:t xml:space="preserve"> que</w:t>
      </w:r>
      <w:r>
        <w:t xml:space="preserve"> les graphiques résultant</w:t>
      </w:r>
      <w:r w:rsidR="005B5123">
        <w:t>s</w:t>
      </w:r>
      <w:r>
        <w:t xml:space="preserve"> du bouton « Show Graph » étaient très vite limités</w:t>
      </w:r>
      <w:r w:rsidR="00FE1D23">
        <w:t xml:space="preserve"> en termes d’</w:t>
      </w:r>
      <w:r w:rsidR="005B5123">
        <w:t>exploitation</w:t>
      </w:r>
      <w:r w:rsidR="00FE1D23">
        <w:t xml:space="preserve"> </w:t>
      </w:r>
      <w:r>
        <w:t xml:space="preserve">… En effet, il n’était alors possible que d’afficher les valeurs de « Position Angulaire X ». </w:t>
      </w:r>
    </w:p>
    <w:p w14:paraId="0A69B6B9" w14:textId="77777777" w:rsidR="005B5123" w:rsidRDefault="00A06AB2" w:rsidP="00A06AB2">
      <w:r>
        <w:t xml:space="preserve">Il fallait donc trouver un moyen de pouvoir afficher les autres données/courbes sur </w:t>
      </w:r>
      <w:r w:rsidR="005B5123">
        <w:t>un</w:t>
      </w:r>
      <w:r>
        <w:t xml:space="preserve"> même graphique</w:t>
      </w:r>
      <w:r w:rsidR="005B5123">
        <w:t xml:space="preserve">, </w:t>
      </w:r>
      <w:r>
        <w:t>comme effectué manuellement sur Excel, via le fichier csv</w:t>
      </w:r>
      <w:r w:rsidR="005B5123">
        <w:t xml:space="preserve"> (Fig.17)</w:t>
      </w:r>
      <w:r w:rsidR="00A63716">
        <w:t xml:space="preserve">. </w:t>
      </w:r>
    </w:p>
    <w:p w14:paraId="7E1C0C23" w14:textId="77777777" w:rsidR="005B5123" w:rsidRDefault="005B5123" w:rsidP="00A06AB2"/>
    <w:p w14:paraId="1E180E62" w14:textId="0E149769" w:rsidR="00142FE5" w:rsidRDefault="00A63716" w:rsidP="00A06AB2">
      <w:r>
        <w:t xml:space="preserve">J’ai donc, en premier temps, cherché à adapter le graphique sous </w:t>
      </w:r>
      <w:proofErr w:type="spellStart"/>
      <w:r>
        <w:t>matplotlib</w:t>
      </w:r>
      <w:proofErr w:type="spellEnd"/>
      <w:r>
        <w:t>, en ajoutant des « </w:t>
      </w:r>
      <w:proofErr w:type="spellStart"/>
      <w:r>
        <w:t>checkboxes</w:t>
      </w:r>
      <w:proofErr w:type="spellEnd"/>
      <w:r>
        <w:t xml:space="preserve"> » permettant de faire apparaître ou disparaitre une ou plusieurs courbes. J’ai rencontré à ce </w:t>
      </w:r>
      <w:r w:rsidR="00FE1D23">
        <w:t>moment-là</w:t>
      </w:r>
      <w:r>
        <w:t xml:space="preserve"> quelques difficultés</w:t>
      </w:r>
      <w:r w:rsidR="005E43F5">
        <w:t xml:space="preserve"> relatives aux « </w:t>
      </w:r>
      <w:proofErr w:type="spellStart"/>
      <w:r w:rsidR="005E43F5">
        <w:t>IntVar</w:t>
      </w:r>
      <w:proofErr w:type="spellEnd"/>
      <w:r w:rsidR="005E43F5">
        <w:t>() » de Python et aux multiples fenêtres de l’IHM</w:t>
      </w:r>
      <w:r>
        <w:t>, qui ont par la suite été résolues. Parallèlement à la résolution de ce contre-temps, j’ai fait une tentative de création de graphique via le module « </w:t>
      </w:r>
      <w:proofErr w:type="spellStart"/>
      <w:r>
        <w:t>plotly</w:t>
      </w:r>
      <w:proofErr w:type="spellEnd"/>
      <w:r>
        <w:t xml:space="preserve"> » qui est adapté </w:t>
      </w:r>
      <w:r w:rsidR="00142FE5">
        <w:t>à l’analyse de données.</w:t>
      </w:r>
    </w:p>
    <w:p w14:paraId="54C0F633" w14:textId="77777777" w:rsidR="00142FE5" w:rsidRDefault="00142FE5" w:rsidP="00A06AB2">
      <w:r>
        <w:t xml:space="preserve">Il serait alors possible de créer des graphiques en html, qui s’afficheraient sur mon moteur de recherche (Firefox) en offline. </w:t>
      </w:r>
      <w:proofErr w:type="spellStart"/>
      <w:r>
        <w:t>Plotly</w:t>
      </w:r>
      <w:proofErr w:type="spellEnd"/>
      <w:r>
        <w:t xml:space="preserve"> prenant déjà en compte la possibilité d’activer ou désactiver certaines courbes via la légende des courbes.</w:t>
      </w:r>
    </w:p>
    <w:p w14:paraId="19E8ACCC" w14:textId="433D004B" w:rsidR="005E43F5" w:rsidRDefault="00142FE5" w:rsidP="00A06AB2">
      <w:r>
        <w:t xml:space="preserve">De plus, l’ergonomie et les outils plus développés que ceux de </w:t>
      </w:r>
      <w:proofErr w:type="spellStart"/>
      <w:r>
        <w:t>matplolib</w:t>
      </w:r>
      <w:proofErr w:type="spellEnd"/>
      <w:r>
        <w:t xml:space="preserve">, m’ont fait préférer l’utilisation de </w:t>
      </w:r>
      <w:proofErr w:type="spellStart"/>
      <w:r>
        <w:t>plotly</w:t>
      </w:r>
      <w:proofErr w:type="spellEnd"/>
      <w:r>
        <w:t xml:space="preserve"> plutôt que </w:t>
      </w:r>
      <w:proofErr w:type="spellStart"/>
      <w:r>
        <w:t>matplolib</w:t>
      </w:r>
      <w:proofErr w:type="spellEnd"/>
      <w:r>
        <w:t>.</w:t>
      </w:r>
      <w:r w:rsidR="005E43F5">
        <w:t xml:space="preserve"> Par la suite, les graphiques sous </w:t>
      </w:r>
      <w:proofErr w:type="spellStart"/>
      <w:r w:rsidR="005E43F5">
        <w:t>plotly</w:t>
      </w:r>
      <w:proofErr w:type="spellEnd"/>
      <w:r w:rsidR="005E43F5">
        <w:t xml:space="preserve"> ont été déployé sur le mode « Calibration ».</w:t>
      </w:r>
    </w:p>
    <w:p w14:paraId="2701DD26" w14:textId="2E86B7B0" w:rsidR="00A06AB2" w:rsidRPr="00A06AB2" w:rsidRDefault="005E43F5" w:rsidP="00A06AB2">
      <w:r>
        <w:t xml:space="preserve">Une fois armé de ces nouveaux outils, il a tout de suite été plus simple d’effectuer des tests de coefficients PID et de répondre à certaines attentes, notamment de fournir des données et </w:t>
      </w:r>
      <w:r>
        <w:lastRenderedPageBreak/>
        <w:t xml:space="preserve">graphiques aux « clients » de ce projet. Nous avions alors vu ensemble, et plus en détails, ce qui les intéresseraient d’exploiter (des simulations au repos par exemple, </w:t>
      </w:r>
      <w:proofErr w:type="spellStart"/>
      <w:r>
        <w:t>etc</w:t>
      </w:r>
      <w:proofErr w:type="spellEnd"/>
      <w:r>
        <w:t>).</w:t>
      </w:r>
    </w:p>
    <w:p w14:paraId="22A115CD" w14:textId="77777777" w:rsidR="001C6AB8" w:rsidRDefault="005E43F5" w:rsidP="00BA5DB8">
      <w:r>
        <w:t xml:space="preserve">Dans cette optique de continuer à perfectionner le mode asservi, nous avions alors perçu la nécessité de déplacer </w:t>
      </w:r>
      <w:r w:rsidR="001C6AB8">
        <w:t>les commandes d’asservissement de la boucle du main à la boucle propre au « </w:t>
      </w:r>
      <w:proofErr w:type="spellStart"/>
      <w:r w:rsidR="001C6AB8">
        <w:t>Timer</w:t>
      </w:r>
      <w:proofErr w:type="spellEnd"/>
      <w:r w:rsidR="001C6AB8">
        <w:t xml:space="preserve"> </w:t>
      </w:r>
      <w:proofErr w:type="spellStart"/>
      <w:r w:rsidR="001C6AB8">
        <w:t>interrupt</w:t>
      </w:r>
      <w:proofErr w:type="spellEnd"/>
      <w:r w:rsidR="001C6AB8">
        <w:t xml:space="preserve"> » évoqué précédemment. Déjà, car jusqu’à présent la lecture du capteur était double (une fois dans le main et une autre dans celle du </w:t>
      </w:r>
      <w:proofErr w:type="spellStart"/>
      <w:r w:rsidR="001C6AB8">
        <w:t>timer</w:t>
      </w:r>
      <w:proofErr w:type="spellEnd"/>
      <w:r w:rsidR="001C6AB8">
        <w:t>) et par soucis de rigueur, bien que le système fonctionnait, il était nécessaire de corriger ce problème.</w:t>
      </w:r>
    </w:p>
    <w:p w14:paraId="138320F2" w14:textId="77777777" w:rsidR="001C6AB8" w:rsidRDefault="001C6AB8" w:rsidP="00BA5DB8">
      <w:r>
        <w:t xml:space="preserve">J’ai donc modifié une énième fois, la machine d’état (le « main », la boucle principale du </w:t>
      </w:r>
      <w:proofErr w:type="spellStart"/>
      <w:r>
        <w:t>main.c</w:t>
      </w:r>
      <w:proofErr w:type="spellEnd"/>
      <w:r>
        <w:t>) en concordance avec les fichiers python de l’IHM, et j’ai réussi à appliquer ce changement sous une condition de passage lors du choix du mode sélectionné dans le menu de modes.</w:t>
      </w:r>
    </w:p>
    <w:p w14:paraId="20B0F6EB" w14:textId="293B5389" w:rsidR="00C045DA" w:rsidRDefault="001C6AB8" w:rsidP="00BA5DB8">
      <w:r>
        <w:t>A noter qu’il a été également développé, au sein de la boucle du « </w:t>
      </w:r>
      <w:proofErr w:type="spellStart"/>
      <w:r>
        <w:t>Timer</w:t>
      </w:r>
      <w:proofErr w:type="spellEnd"/>
      <w:r>
        <w:t xml:space="preserve"> </w:t>
      </w:r>
      <w:proofErr w:type="spellStart"/>
      <w:r>
        <w:t>interrupt</w:t>
      </w:r>
      <w:proofErr w:type="spellEnd"/>
      <w:r>
        <w:t xml:space="preserve"> » une condition telle qu’à partir d’un certain nombre de données de position angulaire mesurées supérieures ou égales à 90°, une procédure d’atterrissage forcé serait alors </w:t>
      </w:r>
      <w:r w:rsidR="0087288D">
        <w:t>exécutée</w:t>
      </w:r>
      <w:r w:rsidR="00F470BA">
        <w:t xml:space="preserve"> dans un but d’éviter cette situation classique où le bras bascule et se bloque au-delà de 90°.</w:t>
      </w:r>
      <w:r>
        <w:t xml:space="preserve">  </w:t>
      </w:r>
    </w:p>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lastRenderedPageBreak/>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79BD362D" w14:textId="0B25946E" w:rsidR="00BA5DB8" w:rsidRDefault="00BA5DB8" w:rsidP="003F2554">
      <w:pPr>
        <w:jc w:val="both"/>
        <w:rPr>
          <w:b/>
          <w:bCs/>
          <w:sz w:val="36"/>
          <w:szCs w:val="36"/>
        </w:rPr>
      </w:pPr>
    </w:p>
    <w:p w14:paraId="3BBBF9E2" w14:textId="356E163D" w:rsidR="004C0986" w:rsidRDefault="004C0986" w:rsidP="003F2554">
      <w:pPr>
        <w:jc w:val="both"/>
        <w:rPr>
          <w:b/>
          <w:bCs/>
          <w:sz w:val="36"/>
          <w:szCs w:val="36"/>
        </w:rPr>
      </w:pPr>
    </w:p>
    <w:p w14:paraId="5B57F268" w14:textId="57FB6E39" w:rsidR="004C0986" w:rsidRDefault="004C0986" w:rsidP="003F2554">
      <w:pPr>
        <w:jc w:val="both"/>
        <w:rPr>
          <w:b/>
          <w:bCs/>
          <w:sz w:val="36"/>
          <w:szCs w:val="36"/>
        </w:rPr>
      </w:pPr>
    </w:p>
    <w:p w14:paraId="63C076DE" w14:textId="699D0DA5" w:rsidR="004C0986" w:rsidRDefault="004C0986" w:rsidP="003F2554">
      <w:pPr>
        <w:jc w:val="both"/>
        <w:rPr>
          <w:b/>
          <w:bCs/>
          <w:sz w:val="36"/>
          <w:szCs w:val="36"/>
        </w:rPr>
      </w:pPr>
    </w:p>
    <w:p w14:paraId="49215B77" w14:textId="77777777" w:rsidR="004C0986" w:rsidRPr="00905A3B" w:rsidRDefault="004C0986"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lastRenderedPageBreak/>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73E9D436" w:rsidR="00BA5DB8" w:rsidRPr="00AE79C2" w:rsidRDefault="00AE79C2" w:rsidP="00134FEF">
      <w:pPr>
        <w:autoSpaceDE w:val="0"/>
        <w:autoSpaceDN w:val="0"/>
        <w:adjustRightInd w:val="0"/>
        <w:spacing w:after="0" w:line="240" w:lineRule="auto"/>
        <w:rPr>
          <w:lang w:val="en-US"/>
        </w:rPr>
      </w:pPr>
      <w:r>
        <w:rPr>
          <w:b/>
          <w:bCs/>
        </w:rPr>
        <w:t>Donald Norris</w:t>
      </w:r>
      <w:r w:rsidR="0036346F" w:rsidRPr="00BA5DB8">
        <w:rPr>
          <w:b/>
          <w:bCs/>
        </w:rPr>
        <w:t xml:space="preserve"> </w:t>
      </w:r>
      <w:r w:rsidR="0036346F" w:rsidRPr="00BA5DB8">
        <w:t>(</w:t>
      </w:r>
      <w:r>
        <w:t>2018</w:t>
      </w:r>
      <w:r w:rsidR="0036346F" w:rsidRPr="00BA5DB8">
        <w:t>).</w:t>
      </w:r>
      <w:r w:rsidR="0036346F" w:rsidRPr="00BA5DB8">
        <w:rPr>
          <w:b/>
          <w:bCs/>
        </w:rPr>
        <w:t xml:space="preserve"> </w:t>
      </w:r>
      <w:r w:rsidRPr="00AE79C2">
        <w:rPr>
          <w:lang w:val="en-US"/>
        </w:rPr>
        <w:t>Programming with STM32</w:t>
      </w:r>
      <w:r w:rsidR="00134FEF" w:rsidRPr="00AE79C2">
        <w:rPr>
          <w:lang w:val="en-US"/>
        </w:rPr>
        <w:t>.</w:t>
      </w:r>
      <w:r w:rsidR="00D90C0E" w:rsidRPr="00AE79C2">
        <w:rPr>
          <w:lang w:val="en-US"/>
        </w:rPr>
        <w:t xml:space="preserve"> </w:t>
      </w:r>
      <w:r w:rsidRPr="00AE79C2">
        <w:rPr>
          <w:i/>
          <w:iCs/>
          <w:lang w:val="en-US"/>
        </w:rPr>
        <w:t xml:space="preserve">Get Started with the </w:t>
      </w:r>
      <w:proofErr w:type="spellStart"/>
      <w:r w:rsidRPr="00AE79C2">
        <w:rPr>
          <w:i/>
          <w:iCs/>
          <w:lang w:val="en-US"/>
        </w:rPr>
        <w:t>Nucleo</w:t>
      </w:r>
      <w:proofErr w:type="spellEnd"/>
      <w:r w:rsidRPr="00AE79C2">
        <w:rPr>
          <w:i/>
          <w:iCs/>
          <w:lang w:val="en-US"/>
        </w:rPr>
        <w:t xml:space="preserve"> Board and C/C++</w:t>
      </w:r>
      <w:r w:rsidR="00D90C0E" w:rsidRPr="00AE79C2">
        <w:rPr>
          <w:lang w:val="en-US"/>
        </w:rPr>
        <w:t>.</w:t>
      </w:r>
      <w:r>
        <w:rPr>
          <w:lang w:val="en-US"/>
        </w:rPr>
        <w:t xml:space="preserve"> Livre.</w:t>
      </w:r>
    </w:p>
    <w:p w14:paraId="1556E861" w14:textId="421D9EA4" w:rsidR="00BA5DB8" w:rsidRPr="00AE79C2" w:rsidRDefault="00BA5DB8" w:rsidP="00134FEF">
      <w:pPr>
        <w:autoSpaceDE w:val="0"/>
        <w:autoSpaceDN w:val="0"/>
        <w:adjustRightInd w:val="0"/>
        <w:spacing w:after="0" w:line="240" w:lineRule="auto"/>
        <w:rPr>
          <w:lang w:val="en-US"/>
        </w:rPr>
      </w:pPr>
    </w:p>
    <w:p w14:paraId="055BC569" w14:textId="2CB0F9BA" w:rsidR="00BA5DB8" w:rsidRPr="00AE79C2" w:rsidRDefault="00BA5DB8" w:rsidP="00134FEF">
      <w:pPr>
        <w:autoSpaceDE w:val="0"/>
        <w:autoSpaceDN w:val="0"/>
        <w:adjustRightInd w:val="0"/>
        <w:spacing w:after="0" w:line="240" w:lineRule="auto"/>
        <w:rPr>
          <w:lang w:val="en-US"/>
        </w:rPr>
      </w:pPr>
    </w:p>
    <w:p w14:paraId="1C693156" w14:textId="0A965EC7" w:rsidR="00BA5DB8" w:rsidRPr="00AE79C2" w:rsidRDefault="00BA5DB8" w:rsidP="00134FEF">
      <w:pPr>
        <w:autoSpaceDE w:val="0"/>
        <w:autoSpaceDN w:val="0"/>
        <w:adjustRightInd w:val="0"/>
        <w:spacing w:after="0" w:line="240" w:lineRule="auto"/>
        <w:rPr>
          <w:lang w:val="en-US"/>
        </w:rPr>
      </w:pPr>
    </w:p>
    <w:p w14:paraId="45BEA40D" w14:textId="3DA8638F" w:rsidR="00BA5DB8" w:rsidRPr="00AE79C2" w:rsidRDefault="00BA5DB8" w:rsidP="00134FEF">
      <w:pPr>
        <w:autoSpaceDE w:val="0"/>
        <w:autoSpaceDN w:val="0"/>
        <w:adjustRightInd w:val="0"/>
        <w:spacing w:after="0" w:line="240" w:lineRule="auto"/>
        <w:rPr>
          <w:lang w:val="en-US"/>
        </w:rPr>
      </w:pPr>
    </w:p>
    <w:p w14:paraId="000040D1" w14:textId="24C33991" w:rsidR="00BA5DB8" w:rsidRPr="00AE79C2" w:rsidRDefault="00BA5DB8" w:rsidP="00134FEF">
      <w:pPr>
        <w:autoSpaceDE w:val="0"/>
        <w:autoSpaceDN w:val="0"/>
        <w:adjustRightInd w:val="0"/>
        <w:spacing w:after="0" w:line="240" w:lineRule="auto"/>
        <w:rPr>
          <w:lang w:val="en-US"/>
        </w:rPr>
      </w:pPr>
    </w:p>
    <w:p w14:paraId="70842686" w14:textId="18C6C8CF" w:rsidR="00BA5DB8" w:rsidRPr="00AE79C2" w:rsidRDefault="00BA5DB8" w:rsidP="00134FEF">
      <w:pPr>
        <w:autoSpaceDE w:val="0"/>
        <w:autoSpaceDN w:val="0"/>
        <w:adjustRightInd w:val="0"/>
        <w:spacing w:after="0" w:line="240" w:lineRule="auto"/>
        <w:rPr>
          <w:lang w:val="en-US"/>
        </w:rPr>
      </w:pPr>
    </w:p>
    <w:p w14:paraId="1D1276DB" w14:textId="6866783D" w:rsidR="00BA5DB8" w:rsidRPr="00AE79C2" w:rsidRDefault="00BA5DB8" w:rsidP="00134FEF">
      <w:pPr>
        <w:autoSpaceDE w:val="0"/>
        <w:autoSpaceDN w:val="0"/>
        <w:adjustRightInd w:val="0"/>
        <w:spacing w:after="0" w:line="240" w:lineRule="auto"/>
        <w:rPr>
          <w:lang w:val="en-US"/>
        </w:rPr>
      </w:pPr>
    </w:p>
    <w:p w14:paraId="3E1F9D58" w14:textId="5DE402FF" w:rsidR="00BA5DB8" w:rsidRPr="00AE79C2" w:rsidRDefault="00BA5DB8" w:rsidP="00134FEF">
      <w:pPr>
        <w:autoSpaceDE w:val="0"/>
        <w:autoSpaceDN w:val="0"/>
        <w:adjustRightInd w:val="0"/>
        <w:spacing w:after="0" w:line="240" w:lineRule="auto"/>
        <w:rPr>
          <w:lang w:val="en-US"/>
        </w:rPr>
      </w:pPr>
    </w:p>
    <w:p w14:paraId="0F53DC2A" w14:textId="1F31DD79" w:rsidR="00BA5DB8" w:rsidRPr="00AE79C2" w:rsidRDefault="00BA5DB8" w:rsidP="00134FEF">
      <w:pPr>
        <w:autoSpaceDE w:val="0"/>
        <w:autoSpaceDN w:val="0"/>
        <w:adjustRightInd w:val="0"/>
        <w:spacing w:after="0" w:line="240" w:lineRule="auto"/>
        <w:rPr>
          <w:lang w:val="en-US"/>
        </w:rPr>
      </w:pPr>
    </w:p>
    <w:p w14:paraId="570A36DC" w14:textId="3DE76FD6" w:rsidR="00BA5DB8" w:rsidRPr="00AE79C2" w:rsidRDefault="00BA5DB8" w:rsidP="00134FEF">
      <w:pPr>
        <w:autoSpaceDE w:val="0"/>
        <w:autoSpaceDN w:val="0"/>
        <w:adjustRightInd w:val="0"/>
        <w:spacing w:after="0" w:line="240" w:lineRule="auto"/>
        <w:rPr>
          <w:lang w:val="en-US"/>
        </w:rPr>
      </w:pPr>
    </w:p>
    <w:p w14:paraId="72BA3D61" w14:textId="6DD1ADDE" w:rsidR="00BA5DB8" w:rsidRPr="00AE79C2" w:rsidRDefault="00BA5DB8" w:rsidP="00134FEF">
      <w:pPr>
        <w:autoSpaceDE w:val="0"/>
        <w:autoSpaceDN w:val="0"/>
        <w:adjustRightInd w:val="0"/>
        <w:spacing w:after="0" w:line="240" w:lineRule="auto"/>
        <w:rPr>
          <w:lang w:val="en-US"/>
        </w:rPr>
      </w:pPr>
    </w:p>
    <w:p w14:paraId="200812C3" w14:textId="70C49914" w:rsidR="00BA5DB8" w:rsidRPr="00AE79C2" w:rsidRDefault="00BA5DB8" w:rsidP="00134FEF">
      <w:pPr>
        <w:autoSpaceDE w:val="0"/>
        <w:autoSpaceDN w:val="0"/>
        <w:adjustRightInd w:val="0"/>
        <w:spacing w:after="0" w:line="240" w:lineRule="auto"/>
        <w:rPr>
          <w:lang w:val="en-US"/>
        </w:rPr>
      </w:pPr>
    </w:p>
    <w:p w14:paraId="41319717" w14:textId="267E2CE4" w:rsidR="00BA5DB8" w:rsidRPr="00AE79C2" w:rsidRDefault="00BA5DB8" w:rsidP="00134FEF">
      <w:pPr>
        <w:autoSpaceDE w:val="0"/>
        <w:autoSpaceDN w:val="0"/>
        <w:adjustRightInd w:val="0"/>
        <w:spacing w:after="0" w:line="240" w:lineRule="auto"/>
        <w:rPr>
          <w:lang w:val="en-US"/>
        </w:rPr>
      </w:pPr>
    </w:p>
    <w:p w14:paraId="518CF102" w14:textId="2706ACD3" w:rsidR="00BA5DB8" w:rsidRPr="00AE79C2" w:rsidRDefault="00BA5DB8" w:rsidP="00134FEF">
      <w:pPr>
        <w:autoSpaceDE w:val="0"/>
        <w:autoSpaceDN w:val="0"/>
        <w:adjustRightInd w:val="0"/>
        <w:spacing w:after="0" w:line="240" w:lineRule="auto"/>
        <w:rPr>
          <w:lang w:val="en-US"/>
        </w:rPr>
      </w:pPr>
    </w:p>
    <w:p w14:paraId="4620DEFD" w14:textId="76175C8F" w:rsidR="00BA5DB8" w:rsidRPr="00AE79C2" w:rsidRDefault="00BA5DB8" w:rsidP="00134FEF">
      <w:pPr>
        <w:autoSpaceDE w:val="0"/>
        <w:autoSpaceDN w:val="0"/>
        <w:adjustRightInd w:val="0"/>
        <w:spacing w:after="0" w:line="240" w:lineRule="auto"/>
        <w:rPr>
          <w:lang w:val="en-US"/>
        </w:rPr>
      </w:pPr>
    </w:p>
    <w:p w14:paraId="7946D32E" w14:textId="2D208805" w:rsidR="00BA5DB8" w:rsidRPr="00AE79C2" w:rsidRDefault="00BA5DB8" w:rsidP="00134FEF">
      <w:pPr>
        <w:autoSpaceDE w:val="0"/>
        <w:autoSpaceDN w:val="0"/>
        <w:adjustRightInd w:val="0"/>
        <w:spacing w:after="0" w:line="240" w:lineRule="auto"/>
        <w:rPr>
          <w:lang w:val="en-US"/>
        </w:rPr>
      </w:pPr>
    </w:p>
    <w:p w14:paraId="540EE87B" w14:textId="5AF98728" w:rsidR="00BA5DB8" w:rsidRPr="00AE79C2" w:rsidRDefault="00BA5DB8" w:rsidP="00134FEF">
      <w:pPr>
        <w:autoSpaceDE w:val="0"/>
        <w:autoSpaceDN w:val="0"/>
        <w:adjustRightInd w:val="0"/>
        <w:spacing w:after="0" w:line="240" w:lineRule="auto"/>
        <w:rPr>
          <w:lang w:val="en-US"/>
        </w:rPr>
      </w:pPr>
    </w:p>
    <w:p w14:paraId="31C2E685" w14:textId="1D123FC1" w:rsidR="00BA5DB8" w:rsidRPr="00AE79C2" w:rsidRDefault="00BA5DB8" w:rsidP="00134FEF">
      <w:pPr>
        <w:autoSpaceDE w:val="0"/>
        <w:autoSpaceDN w:val="0"/>
        <w:adjustRightInd w:val="0"/>
        <w:spacing w:after="0" w:line="240" w:lineRule="auto"/>
        <w:rPr>
          <w:lang w:val="en-US"/>
        </w:rPr>
      </w:pPr>
    </w:p>
    <w:p w14:paraId="602494DF" w14:textId="76700CF8" w:rsidR="00BA5DB8" w:rsidRPr="00AE79C2" w:rsidRDefault="00BA5DB8" w:rsidP="00134FEF">
      <w:pPr>
        <w:autoSpaceDE w:val="0"/>
        <w:autoSpaceDN w:val="0"/>
        <w:adjustRightInd w:val="0"/>
        <w:spacing w:after="0" w:line="240" w:lineRule="auto"/>
        <w:rPr>
          <w:lang w:val="en-US"/>
        </w:rPr>
      </w:pPr>
    </w:p>
    <w:p w14:paraId="43AE7DC1" w14:textId="181B321A" w:rsidR="00BA5DB8" w:rsidRPr="00AE79C2" w:rsidRDefault="00BA5DB8" w:rsidP="00134FEF">
      <w:pPr>
        <w:autoSpaceDE w:val="0"/>
        <w:autoSpaceDN w:val="0"/>
        <w:adjustRightInd w:val="0"/>
        <w:spacing w:after="0" w:line="240" w:lineRule="auto"/>
        <w:rPr>
          <w:lang w:val="en-US"/>
        </w:rPr>
      </w:pPr>
    </w:p>
    <w:p w14:paraId="665DD2E1" w14:textId="386FEDDC" w:rsidR="00BA5DB8" w:rsidRPr="00AE79C2" w:rsidRDefault="00BA5DB8" w:rsidP="00134FEF">
      <w:pPr>
        <w:autoSpaceDE w:val="0"/>
        <w:autoSpaceDN w:val="0"/>
        <w:adjustRightInd w:val="0"/>
        <w:spacing w:after="0" w:line="240" w:lineRule="auto"/>
        <w:rPr>
          <w:lang w:val="en-US"/>
        </w:rPr>
      </w:pPr>
    </w:p>
    <w:p w14:paraId="3904EEE2" w14:textId="0D4D2567" w:rsidR="00BA5DB8" w:rsidRPr="00AE79C2" w:rsidRDefault="00BA5DB8" w:rsidP="00134FEF">
      <w:pPr>
        <w:autoSpaceDE w:val="0"/>
        <w:autoSpaceDN w:val="0"/>
        <w:adjustRightInd w:val="0"/>
        <w:spacing w:after="0" w:line="240" w:lineRule="auto"/>
        <w:rPr>
          <w:lang w:val="en-US"/>
        </w:rPr>
      </w:pPr>
    </w:p>
    <w:p w14:paraId="63A096F7" w14:textId="22CC6490" w:rsidR="00BA5DB8" w:rsidRPr="00AE79C2" w:rsidRDefault="00BA5DB8" w:rsidP="00134FEF">
      <w:pPr>
        <w:autoSpaceDE w:val="0"/>
        <w:autoSpaceDN w:val="0"/>
        <w:adjustRightInd w:val="0"/>
        <w:spacing w:after="0" w:line="240" w:lineRule="auto"/>
        <w:rPr>
          <w:lang w:val="en-US"/>
        </w:rPr>
      </w:pPr>
    </w:p>
    <w:p w14:paraId="163AB232" w14:textId="64D2DF62" w:rsidR="00BA5DB8" w:rsidRPr="00AE79C2" w:rsidRDefault="00BA5DB8" w:rsidP="00134FEF">
      <w:pPr>
        <w:autoSpaceDE w:val="0"/>
        <w:autoSpaceDN w:val="0"/>
        <w:adjustRightInd w:val="0"/>
        <w:spacing w:after="0" w:line="240" w:lineRule="auto"/>
        <w:rPr>
          <w:lang w:val="en-US"/>
        </w:rPr>
      </w:pPr>
    </w:p>
    <w:p w14:paraId="08D0ADCA" w14:textId="48A7C32C" w:rsidR="00BA5DB8" w:rsidRPr="00AE79C2" w:rsidRDefault="00BA5DB8" w:rsidP="00134FEF">
      <w:pPr>
        <w:autoSpaceDE w:val="0"/>
        <w:autoSpaceDN w:val="0"/>
        <w:adjustRightInd w:val="0"/>
        <w:spacing w:after="0" w:line="240" w:lineRule="auto"/>
        <w:rPr>
          <w:lang w:val="en-US"/>
        </w:rPr>
      </w:pPr>
    </w:p>
    <w:p w14:paraId="66F74FF1" w14:textId="38C2AC0A" w:rsidR="00BA5DB8" w:rsidRPr="00AE79C2" w:rsidRDefault="00BA5DB8" w:rsidP="00134FEF">
      <w:pPr>
        <w:autoSpaceDE w:val="0"/>
        <w:autoSpaceDN w:val="0"/>
        <w:adjustRightInd w:val="0"/>
        <w:spacing w:after="0" w:line="240" w:lineRule="auto"/>
        <w:rPr>
          <w:lang w:val="en-US"/>
        </w:rPr>
      </w:pPr>
    </w:p>
    <w:p w14:paraId="1F4ECD28" w14:textId="2D2142FC" w:rsidR="00BA5DB8" w:rsidRPr="00AE79C2" w:rsidRDefault="00BA5DB8" w:rsidP="00134FEF">
      <w:pPr>
        <w:autoSpaceDE w:val="0"/>
        <w:autoSpaceDN w:val="0"/>
        <w:adjustRightInd w:val="0"/>
        <w:spacing w:after="0" w:line="240" w:lineRule="auto"/>
        <w:rPr>
          <w:lang w:val="en-US"/>
        </w:rPr>
      </w:pPr>
    </w:p>
    <w:p w14:paraId="70139403" w14:textId="3A222875" w:rsidR="00BA5DB8" w:rsidRPr="00AE79C2" w:rsidRDefault="00BA5DB8" w:rsidP="00134FEF">
      <w:pPr>
        <w:autoSpaceDE w:val="0"/>
        <w:autoSpaceDN w:val="0"/>
        <w:adjustRightInd w:val="0"/>
        <w:spacing w:after="0" w:line="240" w:lineRule="auto"/>
        <w:rPr>
          <w:lang w:val="en-US"/>
        </w:rPr>
      </w:pPr>
    </w:p>
    <w:p w14:paraId="4B76E399" w14:textId="2B064F48" w:rsidR="00BA5DB8" w:rsidRPr="00AE79C2" w:rsidRDefault="00BA5DB8" w:rsidP="00134FEF">
      <w:pPr>
        <w:autoSpaceDE w:val="0"/>
        <w:autoSpaceDN w:val="0"/>
        <w:adjustRightInd w:val="0"/>
        <w:spacing w:after="0" w:line="240" w:lineRule="auto"/>
        <w:rPr>
          <w:lang w:val="en-US"/>
        </w:rPr>
      </w:pPr>
    </w:p>
    <w:p w14:paraId="2C1C49CF" w14:textId="54485D12" w:rsidR="00BA5DB8" w:rsidRPr="00AE79C2" w:rsidRDefault="00BA5DB8" w:rsidP="00134FEF">
      <w:pPr>
        <w:autoSpaceDE w:val="0"/>
        <w:autoSpaceDN w:val="0"/>
        <w:adjustRightInd w:val="0"/>
        <w:spacing w:after="0" w:line="240" w:lineRule="auto"/>
        <w:rPr>
          <w:lang w:val="en-US"/>
        </w:rPr>
      </w:pPr>
    </w:p>
    <w:p w14:paraId="77275154" w14:textId="3A6802E5" w:rsidR="00BA5DB8" w:rsidRPr="00AE79C2" w:rsidRDefault="00BA5DB8" w:rsidP="00134FEF">
      <w:pPr>
        <w:autoSpaceDE w:val="0"/>
        <w:autoSpaceDN w:val="0"/>
        <w:adjustRightInd w:val="0"/>
        <w:spacing w:after="0" w:line="240" w:lineRule="auto"/>
        <w:rPr>
          <w:lang w:val="en-US"/>
        </w:rPr>
      </w:pPr>
    </w:p>
    <w:p w14:paraId="4343DCF0" w14:textId="1D7FC38C" w:rsidR="00BA5DB8" w:rsidRPr="00AE79C2" w:rsidRDefault="00BA5DB8" w:rsidP="00134FEF">
      <w:pPr>
        <w:autoSpaceDE w:val="0"/>
        <w:autoSpaceDN w:val="0"/>
        <w:adjustRightInd w:val="0"/>
        <w:spacing w:after="0" w:line="240" w:lineRule="auto"/>
        <w:rPr>
          <w:lang w:val="en-US"/>
        </w:rPr>
      </w:pPr>
    </w:p>
    <w:p w14:paraId="497D9BF7" w14:textId="72D51EDB" w:rsidR="00BA5DB8" w:rsidRPr="00AE79C2" w:rsidRDefault="00BA5DB8" w:rsidP="00134FEF">
      <w:pPr>
        <w:autoSpaceDE w:val="0"/>
        <w:autoSpaceDN w:val="0"/>
        <w:adjustRightInd w:val="0"/>
        <w:spacing w:after="0" w:line="240" w:lineRule="auto"/>
        <w:rPr>
          <w:lang w:val="en-US"/>
        </w:rPr>
      </w:pPr>
    </w:p>
    <w:p w14:paraId="750DA660" w14:textId="27B4A398" w:rsidR="00BA5DB8" w:rsidRPr="00AE79C2" w:rsidRDefault="00BA5DB8" w:rsidP="00134FEF">
      <w:pPr>
        <w:autoSpaceDE w:val="0"/>
        <w:autoSpaceDN w:val="0"/>
        <w:adjustRightInd w:val="0"/>
        <w:spacing w:after="0" w:line="240" w:lineRule="auto"/>
        <w:rPr>
          <w:lang w:val="en-US"/>
        </w:rPr>
      </w:pPr>
    </w:p>
    <w:p w14:paraId="57F4B54A" w14:textId="61DBC520" w:rsidR="00BA5DB8" w:rsidRPr="00AE79C2" w:rsidRDefault="00BA5DB8" w:rsidP="00134FEF">
      <w:pPr>
        <w:autoSpaceDE w:val="0"/>
        <w:autoSpaceDN w:val="0"/>
        <w:adjustRightInd w:val="0"/>
        <w:spacing w:after="0" w:line="240" w:lineRule="auto"/>
        <w:rPr>
          <w:lang w:val="en-US"/>
        </w:rPr>
      </w:pPr>
    </w:p>
    <w:p w14:paraId="47265662" w14:textId="24CCCDD0" w:rsidR="00BA5DB8" w:rsidRPr="00AE79C2" w:rsidRDefault="00BA5DB8" w:rsidP="00134FEF">
      <w:pPr>
        <w:autoSpaceDE w:val="0"/>
        <w:autoSpaceDN w:val="0"/>
        <w:adjustRightInd w:val="0"/>
        <w:spacing w:after="0" w:line="240" w:lineRule="auto"/>
        <w:rPr>
          <w:lang w:val="en-US"/>
        </w:rPr>
      </w:pPr>
    </w:p>
    <w:p w14:paraId="600060BA" w14:textId="098BBA4E" w:rsidR="00BA5DB8" w:rsidRPr="00AE79C2" w:rsidRDefault="00BA5DB8" w:rsidP="00134FEF">
      <w:pPr>
        <w:autoSpaceDE w:val="0"/>
        <w:autoSpaceDN w:val="0"/>
        <w:adjustRightInd w:val="0"/>
        <w:spacing w:after="0" w:line="240" w:lineRule="auto"/>
        <w:rPr>
          <w:lang w:val="en-US"/>
        </w:rPr>
      </w:pPr>
    </w:p>
    <w:p w14:paraId="50770A0B" w14:textId="01C91B52" w:rsidR="00BA5DB8" w:rsidRPr="00AE79C2" w:rsidRDefault="00BA5DB8" w:rsidP="00134FEF">
      <w:pPr>
        <w:autoSpaceDE w:val="0"/>
        <w:autoSpaceDN w:val="0"/>
        <w:adjustRightInd w:val="0"/>
        <w:spacing w:after="0" w:line="240" w:lineRule="auto"/>
        <w:rPr>
          <w:lang w:val="en-US"/>
        </w:rPr>
      </w:pPr>
    </w:p>
    <w:p w14:paraId="1B29CBAB" w14:textId="2D771F6A" w:rsidR="00BA5DB8" w:rsidRPr="00AE79C2" w:rsidRDefault="00BA5DB8" w:rsidP="00134FEF">
      <w:pPr>
        <w:autoSpaceDE w:val="0"/>
        <w:autoSpaceDN w:val="0"/>
        <w:adjustRightInd w:val="0"/>
        <w:spacing w:after="0" w:line="240" w:lineRule="auto"/>
        <w:rPr>
          <w:lang w:val="en-US"/>
        </w:rPr>
      </w:pPr>
    </w:p>
    <w:p w14:paraId="4DFCEA24" w14:textId="7AAF4F9A" w:rsidR="00BA5DB8" w:rsidRPr="00AE79C2" w:rsidRDefault="00BA5DB8" w:rsidP="00134FEF">
      <w:pPr>
        <w:autoSpaceDE w:val="0"/>
        <w:autoSpaceDN w:val="0"/>
        <w:adjustRightInd w:val="0"/>
        <w:spacing w:after="0" w:line="240" w:lineRule="auto"/>
        <w:rPr>
          <w:lang w:val="en-US"/>
        </w:rPr>
      </w:pPr>
    </w:p>
    <w:p w14:paraId="328DAFB2" w14:textId="009A171C" w:rsidR="00BA5DB8" w:rsidRPr="00AE79C2" w:rsidRDefault="00BA5DB8" w:rsidP="00134FEF">
      <w:pPr>
        <w:autoSpaceDE w:val="0"/>
        <w:autoSpaceDN w:val="0"/>
        <w:adjustRightInd w:val="0"/>
        <w:spacing w:after="0" w:line="240" w:lineRule="auto"/>
        <w:rPr>
          <w:lang w:val="en-US"/>
        </w:rPr>
      </w:pPr>
    </w:p>
    <w:p w14:paraId="32753FAD" w14:textId="77777777" w:rsidR="00BA5DB8" w:rsidRPr="00AE79C2" w:rsidRDefault="00BA5DB8" w:rsidP="00134FEF">
      <w:pPr>
        <w:autoSpaceDE w:val="0"/>
        <w:autoSpaceDN w:val="0"/>
        <w:adjustRightInd w:val="0"/>
        <w:spacing w:after="0" w:line="240" w:lineRule="auto"/>
        <w:rPr>
          <w:lang w:val="en-US"/>
        </w:rPr>
      </w:pPr>
    </w:p>
    <w:p w14:paraId="3FBBB7A4" w14:textId="77777777" w:rsidR="00F46096" w:rsidRPr="00AE79C2" w:rsidRDefault="00F46096" w:rsidP="00F46096">
      <w:pPr>
        <w:autoSpaceDE w:val="0"/>
        <w:autoSpaceDN w:val="0"/>
        <w:adjustRightInd w:val="0"/>
        <w:spacing w:after="0" w:line="240" w:lineRule="auto"/>
        <w:jc w:val="both"/>
        <w:rPr>
          <w:lang w:val="en-US"/>
        </w:rPr>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lastRenderedPageBreak/>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29"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75FF" w14:textId="77777777" w:rsidR="00AC2970" w:rsidRDefault="00AC2970" w:rsidP="001944A5">
      <w:pPr>
        <w:spacing w:after="0" w:line="240" w:lineRule="auto"/>
      </w:pPr>
      <w:r>
        <w:separator/>
      </w:r>
    </w:p>
  </w:endnote>
  <w:endnote w:type="continuationSeparator" w:id="0">
    <w:p w14:paraId="2C6A0A4D" w14:textId="77777777" w:rsidR="00AC2970" w:rsidRDefault="00AC2970"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0EA8" w14:textId="77777777" w:rsidR="00AC2970" w:rsidRDefault="00AC2970" w:rsidP="001944A5">
      <w:pPr>
        <w:spacing w:after="0" w:line="240" w:lineRule="auto"/>
      </w:pPr>
      <w:r>
        <w:separator/>
      </w:r>
    </w:p>
  </w:footnote>
  <w:footnote w:type="continuationSeparator" w:id="0">
    <w:p w14:paraId="21FE8F27" w14:textId="77777777" w:rsidR="00AC2970" w:rsidRDefault="00AC2970"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 w:numId="31" w16cid:durableId="29853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4E3A"/>
    <w:rsid w:val="0006578E"/>
    <w:rsid w:val="000709CB"/>
    <w:rsid w:val="00072F7F"/>
    <w:rsid w:val="00074CB9"/>
    <w:rsid w:val="00075675"/>
    <w:rsid w:val="00075DFB"/>
    <w:rsid w:val="00083628"/>
    <w:rsid w:val="000849EA"/>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3619"/>
    <w:rsid w:val="000C5680"/>
    <w:rsid w:val="000C6D16"/>
    <w:rsid w:val="000C7012"/>
    <w:rsid w:val="000C771F"/>
    <w:rsid w:val="000D0C24"/>
    <w:rsid w:val="000D0FB5"/>
    <w:rsid w:val="000D248C"/>
    <w:rsid w:val="000D3244"/>
    <w:rsid w:val="000D5DE4"/>
    <w:rsid w:val="000D63A7"/>
    <w:rsid w:val="000D70BB"/>
    <w:rsid w:val="000E017B"/>
    <w:rsid w:val="000E0927"/>
    <w:rsid w:val="000E0A94"/>
    <w:rsid w:val="000E22FE"/>
    <w:rsid w:val="000E7A05"/>
    <w:rsid w:val="000F0772"/>
    <w:rsid w:val="000F17DE"/>
    <w:rsid w:val="000F3F95"/>
    <w:rsid w:val="000F4499"/>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2FE5"/>
    <w:rsid w:val="00145A6B"/>
    <w:rsid w:val="00147185"/>
    <w:rsid w:val="00147A8B"/>
    <w:rsid w:val="00152828"/>
    <w:rsid w:val="00154218"/>
    <w:rsid w:val="00155C23"/>
    <w:rsid w:val="001618A3"/>
    <w:rsid w:val="00163BF5"/>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6AB8"/>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18A0"/>
    <w:rsid w:val="002F3E2C"/>
    <w:rsid w:val="002F40AB"/>
    <w:rsid w:val="002F6A22"/>
    <w:rsid w:val="003009B3"/>
    <w:rsid w:val="00305EF6"/>
    <w:rsid w:val="00305FB3"/>
    <w:rsid w:val="00306141"/>
    <w:rsid w:val="00307BD5"/>
    <w:rsid w:val="003106C1"/>
    <w:rsid w:val="0031663A"/>
    <w:rsid w:val="00316C28"/>
    <w:rsid w:val="00317976"/>
    <w:rsid w:val="00320C17"/>
    <w:rsid w:val="00322C82"/>
    <w:rsid w:val="00322EF9"/>
    <w:rsid w:val="00330D53"/>
    <w:rsid w:val="003315F5"/>
    <w:rsid w:val="00333E1E"/>
    <w:rsid w:val="00334074"/>
    <w:rsid w:val="00334526"/>
    <w:rsid w:val="00340564"/>
    <w:rsid w:val="00345522"/>
    <w:rsid w:val="00350008"/>
    <w:rsid w:val="00350C78"/>
    <w:rsid w:val="00352273"/>
    <w:rsid w:val="00355342"/>
    <w:rsid w:val="0035574B"/>
    <w:rsid w:val="00355F52"/>
    <w:rsid w:val="0035730B"/>
    <w:rsid w:val="00360473"/>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A7081"/>
    <w:rsid w:val="003B111C"/>
    <w:rsid w:val="003B4A0F"/>
    <w:rsid w:val="003B5881"/>
    <w:rsid w:val="003B5D99"/>
    <w:rsid w:val="003B6F06"/>
    <w:rsid w:val="003C2144"/>
    <w:rsid w:val="003C28E8"/>
    <w:rsid w:val="003C3C29"/>
    <w:rsid w:val="003C516B"/>
    <w:rsid w:val="003C51E0"/>
    <w:rsid w:val="003C574E"/>
    <w:rsid w:val="003C5B06"/>
    <w:rsid w:val="003C66BA"/>
    <w:rsid w:val="003C7781"/>
    <w:rsid w:val="003D0715"/>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75A"/>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6849"/>
    <w:rsid w:val="004B7A28"/>
    <w:rsid w:val="004C0986"/>
    <w:rsid w:val="004C32D1"/>
    <w:rsid w:val="004C574E"/>
    <w:rsid w:val="004C5A0A"/>
    <w:rsid w:val="004C5A69"/>
    <w:rsid w:val="004C5DD0"/>
    <w:rsid w:val="004D060A"/>
    <w:rsid w:val="004E2AF0"/>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4BFC"/>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5123"/>
    <w:rsid w:val="005B613F"/>
    <w:rsid w:val="005B7D1B"/>
    <w:rsid w:val="005D069A"/>
    <w:rsid w:val="005D0C9A"/>
    <w:rsid w:val="005D0D2A"/>
    <w:rsid w:val="005D0D6F"/>
    <w:rsid w:val="005D2797"/>
    <w:rsid w:val="005D45F8"/>
    <w:rsid w:val="005D546D"/>
    <w:rsid w:val="005D5C41"/>
    <w:rsid w:val="005D76E1"/>
    <w:rsid w:val="005D7A67"/>
    <w:rsid w:val="005D7ECE"/>
    <w:rsid w:val="005E1CD0"/>
    <w:rsid w:val="005E3E48"/>
    <w:rsid w:val="005E43F5"/>
    <w:rsid w:val="005E497A"/>
    <w:rsid w:val="005E61FD"/>
    <w:rsid w:val="005F0F9C"/>
    <w:rsid w:val="005F30AE"/>
    <w:rsid w:val="005F5444"/>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20F"/>
    <w:rsid w:val="006529F5"/>
    <w:rsid w:val="00652EBD"/>
    <w:rsid w:val="00655241"/>
    <w:rsid w:val="00656300"/>
    <w:rsid w:val="0065736B"/>
    <w:rsid w:val="006575A2"/>
    <w:rsid w:val="00657808"/>
    <w:rsid w:val="0066065B"/>
    <w:rsid w:val="0066201B"/>
    <w:rsid w:val="006635AE"/>
    <w:rsid w:val="006657ED"/>
    <w:rsid w:val="006661A9"/>
    <w:rsid w:val="006672A6"/>
    <w:rsid w:val="0067511D"/>
    <w:rsid w:val="00675E56"/>
    <w:rsid w:val="00676A7B"/>
    <w:rsid w:val="00676E75"/>
    <w:rsid w:val="0067700F"/>
    <w:rsid w:val="00681A98"/>
    <w:rsid w:val="006827AB"/>
    <w:rsid w:val="00682F8C"/>
    <w:rsid w:val="00683503"/>
    <w:rsid w:val="00691D2C"/>
    <w:rsid w:val="00691F32"/>
    <w:rsid w:val="006951EA"/>
    <w:rsid w:val="00697010"/>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0A5"/>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74A63"/>
    <w:rsid w:val="00781E60"/>
    <w:rsid w:val="007861C6"/>
    <w:rsid w:val="00786F60"/>
    <w:rsid w:val="00791BE5"/>
    <w:rsid w:val="00792051"/>
    <w:rsid w:val="0079229F"/>
    <w:rsid w:val="00794A01"/>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4401"/>
    <w:rsid w:val="0083617F"/>
    <w:rsid w:val="008371FF"/>
    <w:rsid w:val="008375F4"/>
    <w:rsid w:val="0084248F"/>
    <w:rsid w:val="00843E7C"/>
    <w:rsid w:val="00844123"/>
    <w:rsid w:val="0084427D"/>
    <w:rsid w:val="008469BB"/>
    <w:rsid w:val="0084779C"/>
    <w:rsid w:val="00847B83"/>
    <w:rsid w:val="0085239E"/>
    <w:rsid w:val="00853072"/>
    <w:rsid w:val="00853775"/>
    <w:rsid w:val="00855071"/>
    <w:rsid w:val="00855A4B"/>
    <w:rsid w:val="008565CF"/>
    <w:rsid w:val="00857290"/>
    <w:rsid w:val="00857CB7"/>
    <w:rsid w:val="00857FAC"/>
    <w:rsid w:val="00860549"/>
    <w:rsid w:val="00860A53"/>
    <w:rsid w:val="00860D0A"/>
    <w:rsid w:val="00861657"/>
    <w:rsid w:val="00862813"/>
    <w:rsid w:val="00862BE6"/>
    <w:rsid w:val="00862D48"/>
    <w:rsid w:val="008659DB"/>
    <w:rsid w:val="00866E44"/>
    <w:rsid w:val="00870796"/>
    <w:rsid w:val="0087288D"/>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977A0"/>
    <w:rsid w:val="008A27F3"/>
    <w:rsid w:val="008A2DE2"/>
    <w:rsid w:val="008A66BF"/>
    <w:rsid w:val="008B066D"/>
    <w:rsid w:val="008B0D01"/>
    <w:rsid w:val="008B3A33"/>
    <w:rsid w:val="008B54A4"/>
    <w:rsid w:val="008C0BE9"/>
    <w:rsid w:val="008C11FB"/>
    <w:rsid w:val="008C1445"/>
    <w:rsid w:val="008C24D6"/>
    <w:rsid w:val="008C2EB8"/>
    <w:rsid w:val="008C39B2"/>
    <w:rsid w:val="008C3B79"/>
    <w:rsid w:val="008D014F"/>
    <w:rsid w:val="008D1C08"/>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1122"/>
    <w:rsid w:val="009030D6"/>
    <w:rsid w:val="00904B61"/>
    <w:rsid w:val="00904E3A"/>
    <w:rsid w:val="00905A3B"/>
    <w:rsid w:val="00906E56"/>
    <w:rsid w:val="00910DC1"/>
    <w:rsid w:val="009127ED"/>
    <w:rsid w:val="00912948"/>
    <w:rsid w:val="009130E0"/>
    <w:rsid w:val="00913DD6"/>
    <w:rsid w:val="00914720"/>
    <w:rsid w:val="00915AAE"/>
    <w:rsid w:val="00915AE9"/>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146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6876"/>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2EE"/>
    <w:rsid w:val="009C283C"/>
    <w:rsid w:val="009C33BA"/>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E7531"/>
    <w:rsid w:val="009F005E"/>
    <w:rsid w:val="009F2C0F"/>
    <w:rsid w:val="009F2FA2"/>
    <w:rsid w:val="009F7645"/>
    <w:rsid w:val="009F7748"/>
    <w:rsid w:val="00A00DBA"/>
    <w:rsid w:val="00A00FD2"/>
    <w:rsid w:val="00A021D5"/>
    <w:rsid w:val="00A06AB2"/>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2F92"/>
    <w:rsid w:val="00A5491D"/>
    <w:rsid w:val="00A54C21"/>
    <w:rsid w:val="00A56EFF"/>
    <w:rsid w:val="00A578CB"/>
    <w:rsid w:val="00A61465"/>
    <w:rsid w:val="00A62552"/>
    <w:rsid w:val="00A62E9D"/>
    <w:rsid w:val="00A63716"/>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97770"/>
    <w:rsid w:val="00AA4D8C"/>
    <w:rsid w:val="00AA5025"/>
    <w:rsid w:val="00AA68E5"/>
    <w:rsid w:val="00AB02A9"/>
    <w:rsid w:val="00AB1A45"/>
    <w:rsid w:val="00AB3F1D"/>
    <w:rsid w:val="00AB698E"/>
    <w:rsid w:val="00AC2970"/>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9C2"/>
    <w:rsid w:val="00AE7CBC"/>
    <w:rsid w:val="00AF2146"/>
    <w:rsid w:val="00AF359C"/>
    <w:rsid w:val="00AF36A2"/>
    <w:rsid w:val="00AF36BA"/>
    <w:rsid w:val="00AF399C"/>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28B"/>
    <w:rsid w:val="00B479CE"/>
    <w:rsid w:val="00B479E3"/>
    <w:rsid w:val="00B53969"/>
    <w:rsid w:val="00B55480"/>
    <w:rsid w:val="00B61131"/>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1F95"/>
    <w:rsid w:val="00BA2363"/>
    <w:rsid w:val="00BA278C"/>
    <w:rsid w:val="00BA295A"/>
    <w:rsid w:val="00BA2C1F"/>
    <w:rsid w:val="00BA2D8F"/>
    <w:rsid w:val="00BA4A76"/>
    <w:rsid w:val="00BA5DB8"/>
    <w:rsid w:val="00BA5F60"/>
    <w:rsid w:val="00BA690B"/>
    <w:rsid w:val="00BA7666"/>
    <w:rsid w:val="00BB2586"/>
    <w:rsid w:val="00BB2C3D"/>
    <w:rsid w:val="00BB36F3"/>
    <w:rsid w:val="00BC00F4"/>
    <w:rsid w:val="00BC0F67"/>
    <w:rsid w:val="00BC2059"/>
    <w:rsid w:val="00BC216C"/>
    <w:rsid w:val="00BD0C8D"/>
    <w:rsid w:val="00BD1459"/>
    <w:rsid w:val="00BD211F"/>
    <w:rsid w:val="00BD4AB4"/>
    <w:rsid w:val="00BD62F0"/>
    <w:rsid w:val="00BD6F49"/>
    <w:rsid w:val="00BD768A"/>
    <w:rsid w:val="00BE025F"/>
    <w:rsid w:val="00BE15B7"/>
    <w:rsid w:val="00BE1B14"/>
    <w:rsid w:val="00BE3DA3"/>
    <w:rsid w:val="00BE5B67"/>
    <w:rsid w:val="00BE5C60"/>
    <w:rsid w:val="00BE63BA"/>
    <w:rsid w:val="00BE6A6F"/>
    <w:rsid w:val="00BF4182"/>
    <w:rsid w:val="00BF68A9"/>
    <w:rsid w:val="00C01A8A"/>
    <w:rsid w:val="00C038B4"/>
    <w:rsid w:val="00C045DA"/>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61C2"/>
    <w:rsid w:val="00C47578"/>
    <w:rsid w:val="00C47E5F"/>
    <w:rsid w:val="00C519E9"/>
    <w:rsid w:val="00C54E69"/>
    <w:rsid w:val="00C57FC6"/>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0EB9"/>
    <w:rsid w:val="00D97779"/>
    <w:rsid w:val="00DA0A78"/>
    <w:rsid w:val="00DA3AA1"/>
    <w:rsid w:val="00DA3E5E"/>
    <w:rsid w:val="00DA57F4"/>
    <w:rsid w:val="00DA6A32"/>
    <w:rsid w:val="00DB01E1"/>
    <w:rsid w:val="00DB03CC"/>
    <w:rsid w:val="00DB0E59"/>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10D7"/>
    <w:rsid w:val="00E62D30"/>
    <w:rsid w:val="00E63278"/>
    <w:rsid w:val="00E65F45"/>
    <w:rsid w:val="00E6695C"/>
    <w:rsid w:val="00E67A7E"/>
    <w:rsid w:val="00E72AE5"/>
    <w:rsid w:val="00E73CF1"/>
    <w:rsid w:val="00E741D8"/>
    <w:rsid w:val="00E75FA8"/>
    <w:rsid w:val="00E761E9"/>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3C2F"/>
    <w:rsid w:val="00ED4034"/>
    <w:rsid w:val="00ED4CE9"/>
    <w:rsid w:val="00ED593B"/>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2DE"/>
    <w:rsid w:val="00F34FCA"/>
    <w:rsid w:val="00F3596E"/>
    <w:rsid w:val="00F35A4F"/>
    <w:rsid w:val="00F366ED"/>
    <w:rsid w:val="00F409D0"/>
    <w:rsid w:val="00F40F01"/>
    <w:rsid w:val="00F4289D"/>
    <w:rsid w:val="00F43086"/>
    <w:rsid w:val="00F45574"/>
    <w:rsid w:val="00F45D6E"/>
    <w:rsid w:val="00F46096"/>
    <w:rsid w:val="00F46B80"/>
    <w:rsid w:val="00F470BA"/>
    <w:rsid w:val="00F4720C"/>
    <w:rsid w:val="00F552BD"/>
    <w:rsid w:val="00F5576A"/>
    <w:rsid w:val="00F55A80"/>
    <w:rsid w:val="00F55FBC"/>
    <w:rsid w:val="00F5687E"/>
    <w:rsid w:val="00F56CCA"/>
    <w:rsid w:val="00F57741"/>
    <w:rsid w:val="00F57B1E"/>
    <w:rsid w:val="00F61861"/>
    <w:rsid w:val="00F66FA7"/>
    <w:rsid w:val="00F6790C"/>
    <w:rsid w:val="00F70277"/>
    <w:rsid w:val="00F71998"/>
    <w:rsid w:val="00F72EA2"/>
    <w:rsid w:val="00F744D8"/>
    <w:rsid w:val="00F75E45"/>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50CF"/>
    <w:rsid w:val="00FC6455"/>
    <w:rsid w:val="00FC7A30"/>
    <w:rsid w:val="00FC7E12"/>
    <w:rsid w:val="00FD2022"/>
    <w:rsid w:val="00FD44D9"/>
    <w:rsid w:val="00FD72BF"/>
    <w:rsid w:val="00FE111F"/>
    <w:rsid w:val="00FE1239"/>
    <w:rsid w:val="00FE1D23"/>
    <w:rsid w:val="00FE30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31462340">
      <w:bodyDiv w:val="1"/>
      <w:marLeft w:val="0"/>
      <w:marRight w:val="0"/>
      <w:marTop w:val="0"/>
      <w:marBottom w:val="0"/>
      <w:divBdr>
        <w:top w:val="none" w:sz="0" w:space="0" w:color="auto"/>
        <w:left w:val="none" w:sz="0" w:space="0" w:color="auto"/>
        <w:bottom w:val="none" w:sz="0" w:space="0" w:color="auto"/>
        <w:right w:val="none" w:sz="0" w:space="0" w:color="auto"/>
      </w:divBdr>
      <w:divsChild>
        <w:div w:id="964580505">
          <w:marLeft w:val="0"/>
          <w:marRight w:val="0"/>
          <w:marTop w:val="0"/>
          <w:marBottom w:val="0"/>
          <w:divBdr>
            <w:top w:val="none" w:sz="0" w:space="0" w:color="auto"/>
            <w:left w:val="single" w:sz="12" w:space="0" w:color="000000"/>
            <w:bottom w:val="single" w:sz="12" w:space="0" w:color="000000"/>
            <w:right w:val="single" w:sz="12" w:space="1" w:color="000000"/>
          </w:divBdr>
        </w:div>
      </w:divsChild>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InnovationLab-EFREIParis/Stage_1DOF_DroneBen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1.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27</Pages>
  <Words>6075</Words>
  <Characters>33416</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54</cp:revision>
  <cp:lastPrinted>2021-02-12T19:17:00Z</cp:lastPrinted>
  <dcterms:created xsi:type="dcterms:W3CDTF">2023-01-02T11:36:00Z</dcterms:created>
  <dcterms:modified xsi:type="dcterms:W3CDTF">2023-03-03T13:23:00Z</dcterms:modified>
</cp:coreProperties>
</file>