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A2C54"/>
          <w:sz w:val="60"/>
        </w:rPr>
        <w:t>PRISM</w:t>
      </w:r>
    </w:p>
    <w:p>
      <w:pPr>
        <w:jc w:val="center"/>
      </w:pPr>
      <w:r>
        <w:rPr>
          <w:b/>
          <w:color w:val="1F60A5"/>
          <w:sz w:val="36"/>
        </w:rPr>
        <w:t>Comparative Analysis of Existing Research and the Proposed Model</w:t>
      </w:r>
    </w:p>
    <w:p>
      <w:pPr>
        <w:jc w:val="center"/>
      </w:pPr>
      <w:r>
        <w:rPr>
          <w:i/>
          <w:sz w:val="24"/>
        </w:rPr>
        <w:t>Police Investigation System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B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21"/>
              </w:rPr>
              <w:t>Purpose: position PRISM against the research foundation in Indian-language ASR, code-switching, translation, legal NLP and secure investigation documentation, while keeping published metrics and PRISM targets clearly separated.</w:t>
            </w:r>
          </w:p>
        </w:tc>
      </w:tr>
    </w:tbl>
    <w:p>
      <w:pPr>
        <w:pStyle w:val="Heading1"/>
      </w:pPr>
      <w:r>
        <w:t>1. Executive Summary</w:t>
      </w:r>
    </w:p>
    <w:p>
      <w:r>
        <w:rPr>
          <w:b/>
        </w:rPr>
        <w:t xml:space="preserve">The reviewed literature is strong in individual components but fragmented across tasks. </w:t>
      </w:r>
      <w:r>
        <w:t>Indian-language ASR studies establish multilingual speech recognition and code-switch handling; translation research addresses Indic language transfer; legal NLP research addresses structured entity extraction. PRISM combines these components into a police-domain workflow that moves from voice input to verified investigation documentation and secure audit records. The comparison therefore focuses on both measurable published metrics and capability coverage, rather than creating a single artificial score across unrelated tasks.</w:t>
      </w:r>
    </w:p>
    <w:p>
      <w:r>
        <w:rPr>
          <w:b/>
        </w:rPr>
        <w:t xml:space="preserve">Important metric note: </w:t>
      </w:r>
      <w:r>
        <w:t>WER, BLEU, and F1 are different metrics and are not directly interchangeable. The ASR chart below uses 100 − WER only as a visualization proxy. PRISM numbers are explicitly labelled as proposed targets, not experimental results.</w:t>
      </w:r>
    </w:p>
    <w:p>
      <w:pPr>
        <w:pStyle w:val="Heading1"/>
      </w:pPr>
      <w:r>
        <w:t>2. ASR Performance Comparison</w:t>
      </w:r>
    </w:p>
    <w:p>
      <w:r>
        <w:t>To create a comparable visual scale for ASR results, the published Word Error Rate (WER) is converted to a word-accuracy proxy using 100 − WER. Lower WER therefore appears as a higher proxy value. The source studies use different datasets and conditions, so the chart should be read as a normalized visualization rather than a cross-paper benchmark.</w:t>
      </w:r>
    </w:p>
    <w:p>
      <w:r>
        <w:drawing>
          <wp:inline xmlns:a="http://schemas.openxmlformats.org/drawingml/2006/main" xmlns:pic="http://schemas.openxmlformats.org/drawingml/2006/picture">
            <wp:extent cx="6492240" cy="284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r_comparison_prox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4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ASR comparison using a 100 − WER visualization proxy. The 90% PRISM line is a proposed project target, not a measured result.</w:t>
      </w:r>
    </w:p>
    <w:p>
      <w:pPr>
        <w:pStyle w:val="Heading2"/>
      </w:pPr>
      <w:r>
        <w:t>Reported ASR Values Used in Figure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Study / System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Reported WER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Derived 100 − WER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MUCS 2021 multilingual baseline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30.73%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69.27%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multilingual ASR task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CSTR multilingual system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18.10%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81.90%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Challenge system result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Code-switched Hindi-English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21.77%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78.23%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Code-switched ASR result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Code-switched Bengali-English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28.27%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71.73%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Code-switched ASR result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Vistaar IndicWhisper average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13.60%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86.40%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Average over Vistaar benchmarks</w:t>
            </w:r>
          </w:p>
        </w:tc>
      </w:tr>
    </w:tbl>
    <w:p>
      <w:pPr>
        <w:pStyle w:val="Heading1"/>
      </w:pPr>
      <w:r>
        <w:t>3. PRISM Proposed Evaluation Targets</w:t>
      </w:r>
    </w:p>
    <w:p>
      <w:r>
        <w:t>Because PRISM is a proposed system in the current project stage, its percentages are design targets for experimental validation. They should be replaced with measured results after evaluation on a controlled PRISM test set.</w:t>
      </w:r>
    </w:p>
    <w:p>
      <w:r>
        <w:drawing>
          <wp:inline xmlns:a="http://schemas.openxmlformats.org/drawingml/2006/main" xmlns:pic="http://schemas.openxmlformats.org/drawingml/2006/picture">
            <wp:extent cx="6492240" cy="2675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_targ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7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Proposed PRISM target profile. These values are goals for evaluation and are not claims of current performance.</w:t>
      </w:r>
    </w:p>
    <w:p>
      <w:pPr>
        <w:pStyle w:val="Heading1"/>
      </w:pPr>
      <w:r>
        <w:t>4. Comparative Capability Matrix</w:t>
      </w:r>
    </w:p>
    <w:p>
      <w:r>
        <w:t>The matrix evaluates whether each research work primarily addresses a PRISM capability. “Full” indicates the capability is a main research focus; “Partial” means the work provides supporting resources or related treatment; “Not addressed” means the capability is outside the documented scope. This is a qualitative research-positioning analysis, not a performance score.</w:t>
      </w:r>
    </w:p>
    <w:p>
      <w:r>
        <w:drawing>
          <wp:inline xmlns:a="http://schemas.openxmlformats.org/drawingml/2006/main" xmlns:pic="http://schemas.openxmlformats.org/drawingml/2006/picture">
            <wp:extent cx="6492240" cy="3600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0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Qualitative capability-coverage matrix used for research positioning.</w:t>
      </w:r>
    </w:p>
    <w:p>
      <w:pPr>
        <w:pStyle w:val="Heading1"/>
      </w:pPr>
      <w:r>
        <w:t>5. Paper-by-Paper Comparative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Research Work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Contribution Relevant to PRISM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Gap / Difference Relative to PRISM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Billion Users ASR (2022)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Multilingual ASR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Strong multilingual pretraining for Indian-subcontinent languages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Does not provide the complete PRISM downstream workflow.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MUCS 2021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Multilingual + code-switching ASR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Directly targets low-resource multilingual and code-switched Indian speech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Primarily a benchmark/challenge; no police-documentation pipeline.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Code-Switched Indic ASR (2022)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Code-switched ASR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Shows language-aware methods can improve Indic code-switch recognition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Stops at ASR; no translation, NLP extraction or secure documentation layer.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IndicSUPERB (2023)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Speech benchmarks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Creates standardized Indic speech tasks and the Kathbath resource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Benchmarking is not an operational investigation workflow.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Vistaar (2023)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ASR benchmarks + training sets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Demonstrates robust evaluation across 59 benchmarks and IndicWhisper training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General-domain ASR; no police-specific downstream workflow.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Shrutilipi / audio-text mining (2022)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ASR data generation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Shows mining public audio-text pairs can scale low-resource ASR resources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Broadcast-domain data does not equal police-domain conversational data.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IndicVoices (2024)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Natural multilingual speech data + IndicASR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Provides spontaneous/conversational speech across 22 languages and supports IndicASR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Speech resource/model rather than end-to-end police intelligence system.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IndicTrans2 (2023)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Multilingual translation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Provides Indian-language text translation across 22 scheduled languages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Translation is text-focused and not an investigation documentation system.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BhasaAnuvaad (2024)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Speech translation resources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Expands Indian speech-translation resources with large-scale curated, mined and synthetic data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Does not provide full NLP extraction, police documentation, verification and security workflow.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Legal NER in Indian Court Judgments (2022)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Legal named-entity extraction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Shows structured legal entity extraction for Indian legal text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Focused on court judgments rather than multilingual spoken police statements.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PRISM (Proposed)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Integrated police investigation workflow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Combines multilingual ASR, code-switch handling, translation, NLP/entity extraction, structured documentation and secure audit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Requires empirical validation on a police-domain test set; targets must be measured.</w:t>
            </w:r>
          </w:p>
        </w:tc>
      </w:tr>
    </w:tbl>
    <w:p>
      <w:pPr>
        <w:pStyle w:val="Heading1"/>
      </w:pPr>
      <w:r>
        <w:t>6. Comparative Interpretation</w:t>
      </w:r>
    </w:p>
    <w:p>
      <w:pPr>
        <w:pStyle w:val="ListBullet"/>
        <w:spacing w:after="40"/>
        <w:ind w:left="288"/>
      </w:pPr>
      <w:r>
        <w:t>Component specialization: Most reviewed works solve one major research problem—ASR, code-switch recognition, translation, dataset creation or legal NER. This creates strong building blocks, but the components are generally evaluated separately.</w:t>
      </w:r>
    </w:p>
    <w:p>
      <w:pPr>
        <w:pStyle w:val="ListBullet"/>
        <w:spacing w:after="40"/>
        <w:ind w:left="288"/>
      </w:pPr>
      <w:r>
        <w:t>Workflow integration: PRISM is positioned as an integration layer that connects speech recognition, language handling, translation and NLP extraction to an investigation-document workflow. The novelty is therefore largely architectural and domain-oriented rather than claiming a new fundamental ASR algorithm.</w:t>
      </w:r>
    </w:p>
    <w:p>
      <w:pPr>
        <w:pStyle w:val="ListBullet"/>
        <w:spacing w:after="40"/>
        <w:ind w:left="288"/>
      </w:pPr>
      <w:r>
        <w:t>Police-domain adaptation: The reviewed ASR and translation resources are broad-domain systems. PRISM proposes a domain layer around police vocabulary, names, places, dates, events, evidence and case-document templates.</w:t>
      </w:r>
    </w:p>
    <w:p>
      <w:pPr>
        <w:pStyle w:val="ListBullet"/>
        <w:spacing w:after="40"/>
        <w:ind w:left="288"/>
      </w:pPr>
      <w:r>
        <w:t>Human verification: PRISM inserts an officer review step before finalized records are stored. AI output is therefore treated as draft intelligence/documentation requiring human verification rather than as an autonomous legal decision.</w:t>
      </w:r>
    </w:p>
    <w:p>
      <w:pPr>
        <w:pStyle w:val="ListBullet"/>
        <w:spacing w:after="40"/>
        <w:ind w:left="288"/>
      </w:pPr>
      <w:r>
        <w:t>Security as a first-class layer: The reviewed AI papers primarily focus on model or dataset performance. PRISM adds role-based access, encryption, hashing, audit logs and secure storage requirements to the application workflow.</w:t>
      </w:r>
    </w:p>
    <w:p>
      <w:pPr>
        <w:pStyle w:val="ListBullet"/>
        <w:spacing w:after="40"/>
        <w:ind w:left="288"/>
      </w:pPr>
      <w:r>
        <w:t>Evaluation discipline: PRISM should report separate experimental metrics for ASR, translation, entity extraction, latency, document accuracy and usability. A single combined “accuracy” score should not be claimed unless a transparent composite methodology is formally defined.</w:t>
      </w:r>
    </w:p>
    <w:p>
      <w:pPr>
        <w:pStyle w:val="Heading1"/>
      </w:pPr>
      <w:r>
        <w:t>7. Existing Research Approach vs. PRISM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456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Existing Research</w:t>
            </w:r>
          </w:p>
        </w:tc>
        <w:tc>
          <w:tcPr>
            <w:tcW w:type="dxa" w:w="3456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PRISM Proposed Model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Input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Speech datasets, text corpora, or legal documents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Live/recorded multilingual police speech and supporting investigation data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Core processing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Individual ASR, translation, speech benchmark or legal-NLP task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ASR → language/code-switch handling → translation → NLP extraction → document generation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Domain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General speech, translation or legal text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Police investigation and documentation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Output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Transcript, translation, benchmark result or extracted legal entities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Structured, editable and officer-verified investigation record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Human role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Annotation, benchmarking or system use varies by paper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Officer reviews, corrects and approves generated information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Usually outside the main model objective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RBAC, encryption, hashing, auditability and secure storage are integrated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Final purpose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Improve a specific AI capability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Create an operational end-to-end investigation support workflow</w:t>
            </w:r>
          </w:p>
        </w:tc>
      </w:tr>
    </w:tbl>
    <w:p>
      <w:pPr>
        <w:pStyle w:val="Heading1"/>
      </w:pPr>
      <w:r>
        <w:t>8. Recommended Evaluation Framework for PRISM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Acceptance Target</w:t>
            </w:r>
          </w:p>
        </w:tc>
        <w:tc>
          <w:tcPr>
            <w:tcW w:type="dxa" w:w="2592"/>
            <w:shd w:fill="173F6B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to Collect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ASR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WER / word-accuracy proxy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≥ 90% word-accuracy proxy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Held-out multilingual test set; language-wise WER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Code-switch handling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Code-switch recognition accuracy / segment F1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≥ 85%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Mixed-language test set; language-switch cases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Translation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BLEU / COMET or equivalent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≥ 85% normalized project target*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Reference translations; human review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NLP extraction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Precision / Recall / F1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≥ 85% F1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Annotated entities: person, place, date/time, event, evidence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Documentation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Field/document accuracy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≥ 90%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Compare generated structured record with verified record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Latency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Processing time / real-time factor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Near-real-time target for deployment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Audio duration vs. processing duration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Usability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Officer evaluation score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≥ 8/10 project target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Structured user study with task-based evaluation</w:t>
            </w:r>
          </w:p>
        </w:tc>
      </w:tr>
    </w:tbl>
    <w:p>
      <w:r>
        <w:rPr>
          <w:i/>
        </w:rPr>
        <w:t>*Translation target depends on the final evaluation metric and benchmark; it should not be compared numerically with WER or F1.</w:t>
      </w:r>
    </w:p>
    <w:p>
      <w:pPr>
        <w:pStyle w:val="Heading1"/>
      </w:pPr>
      <w:r>
        <w:t>9. Conclusion</w:t>
      </w:r>
    </w:p>
    <w:p>
      <w:r>
        <w:rPr>
          <w:b/>
        </w:rPr>
        <w:t xml:space="preserve">Comparative analysis conclusion: </w:t>
      </w:r>
      <w:r>
        <w:t>The literature provides mature research foundations for multilingual Indian speech recognition, code-switching, translation, speech datasets and legal entity extraction. PRISM’s proposed contribution is to combine these capabilities into a domain-specific, human-verified and security-aware police investigation workflow. The project should validate each module independently and then evaluate the complete pipeline using a controlled, authorized test set.</w:t>
      </w:r>
    </w:p>
    <w:p>
      <w:pPr>
        <w:pStyle w:val="Heading1"/>
      </w:pPr>
      <w:r>
        <w:t>10. References</w:t>
      </w:r>
    </w:p>
    <w:p>
      <w:pPr>
        <w:pStyle w:val="ListNumber"/>
        <w:spacing w:after="40"/>
      </w:pPr>
      <w:r>
        <w:t xml:space="preserve">[1] Javed et al. (2022), Towards Building ASR Systems for the Next Billion Users. </w:t>
      </w:r>
      <w:hyperlink r:id="rId12">
        <w:r>
          <w:rPr>
            <w:color w:val="0563C1"/>
            <w:u w:val="single"/>
            <w:sz w:val="20"/>
          </w:rPr>
          <w:t>https://ojs.aaai.org/index.php/AAAI/article/view/21327</w:t>
        </w:r>
      </w:hyperlink>
    </w:p>
    <w:p>
      <w:pPr>
        <w:pStyle w:val="ListNumber"/>
        <w:spacing w:after="40"/>
      </w:pPr>
      <w:r>
        <w:t xml:space="preserve">[2] Diwan et al. (2021), MUCS 2021: Multilingual and Code-Switching ASR Challenges for Low Resource Indian Languages. </w:t>
      </w:r>
      <w:hyperlink r:id="rId13">
        <w:r>
          <w:rPr>
            <w:color w:val="0563C1"/>
            <w:u w:val="single"/>
            <w:sz w:val="20"/>
          </w:rPr>
          <w:t>https://www.isca-archive.org/interspeech_2021/diwan21_interspeech.html</w:t>
        </w:r>
      </w:hyperlink>
    </w:p>
    <w:p>
      <w:pPr>
        <w:pStyle w:val="ListNumber"/>
        <w:spacing w:after="40"/>
      </w:pPr>
      <w:r>
        <w:t xml:space="preserve">[3] Chadha et al. (2022), Code Switched and Code Mixed Speech Recognition for Indic Languages. </w:t>
      </w:r>
      <w:hyperlink r:id="rId14">
        <w:r>
          <w:rPr>
            <w:color w:val="0563C1"/>
            <w:u w:val="single"/>
            <w:sz w:val="20"/>
          </w:rPr>
          <w:t>https://arxiv.org/abs/2203.16578</w:t>
        </w:r>
      </w:hyperlink>
    </w:p>
    <w:p>
      <w:pPr>
        <w:pStyle w:val="ListNumber"/>
        <w:spacing w:after="40"/>
      </w:pPr>
      <w:r>
        <w:t xml:space="preserve">[4] Javed et al. (2023), IndicSUPERB: A Speech Processing Universal Performance Benchmark for Indian Languages. </w:t>
      </w:r>
      <w:hyperlink r:id="rId15">
        <w:r>
          <w:rPr>
            <w:color w:val="0563C1"/>
            <w:u w:val="single"/>
            <w:sz w:val="20"/>
          </w:rPr>
          <w:t>https://ojs.aaai.org/index.php/AAAI/article/view/26521</w:t>
        </w:r>
      </w:hyperlink>
    </w:p>
    <w:p>
      <w:pPr>
        <w:pStyle w:val="ListNumber"/>
        <w:spacing w:after="40"/>
      </w:pPr>
      <w:r>
        <w:t xml:space="preserve">[5] Javed et al. (2023), Vistaar: Diverse Benchmarks and Training Sets for Indian Language ASR. </w:t>
      </w:r>
      <w:hyperlink r:id="rId16">
        <w:r>
          <w:rPr>
            <w:color w:val="0563C1"/>
            <w:u w:val="single"/>
            <w:sz w:val="20"/>
          </w:rPr>
          <w:t>https://github.com/AI4Bharat/vistaar</w:t>
        </w:r>
      </w:hyperlink>
    </w:p>
    <w:p>
      <w:pPr>
        <w:pStyle w:val="ListNumber"/>
        <w:spacing w:after="40"/>
      </w:pPr>
      <w:r>
        <w:t xml:space="preserve">[6] Bhogale et al. (2022), Effectiveness of Mining Audio and Text Pairs from Public Data for Improving ASR Systems for Low-Resource Languages. </w:t>
      </w:r>
      <w:hyperlink r:id="rId17">
        <w:r>
          <w:rPr>
            <w:color w:val="0563C1"/>
            <w:u w:val="single"/>
            <w:sz w:val="20"/>
          </w:rPr>
          <w:t>https://arxiv.org/abs/2208.12666</w:t>
        </w:r>
      </w:hyperlink>
    </w:p>
    <w:p>
      <w:pPr>
        <w:pStyle w:val="ListNumber"/>
        <w:spacing w:after="40"/>
      </w:pPr>
      <w:r>
        <w:t xml:space="preserve">[7] Javed et al. (2024), IndicVoices: Towards building an Inclusive Multilingual Speech Dataset for Indian Languages. </w:t>
      </w:r>
      <w:hyperlink r:id="rId18">
        <w:r>
          <w:rPr>
            <w:color w:val="0563C1"/>
            <w:u w:val="single"/>
            <w:sz w:val="20"/>
          </w:rPr>
          <w:t>https://aclanthology.org/2024.findings-acl.639/</w:t>
        </w:r>
      </w:hyperlink>
    </w:p>
    <w:p>
      <w:pPr>
        <w:pStyle w:val="ListNumber"/>
        <w:spacing w:after="40"/>
      </w:pPr>
      <w:r>
        <w:t xml:space="preserve">[8] Gala et al. (2023), IndicTrans2: Towards High-Quality and Accessible Machine Translation Models for all 22 Scheduled Indian Languages. </w:t>
      </w:r>
      <w:hyperlink r:id="rId19">
        <w:r>
          <w:rPr>
            <w:color w:val="0563C1"/>
            <w:u w:val="single"/>
            <w:sz w:val="20"/>
          </w:rPr>
          <w:t>https://arxiv.org/abs/2305.16307</w:t>
        </w:r>
      </w:hyperlink>
    </w:p>
    <w:p>
      <w:pPr>
        <w:pStyle w:val="ListNumber"/>
        <w:spacing w:after="40"/>
      </w:pPr>
      <w:r>
        <w:t xml:space="preserve">[9] Jain et al. (2024), BhasaAnuvaad: A Speech Translation Dataset for 13 Indian Languages. </w:t>
      </w:r>
      <w:hyperlink r:id="rId20">
        <w:r>
          <w:rPr>
            <w:color w:val="0563C1"/>
            <w:u w:val="single"/>
            <w:sz w:val="20"/>
          </w:rPr>
          <w:t>https://arxiv.org/abs/2411.04699</w:t>
        </w:r>
      </w:hyperlink>
    </w:p>
    <w:p>
      <w:pPr>
        <w:pStyle w:val="ListNumber"/>
        <w:spacing w:after="40"/>
      </w:pPr>
      <w:r>
        <w:t xml:space="preserve">[10] Kalamkar et al. (2022), Named Entity Recognition in Indian Court Judgments. </w:t>
      </w:r>
      <w:hyperlink r:id="rId21">
        <w:r>
          <w:rPr>
            <w:color w:val="0563C1"/>
            <w:u w:val="single"/>
            <w:sz w:val="20"/>
          </w:rPr>
          <w:t>https://aclanthology.org/2022.nllp-1.15/</w:t>
        </w:r>
      </w:hyperlink>
    </w:p>
    <w:sectPr w:rsidR="00FC693F" w:rsidRPr="0006063C" w:rsidSect="00034616">
      <w:footerReference w:type="default" r:id="rId2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PRISM | Comparative Analysis | Academic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7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0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ojs.aaai.org/index.php/AAAI/article/view/21327" TargetMode="External"/><Relationship Id="rId13" Type="http://schemas.openxmlformats.org/officeDocument/2006/relationships/hyperlink" Target="https://www.isca-archive.org/interspeech_2021/diwan21_interspeech.html" TargetMode="External"/><Relationship Id="rId14" Type="http://schemas.openxmlformats.org/officeDocument/2006/relationships/hyperlink" Target="https://arxiv.org/abs/2203.16578" TargetMode="External"/><Relationship Id="rId15" Type="http://schemas.openxmlformats.org/officeDocument/2006/relationships/hyperlink" Target="https://ojs.aaai.org/index.php/AAAI/article/view/26521" TargetMode="External"/><Relationship Id="rId16" Type="http://schemas.openxmlformats.org/officeDocument/2006/relationships/hyperlink" Target="https://github.com/AI4Bharat/vistaar" TargetMode="External"/><Relationship Id="rId17" Type="http://schemas.openxmlformats.org/officeDocument/2006/relationships/hyperlink" Target="https://arxiv.org/abs/2208.12666" TargetMode="External"/><Relationship Id="rId18" Type="http://schemas.openxmlformats.org/officeDocument/2006/relationships/hyperlink" Target="https://aclanthology.org/2024.findings-acl.639/" TargetMode="External"/><Relationship Id="rId19" Type="http://schemas.openxmlformats.org/officeDocument/2006/relationships/hyperlink" Target="https://arxiv.org/abs/2305.16307" TargetMode="External"/><Relationship Id="rId20" Type="http://schemas.openxmlformats.org/officeDocument/2006/relationships/hyperlink" Target="https://arxiv.org/abs/2411.04699" TargetMode="External"/><Relationship Id="rId21" Type="http://schemas.openxmlformats.org/officeDocument/2006/relationships/hyperlink" Target="https://aclanthology.org/2022.nllp-1.15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