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Description</w:t>
      </w:r>
      <w:r>
        <w:t xml:space="preserve"> </w:t>
      </w:r>
      <w:r>
        <w:t xml:space="preserve">of</w:t>
      </w:r>
      <w:r>
        <w:t xml:space="preserve"> </w:t>
      </w:r>
      <w:r>
        <w:t xml:space="preserve">the</w:t>
      </w:r>
      <w:r>
        <w:t xml:space="preserve"> </w:t>
      </w:r>
      <w:r>
        <w:t xml:space="preserve">IVI-RA</w:t>
      </w:r>
      <w:r>
        <w:t xml:space="preserve"> </w:t>
      </w:r>
      <w:r>
        <w:t xml:space="preserve">Model</w:t>
      </w:r>
      <w:r>
        <w:t xml:space="preserve"> </w:t>
      </w:r>
      <w:r>
        <w:t xml:space="preserve">v1.0</w:t>
      </w:r>
    </w:p>
    <w:p>
      <w:pPr>
        <w:pStyle w:val="Author"/>
      </w:pPr>
      <w:r>
        <w:t xml:space="preserve">Devin</w:t>
      </w:r>
      <w:r>
        <w:t xml:space="preserve"> </w:t>
      </w:r>
      <w:r>
        <w:t xml:space="preserve">Incerti</w:t>
      </w:r>
      <w:r>
        <w:rPr>
          <w:rStyle w:val="FootnoteReference"/>
        </w:rPr>
        <w:footnoteReference w:id="21"/>
      </w:r>
    </w:p>
    <w:p>
      <w:pPr>
        <w:pStyle w:val="Author"/>
      </w:pPr>
      <w:r>
        <w:t xml:space="preserve">Jeroen</w:t>
      </w:r>
      <w:r>
        <w:t xml:space="preserve"> </w:t>
      </w:r>
      <w:r>
        <w:t xml:space="preserve">P.</w:t>
      </w:r>
      <w:r>
        <w:t xml:space="preserve"> </w:t>
      </w:r>
      <w:r>
        <w:t xml:space="preserve">Jansen</w:t>
      </w:r>
    </w:p>
    <w:p>
      <w:pPr>
        <w:pStyle w:val="Heading1"/>
      </w:pPr>
      <w:bookmarkStart w:id="23" w:name="sec:executive-summary"/>
      <w:bookmarkEnd w:id="23"/>
      <w:r>
        <w:t xml:space="preserve">Executive summary</w:t>
      </w:r>
    </w:p>
    <w:p>
      <w:pPr>
        <w:pStyle w:val="Heading2"/>
      </w:pPr>
      <w:bookmarkStart w:id="24" w:name="the-open-source-value-project"/>
      <w:bookmarkEnd w:id="24"/>
      <w:r>
        <w:t xml:space="preserve">The Open-Source Value Project</w:t>
      </w:r>
    </w:p>
    <w:p>
      <w:pPr>
        <w:pStyle w:val="FirstParagraph"/>
      </w:pPr>
      <w:r>
        <w:t xml:space="preserve">This document describes version 1.0 of the</w:t>
      </w:r>
      <w:r>
        <w:t xml:space="preserve"> </w:t>
      </w:r>
      <w:hyperlink r:id="rId22">
        <w:r>
          <w:rPr>
            <w:rStyle w:val="Hyperlink"/>
          </w:rPr>
          <w:t xml:space="preserve">Innovation and Value Initiative’s (IVIs)</w:t>
        </w:r>
      </w:hyperlink>
      <w:r>
        <w:t xml:space="preserve"> </w:t>
      </w:r>
      <w:r>
        <w:t xml:space="preserve">individual patient simulation model for rheumatoid arthritis (RA) (the IVI-RA model). The IVI-RA model is part of IVIs Open Source Value Project (OSVP), which is is an open, collaborative, and consensus-based process for the development of tools for value assessment. Models developed under the OSVP process are iterative, evolving as the science of value assessment advances and as new evidence becomes available.</w:t>
      </w:r>
    </w:p>
    <w:p>
      <w:pPr>
        <w:pStyle w:val="BodyText"/>
      </w:pPr>
      <w:r>
        <w:t xml:space="preserve">Version 1.0 is IVIs first release of the IVI-RA model, and is designed to provide a starting point for open debate. As such, the model is very flexible and allows users to choose from a large number of the plausible model structures based on clinical practice and previous decision-analytic modeling for RA. To help increase understanding and facilitate debate, OSVP models are released along with the following:</w:t>
      </w:r>
    </w:p>
    <w:p>
      <w:pPr>
        <w:numPr>
          <w:numId w:val="1001"/>
          <w:ilvl w:val="0"/>
        </w:numPr>
      </w:pPr>
      <w:r>
        <w:t xml:space="preserve">Source code (on</w:t>
      </w:r>
      <w:r>
        <w:t xml:space="preserve"> </w:t>
      </w:r>
      <w:hyperlink r:id="rId25">
        <w:r>
          <w:rPr>
            <w:rStyle w:val="Hyperlink"/>
          </w:rPr>
          <w:t xml:space="preserve">GitHub</w:t>
        </w:r>
      </w:hyperlink>
      <w:r>
        <w:t xml:space="preserve">)</w:t>
      </w:r>
    </w:p>
    <w:p>
      <w:pPr>
        <w:numPr>
          <w:numId w:val="1001"/>
          <w:ilvl w:val="0"/>
        </w:numPr>
      </w:pPr>
      <w:r>
        <w:t xml:space="preserve">Code documentation</w:t>
      </w:r>
    </w:p>
    <w:p>
      <w:pPr>
        <w:numPr>
          <w:numId w:val="1001"/>
          <w:ilvl w:val="0"/>
        </w:numPr>
      </w:pPr>
      <w:r>
        <w:t xml:space="preserve">Model documentation</w:t>
      </w:r>
    </w:p>
    <w:p>
      <w:pPr>
        <w:numPr>
          <w:numId w:val="1001"/>
          <w:ilvl w:val="0"/>
        </w:numPr>
      </w:pPr>
      <w:r>
        <w:t xml:space="preserve">Web-based user interfaces</w:t>
      </w:r>
    </w:p>
    <w:p>
      <w:pPr>
        <w:pStyle w:val="FirstParagraph"/>
      </w:pPr>
      <w:r>
        <w:t xml:space="preserve">The IVI-RA model is released specifically as an</w:t>
      </w:r>
      <w:r>
        <w:t xml:space="preserve"> </w:t>
      </w:r>
      <w:hyperlink r:id="rId26"/>
      <w:r>
        <w:t xml:space="preserve"> </w:t>
      </w:r>
      <w:r>
        <w:t xml:space="preserve">package with documentation available</w:t>
      </w:r>
      <w:r>
        <w:t xml:space="preserve"> </w:t>
      </w:r>
      <w:hyperlink r:id="rId27">
        <w:r>
          <w:rPr>
            <w:rStyle w:val="Hyperlink"/>
          </w:rPr>
          <w:t xml:space="preserve">online</w:t>
        </w:r>
      </w:hyperlink>
      <w:r>
        <w:t xml:space="preserve">. Technical users can view the source code for the model, run the model using the R package, or even modify the original source code. This document contains technical documentation for the model including the model structure, statistical methods for parameter estimation, and source data. Finally, users may run the model online with our web-based user interfaces.</w:t>
      </w:r>
    </w:p>
    <w:p>
      <w:pPr>
        <w:pStyle w:val="BodyText"/>
      </w:pPr>
      <w:r>
        <w:t xml:space="preserve">Following version 1.0, each major release of an OSVP model (i.e., version 2.0) will occur following a three step process:</w:t>
      </w:r>
    </w:p>
    <w:p>
      <w:pPr>
        <w:numPr>
          <w:numId w:val="1002"/>
          <w:ilvl w:val="0"/>
        </w:numPr>
      </w:pPr>
      <w:r>
        <w:rPr>
          <w:b/>
        </w:rPr>
        <w:t xml:space="preserve">Public comment period</w:t>
      </w:r>
      <w:r>
        <w:t xml:space="preserve">: IVI will collect evidence-based suggestions for improvement.</w:t>
      </w:r>
    </w:p>
    <w:p>
      <w:pPr>
        <w:numPr>
          <w:numId w:val="1002"/>
          <w:ilvl w:val="0"/>
        </w:numPr>
      </w:pPr>
      <w:r>
        <w:rPr>
          <w:b/>
        </w:rPr>
        <w:t xml:space="preserve">Technical expert panel</w:t>
      </w:r>
      <w:r>
        <w:t xml:space="preserve">: IVI will collate the suggestions and a technical expert panel comprised of leading scientists in the field will determine which improvements should be incorporated into the next release of the model.</w:t>
      </w:r>
    </w:p>
    <w:p>
      <w:pPr>
        <w:numPr>
          <w:numId w:val="1002"/>
          <w:ilvl w:val="0"/>
        </w:numPr>
      </w:pPr>
      <w:r>
        <w:rPr>
          <w:b/>
        </w:rPr>
        <w:t xml:space="preserve">Model updates</w:t>
      </w:r>
      <w:r>
        <w:t xml:space="preserve">: Based on the feedback from the technical expert panel, IVI will update the GitHub source code, create a new version of the model documentation, and release a new version of the R package.</w:t>
      </w:r>
    </w:p>
    <w:p>
      <w:pPr>
        <w:pStyle w:val="FirstParagraph"/>
      </w:pPr>
      <w:r>
        <w:t xml:space="preserve">Over time, the number of model structures may shrink as IVI moves toward scientific consensus with the OSVP process. To be sure, the OSVP process will not eliminate all the variation in results of value assessment since perspectives on value will vary and disagreements about relevant clinical evidence may persist. But the consensus-based approach will allows users to better understand legitimate and intrinsic reasons why value estimates vary.</w:t>
      </w:r>
    </w:p>
    <w:p>
      <w:pPr>
        <w:pStyle w:val="Heading2"/>
      </w:pPr>
      <w:bookmarkStart w:id="28" w:name="guiding-principles"/>
      <w:bookmarkEnd w:id="28"/>
      <w:r>
        <w:t xml:space="preserve">Guiding principles</w:t>
      </w:r>
    </w:p>
    <w:p>
      <w:pPr>
        <w:pStyle w:val="FirstParagraph"/>
      </w:pPr>
      <w:r>
        <w:t xml:space="preserve">IVI aims to design models under the OSVP process that are:</w:t>
      </w:r>
    </w:p>
    <w:p>
      <w:pPr>
        <w:numPr>
          <w:numId w:val="1003"/>
          <w:ilvl w:val="0"/>
        </w:numPr>
      </w:pPr>
      <w:r>
        <w:rPr>
          <w:b/>
        </w:rPr>
        <w:t xml:space="preserve">Decision-focused:</w:t>
      </w:r>
      <w:r>
        <w:t xml:space="preserve"> </w:t>
      </w:r>
      <w:r>
        <w:t xml:space="preserve">Since there are always be gaps in the available evidence and the appropriate scientific assumptions, it is important to quantify uncertainty. OSVP models quantify parameter uncertainty using probabilistic sensitivity analysis (PSA) and quantify structural uncertainty by estimating value across a range of scientifically defensible model structures.</w:t>
      </w:r>
    </w:p>
    <w:p>
      <w:pPr>
        <w:numPr>
          <w:numId w:val="1003"/>
          <w:ilvl w:val="0"/>
        </w:numPr>
      </w:pPr>
      <w:r>
        <w:rPr>
          <w:b/>
        </w:rPr>
        <w:t xml:space="preserve">Patient-centered:</w:t>
      </w:r>
      <w:r>
        <w:t xml:space="preserve"> </w:t>
      </w:r>
      <w:r>
        <w:t xml:space="preserve">Models should capture differences in individual characteristics, preferences, circumstances, and response to treatment.</w:t>
      </w:r>
    </w:p>
    <w:p>
      <w:pPr>
        <w:numPr>
          <w:numId w:val="1003"/>
          <w:ilvl w:val="0"/>
        </w:numPr>
      </w:pPr>
      <w:r>
        <w:rPr>
          <w:b/>
        </w:rPr>
        <w:t xml:space="preserve">Adaptable:</w:t>
      </w:r>
      <w:r>
        <w:t xml:space="preserve"> </w:t>
      </w:r>
      <w:r>
        <w:t xml:space="preserve">Models should be flexible enough to meet the specific needs and perspectives of diverse different decision-makers including insurers, patients, providers, and policymakers. Analyses can be tailored to specific populations and estimated from multiple perspectives</w:t>
      </w:r>
      <w:r>
        <w:t xml:space="preserve"> </w:t>
      </w:r>
      <w:r>
        <w:t xml:space="preserve">(Sanders et al. 2016; Ioannidis and Garber 2011)</w:t>
      </w:r>
      <w:r>
        <w:t xml:space="preserve">.</w:t>
      </w:r>
    </w:p>
    <w:p>
      <w:pPr>
        <w:numPr>
          <w:numId w:val="1003"/>
          <w:ilvl w:val="0"/>
        </w:numPr>
      </w:pPr>
      <w:r>
        <w:rPr>
          <w:b/>
        </w:rPr>
        <w:t xml:space="preserve">Consensus-driven:</w:t>
      </w:r>
      <w:r>
        <w:t xml:space="preserve"> </w:t>
      </w:r>
      <w:r>
        <w:t xml:space="preserve">Models should reflects a range of scientifically defensible approaches. Potentially controversial elements are highlighted so that they can be debated and introduced as part of the OSVP process.</w:t>
      </w:r>
    </w:p>
    <w:p>
      <w:pPr>
        <w:pStyle w:val="FirstParagraph"/>
      </w:pPr>
      <w:r>
        <w:t xml:space="preserve">Toward these ends, the IVI-RA model incorporates:</w:t>
      </w:r>
    </w:p>
    <w:p>
      <w:pPr>
        <w:numPr>
          <w:numId w:val="1004"/>
          <w:ilvl w:val="0"/>
        </w:numPr>
      </w:pPr>
      <w:r>
        <w:rPr>
          <w:b/>
        </w:rPr>
        <w:t xml:space="preserve">Structural uncertainty:</w:t>
      </w:r>
      <w:r>
        <w:t xml:space="preserve"> </w:t>
      </w:r>
      <w:r>
        <w:t xml:space="preserve">The model includes 336 possible model structures that reflect different assumptions about the effect of treatment on morbidity, reasons for switching treatment, time on treatment, the progression of disease over time, and patient preferences.</w:t>
      </w:r>
    </w:p>
    <w:p>
      <w:pPr>
        <w:numPr>
          <w:numId w:val="1004"/>
          <w:ilvl w:val="0"/>
        </w:numPr>
      </w:pPr>
      <w:r>
        <w:rPr>
          <w:b/>
        </w:rPr>
        <w:t xml:space="preserve">Patient heterogeneity:</w:t>
      </w:r>
      <w:r>
        <w:t xml:space="preserve"> </w:t>
      </w:r>
      <w:r>
        <w:t xml:space="preserve">The progression of disease, mortality, and preferences for treatment vary according to individual characteristics.</w:t>
      </w:r>
    </w:p>
    <w:p>
      <w:pPr>
        <w:numPr>
          <w:numId w:val="1004"/>
          <w:ilvl w:val="0"/>
        </w:numPr>
      </w:pPr>
      <w:r>
        <w:rPr>
          <w:b/>
        </w:rPr>
        <w:t xml:space="preserve">Preferences for treatment attributes other than efficacy/safety</w:t>
      </w:r>
      <w:r>
        <w:t xml:space="preserve">: Most decision-analytic models capture preferences for living in particular disease states and from adverse events; the IVI-RA model incorporates preferences for other treatment attributes such as ease of use and time a medication has been on the market as well.</w:t>
      </w:r>
    </w:p>
    <w:p>
      <w:pPr>
        <w:numPr>
          <w:numId w:val="1004"/>
          <w:ilvl w:val="0"/>
        </w:numPr>
      </w:pPr>
      <w:r>
        <w:rPr>
          <w:b/>
        </w:rPr>
        <w:t xml:space="preserve">Subpopulation treatment effects:</w:t>
      </w:r>
      <w:r>
        <w:t xml:space="preserve"> </w:t>
      </w:r>
      <w:r>
        <w:t xml:space="preserve">Although current evidence is scarce, users can adapt the model so that treatment effects vary across patients (e.g., as a function of patient characteristics or prognostic factors).</w:t>
      </w:r>
    </w:p>
    <w:p>
      <w:pPr>
        <w:numPr>
          <w:numId w:val="1004"/>
          <w:ilvl w:val="0"/>
        </w:numPr>
      </w:pPr>
      <w:r>
        <w:rPr>
          <w:b/>
        </w:rPr>
        <w:t xml:space="preserve">The value of treatment to the healthy:</w:t>
      </w:r>
      <w:r>
        <w:t xml:space="preserve"> </w:t>
      </w:r>
      <w:r>
        <w:t xml:space="preserve">Conventional value assessments focus on value to the sick, but recent research provides a framework for valuing technology for the healthy (i.e.,</w:t>
      </w:r>
      <w:r>
        <w:t xml:space="preserve"> </w:t>
      </w:r>
      <w:r>
        <w:t xml:space="preserve">“</w:t>
      </w:r>
      <w:r>
        <w:t xml:space="preserve">insurance value</w:t>
      </w:r>
      <w:r>
        <w:t xml:space="preserve">”</w:t>
      </w:r>
      <w:r>
        <w:t xml:space="preserve">) as well</w:t>
      </w:r>
      <w:r>
        <w:t xml:space="preserve"> </w:t>
      </w:r>
      <w:r>
        <w:t xml:space="preserve">Lakdawalla, Malani, and Reif (2017)</w:t>
      </w:r>
      <w:r>
        <w:t xml:space="preserve">. The IVI-RA model allows users to optionally incorporate insurance value, but we note that it is less well established than conventional approaches.</w:t>
      </w:r>
    </w:p>
    <w:p>
      <w:pPr>
        <w:numPr>
          <w:numId w:val="1004"/>
          <w:ilvl w:val="0"/>
        </w:numPr>
      </w:pPr>
      <w:r>
        <w:rPr>
          <w:b/>
        </w:rPr>
        <w:t xml:space="preserve">Real-world evidence:</w:t>
      </w:r>
      <w:r>
        <w:t xml:space="preserve"> </w:t>
      </w:r>
      <w:r>
        <w:t xml:space="preserve">To ensure that simulated clinical and economic outcomes reflect outcomes in routine practice, we model</w:t>
      </w:r>
      <w:r>
        <w:t xml:space="preserve"> </w:t>
      </w:r>
      <w:r>
        <w:t xml:space="preserve">“</w:t>
      </w:r>
      <w:r>
        <w:t xml:space="preserve">baseline event rates</w:t>
      </w:r>
      <w:r>
        <w:t xml:space="preserve">”</w:t>
      </w:r>
      <w:r>
        <w:t xml:space="preserve"> </w:t>
      </w:r>
      <w:r>
        <w:t xml:space="preserve">(i.e., disease progression, mortality, time on treatment), patient preferences, and costs using real-world data. To minimize bias, relative treatment effects (i.e., differences in safety and efficacy across treatments) are, when possible, based on randomized clinical trials (RCTs), and then applied to the baseline event rates.</w:t>
      </w:r>
    </w:p>
    <w:p>
      <w:pPr>
        <w:pStyle w:val="Heading2"/>
      </w:pPr>
      <w:bookmarkStart w:id="29" w:name="value-assessment"/>
      <w:bookmarkEnd w:id="29"/>
      <w:r>
        <w:t xml:space="preserve">Value assessment</w:t>
      </w:r>
    </w:p>
    <w:p>
      <w:pPr>
        <w:pStyle w:val="FirstParagraph"/>
      </w:pPr>
      <w:r>
        <w:t xml:space="preserve">Cost-effectiveness analysis (CEA) is a well-established approach for value assessment grounded in economic theory and widely used in the scientific literature</w:t>
      </w:r>
      <w:r>
        <w:t xml:space="preserve"> </w:t>
      </w:r>
      <w:r>
        <w:t xml:space="preserve">(A. H. Briggs, Claxton, and Sculpher 2006; Meltzer, Smith, and others 2011; Drummond et al. 2015)</w:t>
      </w:r>
      <w:r>
        <w:t xml:space="preserve">. CEAs calculate cost per quality-adjusted life-years (QALYs) for a medical intervention relative to the previous standard of care and deem an intervention cost-effectiveness when total (incremental) benefits outweigh total (incremental) costs. Some researchers have suggested multiple-criteria decision analysis (MCDA) as an alternative to CEA</w:t>
      </w:r>
      <w:r>
        <w:t xml:space="preserve"> </w:t>
      </w:r>
      <w:r>
        <w:t xml:space="preserve">(Thokala and Duenas 2012)</w:t>
      </w:r>
      <w:r>
        <w:t xml:space="preserve">, although, like CEA, static versions of this framework are often limited by the fact that there is often significant disagreement on the relative value of different MCDA components depending on the perspective of the decision-maker.</w:t>
      </w:r>
    </w:p>
    <w:p>
      <w:pPr>
        <w:pStyle w:val="BodyText"/>
      </w:pPr>
      <w:r>
        <w:t xml:space="preserve">The IVI-RA model is not a value assessment framework but a model that simulates clinical and economic outcomes for each individual in the population of interest. It can therefore be used with any value framework preferred by the user. Currently, the web-based user interface supports both CEA and MCDA (where users can enter their own decision weights for each criterion). IVI has also developed an R package,</w:t>
      </w:r>
      <w:r>
        <w:t xml:space="preserve"> </w:t>
      </w:r>
      <w:r>
        <w:rPr>
          <w:rStyle w:val="VerbatimChar"/>
        </w:rPr>
        <w:t xml:space="preserve">hesim</w:t>
      </w:r>
      <w:r>
        <w:t xml:space="preserve">, for health-economic simulation modeling and decision analysis that can be used to perform individualized CEA</w:t>
      </w:r>
      <w:r>
        <w:t xml:space="preserve"> </w:t>
      </w:r>
      <w:r>
        <w:t xml:space="preserve">(Basu and Meltzer 2007; Ioannidis and Garber 2011; Espinoza et al. 2014)</w:t>
      </w:r>
      <w:r>
        <w:t xml:space="preserve"> </w:t>
      </w:r>
      <w:r>
        <w:t xml:space="preserve">on simulation output from the IVI-RA model.</w:t>
      </w:r>
    </w:p>
    <w:p>
      <w:pPr>
        <w:pStyle w:val="Heading2"/>
      </w:pPr>
      <w:bookmarkStart w:id="30" w:name="model-overview"/>
      <w:bookmarkEnd w:id="30"/>
      <w:r>
        <w:t xml:space="preserve">Model overview</w:t>
      </w:r>
    </w:p>
    <w:p>
      <w:pPr>
        <w:pStyle w:val="FirstParagraph"/>
      </w:pPr>
      <w:r>
        <w:t xml:space="preserve">The IVI-RA model is a discrete-time individual patient simulation that simulates clinical and economic outcomes for individual patients. Model cycles are 6-months long, which is consistent with clinical trial evidence. Parameter uncertainty is assessed using probabilistic sensitivity analysis (PSA) and structural uncertainty can by estimating value across the 336 possible model structures. The model simulates the progression of the health assessment questionnaire disability index (HAQ), a measure of functional status in RA.</w:t>
      </w:r>
    </w:p>
    <w:p>
      <w:pPr>
        <w:pStyle w:val="BodyText"/>
      </w:pPr>
      <w:r>
        <w:t xml:space="preserve">Serious infection rates and changes in HAQ score during the first 6 months from baseline are based on clinical trial evidence. The change in HAQ can be modeled indirectly as a function of the American College of Rheumatology (ACR) response to treatment, the European League Against Rheumatism (EULAR) response to treatment, or directly as a function of the treatment. Patients switch treatment during the initial 6 months if they have a serious infection. Additionally, the user can chose whether treatment switching should be based on disease activity level or treatment response.</w:t>
      </w:r>
    </w:p>
    <w:p>
      <w:pPr>
        <w:pStyle w:val="BodyText"/>
      </w:pPr>
      <w:r>
        <w:t xml:space="preserve">After the first 6 months on a new treatment, the HAQ score progresses over time at a rate based on observational data. Progression can either be assumed to be linear</w:t>
      </w:r>
      <w:r>
        <w:t xml:space="preserve"> </w:t>
      </w:r>
      <w:r>
        <w:t xml:space="preserve">(F. Wolfe and Michaud 2010; Michaud, Wallenstein, and Wolfe 2011)</w:t>
      </w:r>
      <w:r>
        <w:t xml:space="preserve"> </w:t>
      </w:r>
      <w:r>
        <w:t xml:space="preserve">or modeled using a non-linear mixture model</w:t>
      </w:r>
      <w:r>
        <w:t xml:space="preserve"> </w:t>
      </w:r>
      <w:r>
        <w:t xml:space="preserve">(Norton et al. 2014)</w:t>
      </w:r>
      <w:r>
        <w:t xml:space="preserve">.</w:t>
      </w:r>
    </w:p>
    <w:p>
      <w:pPr>
        <w:pStyle w:val="BodyText"/>
      </w:pPr>
      <w:r>
        <w:t xml:space="preserve">Patients remain on treatment until treatment discontinuation or death. Time to treatment discontinuation is based on parametric survival analyses of real-world data. Seven possible distributions can be chosen by the user. Male and female mortality is based on US lifetables and increases with the HAQ score at baseline and the change in the HAQ score from baseline.</w:t>
      </w:r>
    </w:p>
    <w:p>
      <w:pPr>
        <w:pStyle w:val="BodyText"/>
      </w:pPr>
      <w:r>
        <w:t xml:space="preserve">Health care sector costs consist of drug acquisition and administration costs, hospital costs (which increase with the HAQ score), general management costs, and costs caused by serious infections. Non-health care sector costs are those due to lost wages.</w:t>
      </w:r>
    </w:p>
    <w:p>
      <w:pPr>
        <w:pStyle w:val="BodyText"/>
      </w:pPr>
      <w:r>
        <w:t xml:space="preserve">Users wishing to calculate utility for CEA can map HAQ and individual characteristics to utility using the logistic regression algorithm of</w:t>
      </w:r>
      <w:r>
        <w:t xml:space="preserve"> </w:t>
      </w:r>
      <w:r>
        <w:t xml:space="preserve">A. Wailoo et al. (2006)</w:t>
      </w:r>
      <w:r>
        <w:t xml:space="preserve"> </w:t>
      </w:r>
      <w:r>
        <w:t xml:space="preserve">or the</w:t>
      </w:r>
      <w:r>
        <w:t xml:space="preserve"> </w:t>
      </w:r>
      <w:r>
        <w:t xml:space="preserve">M. H. Alava et al. (2013)</w:t>
      </w:r>
      <w:r>
        <w:t xml:space="preserve"> </w:t>
      </w:r>
      <w:r>
        <w:t xml:space="preserve">mixture model. Utility is calculated as a function of the HAQ and individual patient characteristic mapping, serious infections, and preferences for treatment attributes unrelated to safety and efficacy. QALYs combine life expectancy with per cycle utility.</w:t>
      </w:r>
    </w:p>
    <w:p>
      <w:pPr>
        <w:pStyle w:val="BodyText"/>
      </w:pPr>
      <w:r>
        <w:t xml:space="preserve">We have found that model outcomes are especially sensitive to certain parameters and model structures, which highlights the importance of a flexible and consensus-based model. Primary sources of uncertainty include:</w:t>
      </w:r>
    </w:p>
    <w:p>
      <w:pPr>
        <w:numPr>
          <w:numId w:val="1005"/>
          <w:ilvl w:val="0"/>
        </w:numPr>
      </w:pPr>
      <w:r>
        <w:t xml:space="preserve">The effect of treatment on the change in HAQ from baseline during the first 6 months of treatment</w:t>
      </w:r>
    </w:p>
    <w:p>
      <w:pPr>
        <w:numPr>
          <w:numId w:val="1005"/>
          <w:ilvl w:val="0"/>
        </w:numPr>
      </w:pPr>
      <w:r>
        <w:t xml:space="preserve">The longterm progression of HAQ</w:t>
      </w:r>
    </w:p>
    <w:p>
      <w:pPr>
        <w:numPr>
          <w:numId w:val="1005"/>
          <w:ilvl w:val="0"/>
        </w:numPr>
      </w:pPr>
      <w:r>
        <w:t xml:space="preserve">The reduction in treatment response after previous treatment failures</w:t>
      </w:r>
    </w:p>
    <w:p>
      <w:pPr>
        <w:numPr>
          <w:numId w:val="1005"/>
          <w:ilvl w:val="0"/>
        </w:numPr>
      </w:pPr>
      <w:r>
        <w:t xml:space="preserve">The extend to which the HAQ score</w:t>
      </w:r>
      <w:r>
        <w:t xml:space="preserve"> </w:t>
      </w:r>
      <w:r>
        <w:t xml:space="preserve">“</w:t>
      </w:r>
      <w:r>
        <w:t xml:space="preserve">rebounds</w:t>
      </w:r>
      <w:r>
        <w:t xml:space="preserve">”</w:t>
      </w:r>
      <w:r>
        <w:t xml:space="preserve"> </w:t>
      </w:r>
      <w:r>
        <w:t xml:space="preserve">to its initial level after failing treatment</w:t>
      </w:r>
    </w:p>
    <w:p>
      <w:pPr>
        <w:numPr>
          <w:numId w:val="1005"/>
          <w:ilvl w:val="0"/>
        </w:numPr>
      </w:pPr>
      <w:r>
        <w:t xml:space="preserve">Time on biologic treatment</w:t>
      </w:r>
    </w:p>
    <w:p>
      <w:pPr>
        <w:numPr>
          <w:numId w:val="1005"/>
          <w:ilvl w:val="0"/>
        </w:numPr>
      </w:pPr>
      <w:r>
        <w:t xml:space="preserve">The relationship between HAQ and quality of life</w:t>
      </w:r>
    </w:p>
    <w:p>
      <w:pPr>
        <w:pStyle w:val="Heading1"/>
      </w:pPr>
      <w:bookmarkStart w:id="31" w:name="sec:osvp"/>
      <w:bookmarkEnd w:id="31"/>
      <w:r>
        <w:t xml:space="preserve">Open-source consensus-based models for value assessment</w:t>
      </w:r>
    </w:p>
    <w:p>
      <w:pPr>
        <w:pStyle w:val="FirstParagraph"/>
      </w:pPr>
      <w:r>
        <w:t xml:space="preserve">The continuing increase in US healthcare costs has stimulated the introduction of initiatives to promote the use of high-value care. Decision-analytic models can be used to inform efficient use of health care resources, but are only relevant when deemed credible by different stakeholders, are representative of the local context and patient population, and can be easily updated without duplication of efforts.</w:t>
      </w:r>
    </w:p>
    <w:p>
      <w:pPr>
        <w:pStyle w:val="BodyText"/>
      </w:pPr>
      <w:r>
        <w:t xml:space="preserve">The nature of simulation modeling often leads to scientific disagreements and distrust among decision-makers. Models are typically complex and difficult to understand. Even modeling experts may not be able to fully understand a model without public source code and detailed model documentation. Furthermore, efforts to make models accessible to non-experts are lacking. Models also become quickly outdated as new evidence arises or new scientific approaches are developed, which means that previous finding quickly become irrelevant to decision-makers.</w:t>
      </w:r>
    </w:p>
    <w:p>
      <w:pPr>
        <w:pStyle w:val="BodyText"/>
      </w:pPr>
      <w:r>
        <w:t xml:space="preserve">The OSVP aims to increase understanding and relevance to diverse stakeholders by developing open-source consensus-based models. The hope is that these efforts can increase confidence in efforts to base reimbursement and policy decisions on value.</w:t>
      </w:r>
    </w:p>
    <w:p>
      <w:pPr>
        <w:pStyle w:val="BodyText"/>
      </w:pPr>
      <w:r>
        <w:t xml:space="preserve">OSVP models are released and updated following a four step process:</w:t>
      </w:r>
    </w:p>
    <w:p>
      <w:pPr>
        <w:numPr>
          <w:numId w:val="1006"/>
          <w:ilvl w:val="0"/>
        </w:numPr>
      </w:pPr>
      <w:r>
        <w:t xml:space="preserve">Develop an open-source flexible decision-analytic model reflecting a range of plausible modeling approaches based on clinical practice and previous scientific literature.</w:t>
      </w:r>
    </w:p>
    <w:p>
      <w:pPr>
        <w:numPr>
          <w:numId w:val="1006"/>
          <w:ilvl w:val="0"/>
        </w:numPr>
      </w:pPr>
      <w:r>
        <w:t xml:space="preserve">Invite feedback and suggested improvements to the model in a public comment period.</w:t>
      </w:r>
    </w:p>
    <w:p>
      <w:pPr>
        <w:numPr>
          <w:numId w:val="1006"/>
          <w:ilvl w:val="0"/>
        </w:numPr>
      </w:pPr>
      <w:r>
        <w:t xml:space="preserve">A panel of experts determines which of the evidence-based suggestions for improvement suggested in Step 2 should be implemented by means of peer-review and a formal voting process.</w:t>
      </w:r>
    </w:p>
    <w:p>
      <w:pPr>
        <w:numPr>
          <w:numId w:val="1006"/>
          <w:ilvl w:val="0"/>
        </w:numPr>
      </w:pPr>
      <w:r>
        <w:t xml:space="preserve">Revise the model based on the feedback from the technical expert panel in Step 3.</w:t>
      </w:r>
    </w:p>
    <w:p>
      <w:pPr>
        <w:pStyle w:val="FirstParagraph"/>
      </w:pPr>
      <w:r>
        <w:t xml:space="preserve">To provide a starting point for debate, the initial release of each OSVP model (i.e., version 1.0) must be flexible and allow users to choose from a large number of plausible model structures and approaches based on clinical practice and previous modeling efforts. The four-step process is designed to be repeated many times so that the scientific approach and evidence considered can be refined over time.</w:t>
      </w:r>
    </w:p>
    <w:p>
      <w:pPr>
        <w:pStyle w:val="BodyText"/>
      </w:pPr>
      <w:r>
        <w:t xml:space="preserve">To help increase understanding and accessibility, each version of an OSVP model is released with the following components:</w:t>
      </w:r>
    </w:p>
    <w:p>
      <w:pPr>
        <w:numPr>
          <w:numId w:val="1007"/>
          <w:ilvl w:val="0"/>
        </w:numPr>
      </w:pPr>
      <w:r>
        <w:t xml:space="preserve">Source code (on GitHub)</w:t>
      </w:r>
    </w:p>
    <w:p>
      <w:pPr>
        <w:numPr>
          <w:numId w:val="1007"/>
          <w:ilvl w:val="0"/>
        </w:numPr>
      </w:pPr>
      <w:r>
        <w:t xml:space="preserve">Code documentation</w:t>
      </w:r>
    </w:p>
    <w:p>
      <w:pPr>
        <w:numPr>
          <w:numId w:val="1007"/>
          <w:ilvl w:val="0"/>
        </w:numPr>
      </w:pPr>
      <w:r>
        <w:t xml:space="preserve">Model documentation</w:t>
      </w:r>
    </w:p>
    <w:p>
      <w:pPr>
        <w:numPr>
          <w:numId w:val="1007"/>
          <w:ilvl w:val="0"/>
        </w:numPr>
      </w:pPr>
      <w:r>
        <w:t xml:space="preserve">Web-based user interfaces</w:t>
      </w:r>
    </w:p>
    <w:p>
      <w:pPr>
        <w:pStyle w:val="FirstParagraph"/>
      </w:pPr>
      <w:r>
        <w:t xml:space="preserve">This document is an example of the model documentation, which will include details on the model structure, statistical methods for parameter estimation, and source data. The GitHub source code and code documentation are designed for researchers with programming experience. The code documentation provides tutorials and references to functions so that users can run the model. For example, the IVI-RA model is released as an package and can be run using the programming language (see for more details). Users can also modify the source code directly after</w:t>
      </w:r>
      <w:r>
        <w:t xml:space="preserve"> </w:t>
      </w:r>
      <w:r>
        <w:t xml:space="preserve">“</w:t>
      </w:r>
      <w:r>
        <w:t xml:space="preserve">cloning</w:t>
      </w:r>
      <w:r>
        <w:t xml:space="preserve">”</w:t>
      </w:r>
      <w:r>
        <w:t xml:space="preserve"> </w:t>
      </w:r>
      <w:r>
        <w:t xml:space="preserve">a GitHub repository, although a model version will not be considered an official IVI model unless the modifications were recommended by the technical expert panel.</w:t>
      </w:r>
    </w:p>
    <w:p>
      <w:pPr>
        <w:pStyle w:val="BodyText"/>
      </w:pPr>
      <w:r>
        <w:t xml:space="preserve">IVI develops web-based graphical user interfaces to make its models accessible to non-programmers. Stakeholders can modify the models (e.g., by changing the model structure, parameter values, time-horizon, discount factor, etc.) with a point and click interface. Users choose from a simpler interface in which some default values are preselected or a more flexible interface where nearly all model inputs can be modified.</w:t>
      </w:r>
    </w:p>
    <w:p>
      <w:pPr>
        <w:pStyle w:val="BodyText"/>
      </w:pPr>
      <w:r>
        <w:t xml:space="preserve">Researchers may collaborate with IVI in two primary ways. First, they can provide feedback during the public comment period. Second, programmers can make direct changes to the source code by making a</w:t>
      </w:r>
      <w:r>
        <w:t xml:space="preserve"> </w:t>
      </w:r>
      <w:r>
        <w:t xml:space="preserve">“</w:t>
      </w:r>
      <w:r>
        <w:t xml:space="preserve">pull request</w:t>
      </w:r>
      <w:r>
        <w:t xml:space="preserve">”</w:t>
      </w:r>
      <w:r>
        <w:t xml:space="preserve"> </w:t>
      </w:r>
      <w:r>
        <w:t xml:space="preserve">on GitHub. IVI will review the proposed changes. Code modifications that affect the scientific approach or evidence considered will only be incorporated after a review by the technical panel but other changes such as bug fixes or performance improvements may be immediately accepted.</w:t>
      </w:r>
    </w:p>
    <w:p>
      <w:pPr>
        <w:pStyle w:val="Heading1"/>
      </w:pPr>
      <w:bookmarkStart w:id="32" w:name="sec:overview-ra"/>
      <w:bookmarkEnd w:id="32"/>
      <w:r>
        <w:t xml:space="preserve">Overview of the IVI-RA model</w:t>
      </w:r>
    </w:p>
    <w:p>
      <w:pPr>
        <w:pStyle w:val="Heading2"/>
      </w:pPr>
      <w:bookmarkStart w:id="33" w:name="why-ivi-is-modeling-rheumatoid-arthritis"/>
      <w:bookmarkEnd w:id="33"/>
      <w:r>
        <w:t xml:space="preserve">Why IVI is modeling rheumatoid arthritis</w:t>
      </w:r>
    </w:p>
    <w:p>
      <w:pPr>
        <w:pStyle w:val="FirstParagraph"/>
      </w:pPr>
      <w:r>
        <w:t xml:space="preserve">Treatment for rheumatoid arthritis (RA) is well suited for the OSVP approach for three reasons. First, modeling methods and assumptions vary considerably across existing simulation models</w:t>
      </w:r>
      <w:r>
        <w:t xml:space="preserve"> </w:t>
      </w:r>
      <w:r>
        <w:t xml:space="preserve">(Brennan et al. 2003; Wailoo et al. 2008; Tosh et al. 2011; Carlson et al. 2015; Stephens et al. 2015; Athanasakis et al. 2015; M. Stevenson et al. 2016; Institute for Clinical and Economic Review 2017; M. D. Stevenson et al. 2017)</w:t>
      </w:r>
      <w:r>
        <w:t xml:space="preserve">. Predicting disease progression is complex and there are a number of different measures of treatment response and morbidity</w:t>
      </w:r>
      <w:r>
        <w:t xml:space="preserve"> </w:t>
      </w:r>
      <w:r>
        <w:t xml:space="preserve">(Madan et al. 2015)</w:t>
      </w:r>
      <w:r>
        <w:t xml:space="preserve">. Analyses have, not surprisingly, been performed using different modeling approaches and have reached different conclusions about the cost-effectiveness of treatments for RA.</w:t>
      </w:r>
    </w:p>
    <w:p>
      <w:pPr>
        <w:pStyle w:val="BodyText"/>
      </w:pPr>
      <w:r>
        <w:t xml:space="preserve">Second, RA is an area of significant innovation. There have been important advancements in the treatment of RA over the past decade, which suggests that there is an increasing need for tools to assess the cost-effectiveness of these treatments.</w:t>
      </w:r>
    </w:p>
    <w:p>
      <w:pPr>
        <w:pStyle w:val="BodyText"/>
      </w:pPr>
      <w:r>
        <w:t xml:space="preserve">Third, not only have new treatments come to market recently, but evidence on existing RA treatments is growing rapidly. Thus, there is a strong need for models that can be updated in a straightforward manner as the evidence base evolves.</w:t>
      </w:r>
    </w:p>
    <w:p>
      <w:pPr>
        <w:pStyle w:val="Heading2"/>
      </w:pPr>
      <w:bookmarkStart w:id="34" w:name="sec:software"/>
      <w:bookmarkEnd w:id="34"/>
      <w:r>
        <w:t xml:space="preserve">Software</w:t>
      </w:r>
    </w:p>
    <w:p>
      <w:pPr>
        <w:pStyle w:val="FirstParagraph"/>
      </w:pPr>
      <w:r>
        <w:t xml:space="preserve">The model is available as the</w:t>
      </w:r>
      <w:r>
        <w:t xml:space="preserve"> </w:t>
      </w:r>
      <w:r>
        <w:rPr>
          <w:rStyle w:val="VerbatimChar"/>
        </w:rPr>
        <w:t xml:space="preserve">iviRA</w:t>
      </w:r>
      <w:r>
        <w:t xml:space="preserve"> </w:t>
      </w:r>
      <w:hyperlink r:id="rId26"/>
      <w:r>
        <w:t xml:space="preserve"> </w:t>
      </w:r>
      <w:r>
        <w:t xml:space="preserve">package with documentation available</w:t>
      </w:r>
      <w:r>
        <w:t xml:space="preserve"> </w:t>
      </w:r>
      <w:hyperlink r:id="rId27">
        <w:r>
          <w:rPr>
            <w:rStyle w:val="Hyperlink"/>
          </w:rPr>
          <w:t xml:space="preserve">online</w:t>
        </w:r>
      </w:hyperlink>
      <w:r>
        <w:t xml:space="preserve">. The source code can be viewed or downloaded at our</w:t>
      </w:r>
      <w:r>
        <w:t xml:space="preserve"> </w:t>
      </w:r>
      <w:hyperlink r:id="rId35">
        <w:r>
          <w:rPr>
            <w:rStyle w:val="Hyperlink"/>
          </w:rPr>
          <w:t xml:space="preserve">GitHub repository</w:t>
        </w:r>
      </w:hyperlink>
      <w:r>
        <w:t xml:space="preserve">. The simulation was primarily written in</w:t>
      </w:r>
      <w:r>
        <w:t xml:space="preserve"> </w:t>
      </w:r>
      <w:r>
        <w:t xml:space="preserve">C</w:t>
      </w:r>
      <w:r>
        <w:rPr>
          <w:rStyle w:val="VerbatimChar"/>
        </w:rPr>
        <w:t xml:space="preserve">++</w:t>
      </w:r>
      <w:r>
        <w:t xml:space="preserve"> </w:t>
      </w:r>
      <w:r>
        <w:t xml:space="preserve">so that PSA and analyses of structural uncertainty can be run in a reasonable amount of time. The model can either be run using or</w:t>
      </w:r>
      <w:r>
        <w:t xml:space="preserve"> </w:t>
      </w:r>
      <w:hyperlink r:id="rId36">
        <w:r>
          <w:rPr>
            <w:rStyle w:val="Hyperlink"/>
          </w:rPr>
          <w:t xml:space="preserve">online</w:t>
        </w:r>
      </w:hyperlink>
      <w:r>
        <w:t xml:space="preserve"> </w:t>
      </w:r>
      <w:r>
        <w:t xml:space="preserve">with our</w:t>
      </w:r>
      <w:r>
        <w:t xml:space="preserve"> </w:t>
      </w:r>
      <w:hyperlink r:id="rId37">
        <w:r>
          <w:rPr>
            <w:rStyle w:val="Hyperlink"/>
          </w:rPr>
          <w:t xml:space="preserve">web-based user interface</w:t>
        </w:r>
      </w:hyperlink>
      <w:r>
        <w:t xml:space="preserve">.</w:t>
      </w:r>
    </w:p>
    <w:p>
      <w:pPr>
        <w:pStyle w:val="Heading2"/>
      </w:pPr>
      <w:bookmarkStart w:id="38" w:name="about-the-model"/>
      <w:bookmarkEnd w:id="38"/>
      <w:r>
        <w:t xml:space="preserve">About the model</w:t>
      </w:r>
    </w:p>
    <w:p>
      <w:pPr>
        <w:pStyle w:val="FirstParagraph"/>
      </w:pPr>
      <w:r>
        <w:t xml:space="preserve">The IVI-RA model is a discrete-time individual patient simulation (IPS) with 6 month cycles that simulates patients one at a time. The model accounts for both parameter and structural uncertainty. Since the range of defensible scientific approaches is large, the IVI-RA model consists of 336 possible model structures. Structural uncertainty can be quantified by estimating cost-effectiveness across these different model structures and parameter uncertainty is quantified using probabilistic sensitivity analysis (PSA).</w:t>
      </w:r>
    </w:p>
    <w:p>
      <w:pPr>
        <w:pStyle w:val="BodyText"/>
      </w:pPr>
      <w:r>
        <w:t xml:space="preserve">To ensure that simulated clinical and economic outcomes reflect outcomes in routine practice, we model</w:t>
      </w:r>
      <w:r>
        <w:t xml:space="preserve"> </w:t>
      </w:r>
      <w:r>
        <w:t xml:space="preserve">“</w:t>
      </w:r>
      <w:r>
        <w:t xml:space="preserve">baseline event rates</w:t>
      </w:r>
      <w:r>
        <w:t xml:space="preserve">”</w:t>
      </w:r>
      <w:r>
        <w:t xml:space="preserve"> </w:t>
      </w:r>
      <w:r>
        <w:t xml:space="preserve">(i.e., disease progression, mortality, time on treatment), patient preferences, and costs using real-world data. To minimize bias, relative treatment effects (i.e., differences in safety and efficacy across treatments) are, when possible, based on randomized clinical trials (RCTs), and then applied to the baseline event rates.</w:t>
      </w:r>
    </w:p>
    <w:p>
      <w:pPr>
        <w:pStyle w:val="BodyText"/>
      </w:pPr>
      <w:r>
        <w:t xml:space="preserve">The IPS approach allows us to take an</w:t>
      </w:r>
      <w:r>
        <w:t xml:space="preserve"> </w:t>
      </w:r>
      <w:r>
        <w:t xml:space="preserve">“</w:t>
      </w:r>
      <w:r>
        <w:t xml:space="preserve">individualized</w:t>
      </w:r>
      <w:r>
        <w:t xml:space="preserve">”</w:t>
      </w:r>
      <w:r>
        <w:t xml:space="preserve"> </w:t>
      </w:r>
      <w:r>
        <w:t xml:space="preserve">modeling approach that captures both observable and unobservable patient heterogeneity. Disease progression, mortality, and preferences all vary across patients. In addition, although the evidence base is limited, users of the package can model treatment effects as a function of any combination of patient characteristics (e.g., demographics, prognostic factors). (Note however that the user interface does not yet allow treatment effects to vary across patients due to the limited evidence.) Finally, the model incorporates preferences for treatment attributes unrelated to safety and efficacy.</w:t>
      </w:r>
    </w:p>
    <w:p>
      <w:pPr>
        <w:pStyle w:val="BodyText"/>
      </w:pPr>
      <w:r>
        <w:t xml:space="preserve">As recommended by the Second Panel on Cost-Effectiveness in Health and Medicine</w:t>
      </w:r>
      <w:r>
        <w:t xml:space="preserve"> </w:t>
      </w:r>
      <w:r>
        <w:t xml:space="preserve">(Sanders et al. 2016)</w:t>
      </w:r>
      <w:r>
        <w:t xml:space="preserve">, costs are simulated from both a health care sector perspective and a societal perspective. Productivity losses from lost earnings are included in the societal perspective but not the health care sector perspective. As discussed below (), our individualized approach implies that the model could also be tailored to fit the perspective of a patient or provider.</w:t>
      </w:r>
    </w:p>
    <w:p>
      <w:pPr>
        <w:pStyle w:val="Heading2"/>
      </w:pPr>
      <w:bookmarkStart w:id="39" w:name="sec:use-model"/>
      <w:bookmarkEnd w:id="39"/>
      <w:r>
        <w:t xml:space="preserve">Using the model</w:t>
      </w:r>
    </w:p>
    <w:p>
      <w:pPr>
        <w:pStyle w:val="FirstParagraph"/>
      </w:pPr>
      <w:r>
        <w:t xml:space="preserve">The model simulates clinical and economic outcomes for each individual in the population (see ), conditional on the intervention specified. As described in users can model any sequence of biologic treatments and conventional disease-modifying antirheumatic drugs (cDMARDs).</w:t>
      </w:r>
    </w:p>
    <w:p>
      <w:pPr>
        <w:pStyle w:val="BodyText"/>
      </w:pPr>
      <w:r>
        <w:t xml:space="preserve">The model can therefore be used for a number of purposes, conditional on the population of interest and the perspective of the decision maker. Here we describe a few possibilities.</w:t>
      </w:r>
    </w:p>
    <w:p>
      <w:pPr>
        <w:pStyle w:val="BodyText"/>
      </w:pPr>
      <w:r>
        <w:t xml:space="preserve">The first and most obvious use of the model is for value assessment. Two approaches, cost-effectiveness analysis (CEA) and multiple-criteria decision analysis (MCDA), are discussed in more detail in . Within the CEA approach, cost-effectiveness can be evaluated from the conventional perspective of a sick individual or from the perspective of a healthy individual using the</w:t>
      </w:r>
      <w:r>
        <w:t xml:space="preserve"> </w:t>
      </w:r>
      <w:r>
        <w:t xml:space="preserve">“</w:t>
      </w:r>
      <w:r>
        <w:t xml:space="preserve">insurance value</w:t>
      </w:r>
      <w:r>
        <w:t xml:space="preserve">”</w:t>
      </w:r>
      <w:r>
        <w:t xml:space="preserve"> </w:t>
      </w:r>
      <w:r>
        <w:t xml:space="preserve">framework developed by</w:t>
      </w:r>
      <w:r>
        <w:t xml:space="preserve"> </w:t>
      </w:r>
      <w:r>
        <w:t xml:space="preserve">Lakdawalla, Malani, and Reif (2017)</w:t>
      </w:r>
      <w:r>
        <w:t xml:space="preserve">.</w:t>
      </w:r>
    </w:p>
    <w:p>
      <w:pPr>
        <w:pStyle w:val="BodyText"/>
      </w:pPr>
      <w:r>
        <w:t xml:space="preserve">Second, the model can be used to evaluate the consequences of clinical guidelines such as the current treat-to-target guidelines in the US</w:t>
      </w:r>
      <w:r>
        <w:t xml:space="preserve"> </w:t>
      </w:r>
      <w:r>
        <w:t xml:space="preserve">(J. A. Singh et al. 2016)</w:t>
      </w:r>
      <w:r>
        <w:t xml:space="preserve"> </w:t>
      </w:r>
      <w:r>
        <w:t xml:space="preserve">or guidelines based on treatment response like in the UK</w:t>
      </w:r>
      <w:r>
        <w:t xml:space="preserve"> </w:t>
      </w:r>
      <w:r>
        <w:t xml:space="preserve">(Deighton et al. 2010)</w:t>
      </w:r>
      <w:r>
        <w:t xml:space="preserve">. Unlike most previous models, our flexible framework allows treatment switching decisions to depend on disease activity level or treatment response, so outcomes under different decision rules can be simulated.</w:t>
      </w:r>
    </w:p>
    <w:p>
      <w:pPr>
        <w:pStyle w:val="BodyText"/>
      </w:pPr>
      <w:r>
        <w:t xml:space="preserve">Third, the model can be used to predict longterm health and economic consequences for patients. The predicted outcomes could, for example, be used to inform patient and providers decision making. For instance,</w:t>
      </w:r>
      <w:r>
        <w:t xml:space="preserve"> </w:t>
      </w:r>
      <w:r>
        <w:t xml:space="preserve">Ioannidis and Garber (2011)</w:t>
      </w:r>
      <w:r>
        <w:t xml:space="preserve"> </w:t>
      </w:r>
      <w:r>
        <w:t xml:space="preserve">argue that cost-effectiveness has relevance to patients spending their own money on health care services, particularly as out-of-pocket costs grow. Likewise, providers have a growing interest in cost-effectiveness models to demonstrate the value of their care whether through participation in Accountable Care Organizations (ACOs), to ensure coverage of medical interventions for their patients, or to reduce unwanted variability in management.</w:t>
      </w:r>
    </w:p>
    <w:p>
      <w:pPr>
        <w:pStyle w:val="Heading1"/>
      </w:pPr>
      <w:bookmarkStart w:id="40" w:name="sec:value-assessment"/>
      <w:bookmarkEnd w:id="40"/>
      <w:r>
        <w:t xml:space="preserve">Value assessment</w:t>
      </w:r>
    </w:p>
    <w:p>
      <w:pPr>
        <w:pStyle w:val="FirstParagraph"/>
      </w:pPr>
      <w:r>
        <w:t xml:space="preserve">The IVI-RA model simulates clinical and economic outcomes for each individual in a given population of interest. Outcomes can be simulated over a particular time horizon or over a lifetime.</w:t>
      </w:r>
    </w:p>
    <w:p>
      <w:pPr>
        <w:pStyle w:val="BodyText"/>
      </w:pPr>
      <w:r>
        <w:t xml:space="preserve">Although simulation output can be used with any value assessment framework, IVI tools currently support two methodologies for decision analysis: CEA and MCDA. Cost-effectiveness results and MCDA value scores are automatically generated when users run IVIs web-based user interfaces. In addition, IVI has developed an R package,</w:t>
      </w:r>
      <w:r>
        <w:t xml:space="preserve"> </w:t>
      </w:r>
      <w:r>
        <w:rPr>
          <w:rStyle w:val="VerbatimChar"/>
        </w:rPr>
        <w:t xml:space="preserve">hesim</w:t>
      </w:r>
      <w:r>
        <w:t xml:space="preserve">, for health-economic simulation modeling and decision analysis that can be used to perform individualized CEA</w:t>
      </w:r>
      <w:r>
        <w:t xml:space="preserve"> </w:t>
      </w:r>
      <w:r>
        <w:t xml:space="preserve">(Basu and Meltzer 2007; Ioannidis and Garber 2011; Espinoza et al. 2014)</w:t>
      </w:r>
      <w:r>
        <w:t xml:space="preserve">.</w:t>
      </w:r>
    </w:p>
    <w:p>
      <w:pPr>
        <w:pStyle w:val="Heading2"/>
      </w:pPr>
      <w:bookmarkStart w:id="41" w:name="sec:cea"/>
      <w:bookmarkEnd w:id="41"/>
      <w:r>
        <w:t xml:space="preserve">Cost-effectiveness analysis</w:t>
      </w:r>
    </w:p>
    <w:p>
      <w:pPr>
        <w:pStyle w:val="FirstParagraph"/>
      </w:pPr>
      <w:r>
        <w:t xml:space="preserve">CEA is a well-established technique for health technology assessment grounded in economic theory</w:t>
      </w:r>
      <w:r>
        <w:t xml:space="preserve"> </w:t>
      </w:r>
      <w:r>
        <w:t xml:space="preserve">(Meltzer, Smith, and others 2011)</w:t>
      </w:r>
      <w:r>
        <w:t xml:space="preserve">. In general, CEA can be thought of as a methodology for maximizing health or well being subject to a resource constraint. The total value of a new health technology relative to a comparator is typically assessed using the incremental net monetary benefit (INMB),</w:t>
      </w:r>
    </w:p>
    <w:p>
      <w:pPr>
        <w:pStyle w:val="BodyText"/>
      </w:pPr>
      <m:oMathPara>
        <m:oMathParaPr>
          <m:jc m:val="center"/>
        </m:oMathParaPr>
        <m:oMath>
          <m:m>
            <m:mPr>
              <m:baseJc m:val="center"/>
              <m:plcHide m:val="1"/>
              <m:mcs>
                <m:mc>
                  <m:mcPr>
                    <m:mcJc m:val="right"/>
                    <m:count m:val="1"/>
                  </m:mcPr>
                </m:mc>
              </m:mcs>
            </m:mPr>
            <m:mr>
              <m:e>
                <m:r>
                  <m:t>I</m:t>
                </m:r>
                <m:r>
                  <m:t>N</m:t>
                </m:r>
                <m:r>
                  <m:t>M</m:t>
                </m:r>
                <m:r>
                  <m:t>B</m:t>
                </m:r>
                <m:r>
                  <m:t>=</m:t>
                </m:r>
                <m:r>
                  <m:t>k</m:t>
                </m:r>
                <m:r>
                  <m:t>⋅</m:t>
                </m:r>
                <m:r>
                  <m:t>Δ</m:t>
                </m:r>
                <m:r>
                  <m:t>e</m:t>
                </m:r>
                <m:r>
                  <m:t>−</m:t>
                </m:r>
                <m:r>
                  <m:t>Δ</m:t>
                </m:r>
                <m:r>
                  <m:t>p</m:t>
                </m:r>
                <m:r>
                  <m:t>,</m:t>
                </m:r>
              </m:e>
            </m:mr>
          </m:m>
        </m:oMath>
      </m:oMathPara>
    </w:p>
    <w:p>
      <w:pPr>
        <w:pStyle w:val="FirstParagraph"/>
      </w:pPr>
      <w:r>
        <w:t xml:space="preserve">where</w:t>
      </w:r>
      <w:r>
        <w:t xml:space="preserve"> </w:t>
      </w:r>
      <m:oMath>
        <m:r>
          <m:t>e</m:t>
        </m:r>
        <m:r>
          <m:t>=</m:t>
        </m:r>
        <m:sSub>
          <m:e>
            <m:r>
              <m:t>e</m:t>
            </m:r>
          </m:e>
          <m:sub>
            <m:r>
              <m:t>1</m:t>
            </m:r>
          </m:sub>
        </m:sSub>
        <m:r>
          <m:t>−</m:t>
        </m:r>
        <m:sSub>
          <m:e>
            <m:r>
              <m:t>e</m:t>
            </m:r>
          </m:e>
          <m:sub>
            <m:r>
              <m:t>0</m:t>
            </m:r>
          </m:sub>
        </m:sSub>
      </m:oMath>
      <w:r>
        <w:t xml:space="preserve"> </w:t>
      </w:r>
      <w:r>
        <w:t xml:space="preserve">is a measure of the incremental benefits or effects from the new technology relative to the comparator,</w:t>
      </w:r>
      <w:r>
        <w:t xml:space="preserve"> </w:t>
      </w:r>
      <m:oMath>
        <m:r>
          <m:t>p</m:t>
        </m:r>
        <m:r>
          <m:t>=</m:t>
        </m:r>
        <m:sSub>
          <m:e>
            <m:r>
              <m:t>p</m:t>
            </m:r>
          </m:e>
          <m:sub>
            <m:r>
              <m:t>1</m:t>
            </m:r>
          </m:sub>
        </m:sSub>
        <m:r>
          <m:t>−</m:t>
        </m:r>
        <m:sSub>
          <m:e>
            <m:r>
              <m:t>p</m:t>
            </m:r>
          </m:e>
          <m:sub>
            <m:r>
              <m:t>0</m:t>
            </m:r>
          </m:sub>
        </m:sSub>
      </m:oMath>
      <w:r>
        <w:t xml:space="preserve"> </w:t>
      </w:r>
      <w:r>
        <w:t xml:space="preserve">is a measure of the incremental cost of the new technology, and</w:t>
      </w:r>
      <w:r>
        <w:t xml:space="preserve"> </w:t>
      </w:r>
      <m:oMath>
        <m:r>
          <m:t>k</m:t>
        </m:r>
      </m:oMath>
      <w:r>
        <w:t xml:space="preserve"> </w:t>
      </w:r>
      <w:r>
        <w:t xml:space="preserve">is the willingness to pay for a one-unit health gain. The new technology can be deemed cost-effective if the</w:t>
      </w:r>
      <w:r>
        <w:t xml:space="preserve"> </w:t>
      </w:r>
      <m:oMath>
        <m:r>
          <m:t>I</m:t>
        </m:r>
        <m:r>
          <m:t>N</m:t>
        </m:r>
        <m:r>
          <m:t>M</m:t>
        </m:r>
        <m:r>
          <m:t>B</m:t>
        </m:r>
        <m:r>
          <m:t>&gt;</m:t>
        </m:r>
        <m:r>
          <m:t>0</m:t>
        </m:r>
      </m:oMath>
      <w:r>
        <w:t xml:space="preserve">, or equivalently, in terms of the incremental cost-effectiveness ratio (ICER), if,</w:t>
      </w:r>
    </w:p>
    <w:p>
      <w:pPr>
        <w:pStyle w:val="BodyText"/>
      </w:pPr>
      <m:oMathPara>
        <m:oMathParaPr>
          <m:jc m:val="center"/>
        </m:oMathParaPr>
        <m:oMath>
          <m:m>
            <m:mPr>
              <m:baseJc m:val="center"/>
              <m:plcHide m:val="1"/>
              <m:mcs>
                <m:mc>
                  <m:mcPr>
                    <m:mcJc m:val="right"/>
                    <m:count m:val="1"/>
                  </m:mcPr>
                </m:mc>
              </m:mcs>
            </m:mPr>
            <m:mr>
              <m:e>
                <m:f>
                  <m:fPr>
                    <m:type m:val="bar"/>
                  </m:fPr>
                  <m:num>
                    <m:r>
                      <m:t>Δ</m:t>
                    </m:r>
                    <m:r>
                      <m:t>p</m:t>
                    </m:r>
                  </m:num>
                  <m:den>
                    <m:r>
                      <m:t>Δ</m:t>
                    </m:r>
                    <m:r>
                      <m:t>e</m:t>
                    </m:r>
                  </m:den>
                </m:f>
                <m:r>
                  <m:t>&lt;</m:t>
                </m:r>
                <m:r>
                  <m:t>k</m:t>
                </m:r>
                <m:r>
                  <m:t>.</m:t>
                </m:r>
              </m:e>
            </m:mr>
          </m:m>
        </m:oMath>
      </m:oMathPara>
    </w:p>
    <w:p>
      <w:pPr>
        <w:pStyle w:val="FirstParagraph"/>
      </w:pPr>
      <w:r>
        <w:t xml:space="preserve">“</w:t>
      </w:r>
      <w:r>
        <w:t xml:space="preserve">Effects</w:t>
      </w:r>
      <w:r>
        <w:t xml:space="preserve">”</w:t>
      </w:r>
      <w:r>
        <w:t xml:space="preserve"> </w:t>
      </w:r>
      <w:r>
        <w:t xml:space="preserve">are measured in terms of health gains or patient well-being. Since treatments can effect both morbidity and mortality, CEAs typically use the quality-adjusted life-year (QALY). Since costs and effects vary across patients, some researchers have argued for individualized CEA</w:t>
      </w:r>
      <w:r>
        <w:t xml:space="preserve"> </w:t>
      </w:r>
      <w:r>
        <w:t xml:space="preserve">(Basu and Meltzer 2007; Ioannidis and Garber 2011; Espinoza et al. 2014)</w:t>
      </w:r>
      <w:r>
        <w:t xml:space="preserve"> </w:t>
      </w:r>
      <w:r>
        <w:t xml:space="preserve">so that INMBs and ICERs are calculated separately for different subpopulations. It can be shown that if treatment response varies across the population, then making separate decisions in different populations will increase social welfare</w:t>
      </w:r>
      <w:r>
        <w:t xml:space="preserve"> </w:t>
      </w:r>
      <w:r>
        <w:t xml:space="preserve">(Basu and Meltzer 2007)</w:t>
      </w:r>
      <w:r>
        <w:t xml:space="preserve">.</w:t>
      </w:r>
    </w:p>
    <w:p>
      <w:pPr>
        <w:pStyle w:val="BodyText"/>
      </w:pPr>
      <w:r>
        <w:t xml:space="preserve">In practice, costs and effects are subject to statistical uncertainty. We quantify this uncertainty using probabilistic sensitivity analysis (PSA) and structural uncertainty analysis, which is described in more detail in . This approach allows us to generate standard measures of uncertainty in CEA including cost-effectiveness planes, cost-effectiveness acceptability curves (CEACs), and estimates of the expected value of perfect information (EVPI).</w:t>
      </w:r>
    </w:p>
    <w:p>
      <w:pPr>
        <w:pStyle w:val="Heading2"/>
      </w:pPr>
      <w:bookmarkStart w:id="42" w:name="multiple-decision-criteria-analysis"/>
      <w:bookmarkEnd w:id="42"/>
      <w:r>
        <w:t xml:space="preserve">Multiple-decision criteria-analysis</w:t>
      </w:r>
    </w:p>
    <w:p>
      <w:pPr>
        <w:pStyle w:val="FirstParagraph"/>
      </w:pPr>
      <w:r>
        <w:t xml:space="preserve">An alternative approach to CEA is MCDA.</w:t>
      </w:r>
      <w:r>
        <w:t xml:space="preserve"> </w:t>
      </w:r>
      <w:r>
        <w:t xml:space="preserve">Keeney and Raiffa (1993)</w:t>
      </w:r>
      <w:r>
        <w:t xml:space="preserve"> </w:t>
      </w:r>
      <w:r>
        <w:t xml:space="preserve">define MCDA as</w:t>
      </w:r>
      <w:r>
        <w:t xml:space="preserve"> </w:t>
      </w:r>
      <w:r>
        <w:t xml:space="preserve">“</w:t>
      </w:r>
      <w:r>
        <w:t xml:space="preserve">an extension of decision theory that covers any decision with multiple objectives. A methodology for appraising alternatives on individual, often conflicting criteria, and combining them into one overall appraisal...</w:t>
      </w:r>
      <w:r>
        <w:t xml:space="preserve">”</w:t>
      </w:r>
      <w:r>
        <w:t xml:space="preserve"> </w:t>
      </w:r>
      <w:r>
        <w:t xml:space="preserve">We use a similar approach, which implies that separate criteria are aggregated into a single measure of value.</w:t>
      </w:r>
    </w:p>
    <w:p>
      <w:pPr>
        <w:pStyle w:val="BodyText"/>
      </w:pPr>
      <w:r>
        <w:t xml:space="preserve">MCDA is a complex topic and there are a number of different methodologies. Here, we discuss the approach used by IVI in the web-based user interface.</w:t>
      </w:r>
    </w:p>
    <w:p>
      <w:pPr>
        <w:pStyle w:val="BodyText"/>
      </w:pPr>
      <w:r>
        <w:t xml:space="preserve">In this context, decision makers (e.g., users of the user interface) must select the relevant criteria, which, in our context, refers to clinical or economic outcomes from the simulation. Since different criterion may be measured with different units, performance on each criterion is converted into a common scale, for instance, ranging from 0 to 100. There are a number of techniques for creating a common scale; we use a simple linear partial value function to translate scores, which assumes a linear relationship between performance on a given criterion and the standardized score.</w:t>
      </w:r>
    </w:p>
    <w:p>
      <w:pPr>
        <w:pStyle w:val="BodyText"/>
      </w:pPr>
      <w:r>
        <w:t xml:space="preserve">Each criterion is given points ranging from 0 to 100 by the decision maker, and weighted by dividing each criterion’s points by the sum of points across all criteria. For example, if there were 3 criteria and each criterion was given a score of 50, then each criterion would receive a weight of 1/3. If, on the other hand, the three criteria were given scores of 25, 50, and 75, then they would be given weights of .167, .33, and .5, respectively.</w:t>
      </w:r>
    </w:p>
    <w:p>
      <w:pPr>
        <w:pStyle w:val="BodyText"/>
      </w:pPr>
      <w:r>
        <w:t xml:space="preserve">To aggregate results, we assume an additive model. In other words, the total score for a given treatment sequence is calculated by multiplying each criterion by the simulated standardized score and summing across criteria.</w:t>
      </w:r>
    </w:p>
    <w:p>
      <w:pPr>
        <w:pStyle w:val="BodyText"/>
      </w:pPr>
      <w:r>
        <w:t xml:space="preserve">As with CEA, MCDA results are subject to statistical uncertainty. In the user interface, users choose a single model structure at a time, so uncertainty in MCDA outcomes is quantified using PSA. This produces a probability distribution around the simulated total score for each treatment sequence, which can be used to derive quantities of interest such as Bayesian credible intervals around the total score or the probability that each treatment sequence obtains a particular ranking among relevant treatment sequences.</w:t>
      </w:r>
    </w:p>
    <w:p>
      <w:pPr>
        <w:pStyle w:val="Heading1"/>
      </w:pPr>
      <w:bookmarkStart w:id="43" w:name="sec:braoder-value"/>
      <w:bookmarkEnd w:id="43"/>
      <w:r>
        <w:t xml:space="preserve">Broader concepts of value</w:t>
      </w:r>
    </w:p>
    <w:p>
      <w:pPr>
        <w:pStyle w:val="FirstParagraph"/>
      </w:pPr>
      <w:r>
        <w:t xml:space="preserve">Garrison, Kamal-Bahl, and Towse (2017)</w:t>
      </w:r>
      <w:r>
        <w:t xml:space="preserve"> </w:t>
      </w:r>
      <w:r>
        <w:t xml:space="preserve">suggest five concepts of value that researchers should consider adding to the standard cost per QALY based CEA: (1) a reduction in uncertainty from a diagnostic test; (2) insurance value for healthy patients due to reduction against physical risk; (3) the value of hope for individuals who become risk-loving and would rather pay for a therapy with a long right survival tail than a therapy with a shorter right survival tail but an equivalent (or shorter) expected life-expectancy; (4) real option value when a therapy allows an individual to benefit from future medical innovations; and (5) scientific spillovers when the benefits of an innovation cannot be entirely appropriated by the innovator.</w:t>
      </w:r>
    </w:p>
    <w:p>
      <w:pPr>
        <w:pStyle w:val="BodyText"/>
      </w:pPr>
      <w:r>
        <w:t xml:space="preserve">The concept that is arguably most salient to RA is insurance value, which focuses on valuing morbidity-reducing innovations and has the largest effects relative to conventional CEA on treatments for severe diseases where risks to consumers are the greatest. The IVI-RA model allows users to incorporate insurance value into their analyses, while noting that the approach is less well-established than conventional CEA.</w:t>
      </w:r>
    </w:p>
    <w:p>
      <w:pPr>
        <w:pStyle w:val="BodyText"/>
      </w:pPr>
      <w:r>
        <w:t xml:space="preserve">Lakdawalla, Malani, and Reif (2017)</w:t>
      </w:r>
      <w:r>
        <w:t xml:space="preserve"> </w:t>
      </w:r>
      <w:r>
        <w:t xml:space="preserve">provide a general framework for incorporating the effects of medical innovation on physical and financial risk. The general idea is that innovation can lower physical risk to healthy patients who might get sick in the future. And while innovation certainly increases financial risk, it can be mitigated by healthcare insurance.</w:t>
      </w:r>
    </w:p>
    <w:p>
      <w:pPr>
        <w:pStyle w:val="BodyText"/>
      </w:pPr>
      <w:r>
        <w:t xml:space="preserve">The insurance value framework is an extension of the conventional CEA approach from the perspective of a healthy individual deriving utility from non-health consumption,</w:t>
      </w:r>
      <w:r>
        <w:t xml:space="preserve"> </w:t>
      </w:r>
      <m:oMath>
        <m:r>
          <m:t>c</m:t>
        </m:r>
      </m:oMath>
      <w:r>
        <w:t xml:space="preserve"> </w:t>
      </w:r>
      <w:r>
        <w:t xml:space="preserve">and health,</w:t>
      </w:r>
      <w:r>
        <w:t xml:space="preserve"> </w:t>
      </w:r>
      <m:oMath>
        <m:r>
          <m:t>h</m:t>
        </m:r>
      </m:oMath>
      <w:r>
        <w:t xml:space="preserve">, according to</w:t>
      </w:r>
      <w:r>
        <w:t xml:space="preserve"> </w:t>
      </w:r>
      <m:oMath>
        <m:r>
          <m:t>u</m:t>
        </m:r>
        <m:r>
          <m:t>(</m:t>
        </m:r>
        <m:r>
          <m:t>c</m:t>
        </m:r>
        <m:r>
          <m:t>,</m:t>
        </m:r>
        <m:r>
          <m:t>h</m:t>
        </m:r>
        <m:r>
          <m:t>)</m:t>
        </m:r>
      </m:oMath>
      <w:r>
        <w:t xml:space="preserve">. The individual is sick with probability</w:t>
      </w:r>
      <w:r>
        <w:t xml:space="preserve"> </w:t>
      </w:r>
      <m:oMath>
        <m:r>
          <m:t>π</m:t>
        </m:r>
      </m:oMath>
      <w:r>
        <w:t xml:space="preserve"> </w:t>
      </w:r>
      <w:r>
        <w:t xml:space="preserve">and well with probability</w:t>
      </w:r>
      <w:r>
        <w:t xml:space="preserve"> </w:t>
      </w:r>
      <m:oMath>
        <m:r>
          <m:t>1</m:t>
        </m:r>
        <m:r>
          <m:t>−</m:t>
        </m:r>
        <m:r>
          <m:t>π</m:t>
        </m:r>
      </m:oMath>
      <w:r>
        <w:t xml:space="preserve">. Health when well is</w:t>
      </w:r>
      <w:r>
        <w:t xml:space="preserve"> </w:t>
      </w:r>
      <m:oMath>
        <m:sSup>
          <m:e>
            <m:r>
              <m:t>h</m:t>
            </m:r>
          </m:e>
          <m:sup>
            <m:r>
              <m:t>w</m:t>
            </m:r>
          </m:sup>
        </m:sSup>
      </m:oMath>
      <w:r>
        <w:t xml:space="preserve"> </w:t>
      </w:r>
      <w:r>
        <w:t xml:space="preserve">and health when sick is</w:t>
      </w:r>
      <w:r>
        <w:t xml:space="preserve"> </w:t>
      </w:r>
      <m:oMath>
        <m:sSup>
          <m:e>
            <m:r>
              <m:t>h</m:t>
            </m:r>
          </m:e>
          <m:sup>
            <m:r>
              <m:t>s</m:t>
            </m:r>
          </m:sup>
        </m:sSup>
        <m:r>
          <m:t>&lt;</m:t>
        </m:r>
        <m:sSup>
          <m:e>
            <m:r>
              <m:t>h</m:t>
            </m:r>
          </m:e>
          <m:sup>
            <m:r>
              <m:t>w</m:t>
            </m:r>
          </m:sup>
        </m:sSup>
      </m:oMath>
      <w:r>
        <w:t xml:space="preserve">. Income is</w:t>
      </w:r>
      <w:r>
        <w:t xml:space="preserve"> </w:t>
      </w:r>
      <m:oMath>
        <m:sSup>
          <m:e>
            <m:r>
              <m:t>y</m:t>
            </m:r>
          </m:e>
          <m:sup>
            <m:r>
              <m:t>w</m:t>
            </m:r>
          </m:sup>
        </m:sSup>
      </m:oMath>
      <w:r>
        <w:t xml:space="preserve"> </w:t>
      </w:r>
      <w:r>
        <w:t xml:space="preserve">when well and</w:t>
      </w:r>
      <w:r>
        <w:t xml:space="preserve"> </w:t>
      </w:r>
      <m:oMath>
        <m:sSup>
          <m:e>
            <m:r>
              <m:t>y</m:t>
            </m:r>
          </m:e>
          <m:sup>
            <m:r>
              <m:t>s</m:t>
            </m:r>
          </m:sup>
        </m:sSup>
        <m:r>
          <m:t>&lt;</m:t>
        </m:r>
        <m:sSup>
          <m:e>
            <m:r>
              <m:t>y</m:t>
            </m:r>
          </m:e>
          <m:sup>
            <m:r>
              <m:t>w</m:t>
            </m:r>
          </m:sup>
        </m:sSup>
      </m:oMath>
      <w:r>
        <w:t xml:space="preserve"> </w:t>
      </w:r>
      <w:r>
        <w:t xml:space="preserve">when sick. The marginal utility of good</w:t>
      </w:r>
      <w:r>
        <w:t xml:space="preserve"> </w:t>
      </w:r>
      <m:oMath>
        <m:r>
          <m:t>j</m:t>
        </m:r>
        <m:r>
          <m:t>∈</m:t>
        </m:r>
        <m:r>
          <m:t>c</m:t>
        </m:r>
        <m:r>
          <m:t>,</m:t>
        </m:r>
        <m:r>
          <m:t>h</m:t>
        </m:r>
      </m:oMath>
      <w:r>
        <w:t xml:space="preserve"> </w:t>
      </w:r>
      <w:r>
        <w:t xml:space="preserve">in state</w:t>
      </w:r>
      <w:r>
        <w:t xml:space="preserve"> </w:t>
      </w:r>
      <m:oMath>
        <m:r>
          <m:t>i</m:t>
        </m:r>
        <m:r>
          <m:t>∈</m:t>
        </m:r>
        <m:r>
          <m:t>s</m:t>
        </m:r>
        <m:r>
          <m:t>,</m:t>
        </m:r>
        <m:r>
          <m:t>w</m:t>
        </m:r>
      </m:oMath>
      <w:r>
        <w:t xml:space="preserve"> </w:t>
      </w:r>
      <w:r>
        <w:t xml:space="preserve">is denoted by</w:t>
      </w:r>
      <w:r>
        <w:t xml:space="preserve"> </w:t>
      </w:r>
      <m:oMath>
        <m:sSubSup>
          <m:e>
            <m:r>
              <m:t>u</m:t>
            </m:r>
          </m:e>
          <m:sub>
            <m:r>
              <m:t>j</m:t>
            </m:r>
          </m:sub>
          <m:sup>
            <m:r>
              <m:t>i</m:t>
            </m:r>
          </m:sup>
        </m:sSubSup>
      </m:oMath>
      <w:r>
        <w:t xml:space="preserve">.</w:t>
      </w:r>
    </w:p>
    <w:p>
      <w:pPr>
        <w:pStyle w:val="BodyText"/>
      </w:pPr>
      <w:r>
        <w:t xml:space="preserve">The value of a technology to a healthy consumer (with no health insurance),</w:t>
      </w:r>
      <w:r>
        <w:t xml:space="preserve"> </w:t>
      </w:r>
      <m:oMath>
        <m:sSup>
          <m:e>
            <m:r>
              <m:t>V</m:t>
            </m:r>
          </m:e>
          <m:sup>
            <m:r>
              <m:t>N</m:t>
            </m:r>
            <m:r>
              <m:t>H</m:t>
            </m:r>
            <m:r>
              <m:t>I</m:t>
            </m:r>
          </m:sup>
        </m:sSup>
      </m:oMath>
      <w:r>
        <w:t xml:space="preserve"> </w:t>
      </w:r>
      <w:r>
        <w:t xml:space="preserve">is derived implicitly by,</w:t>
      </w:r>
    </w:p>
    <w:p>
      <w:pPr>
        <w:pStyle w:val="BodyText"/>
      </w:pPr>
      <m:oMathPara>
        <m:oMathParaPr>
          <m:jc m:val="center"/>
        </m:oMathParaPr>
        <m:oMath>
          <m:m>
            <m:mPr>
              <m:baseJc m:val="center"/>
              <m:plcHide m:val="1"/>
              <m:mcs>
                <m:mc>
                  <m:mcPr>
                    <m:mcJc m:val="right"/>
                    <m:count m:val="1"/>
                  </m:mcPr>
                </m:mc>
              </m:mcs>
            </m:mPr>
            <m:mr>
              <m:e>
                <m:r>
                  <m:t>π</m:t>
                </m:r>
                <m:r>
                  <m:t>u</m:t>
                </m:r>
                <m:r>
                  <m:t>(</m:t>
                </m:r>
                <m:sSup>
                  <m:e>
                    <m:r>
                      <m:t>y</m:t>
                    </m:r>
                  </m:e>
                  <m:sup>
                    <m:r>
                      <m:t>s</m:t>
                    </m:r>
                  </m:sup>
                </m:sSup>
                <m:r>
                  <m:t>−</m:t>
                </m:r>
                <m:r>
                  <m:t>p</m:t>
                </m:r>
                <m:r>
                  <m:t>−</m:t>
                </m:r>
                <m:sSup>
                  <m:e>
                    <m:r>
                      <m:t>V</m:t>
                    </m:r>
                  </m:e>
                  <m:sup>
                    <m:r>
                      <m:t>N</m:t>
                    </m:r>
                    <m:r>
                      <m:t>H</m:t>
                    </m:r>
                    <m:r>
                      <m:t>I</m:t>
                    </m:r>
                  </m:sup>
                </m:sSup>
                <m:r>
                  <m:t>,</m:t>
                </m:r>
                <m:sSup>
                  <m:e>
                    <m:r>
                      <m:t>h</m:t>
                    </m:r>
                  </m:e>
                  <m:sup>
                    <m:r>
                      <m:t>s</m:t>
                    </m:r>
                  </m:sup>
                </m:sSup>
                <m:r>
                  <m:t>+</m:t>
                </m:r>
                <m:r>
                  <m:t>δ</m:t>
                </m:r>
                <m:r>
                  <m:t>h</m:t>
                </m:r>
                <m:r>
                  <m:t>)</m:t>
                </m:r>
                <m:r>
                  <m:t>+</m:t>
                </m:r>
                <m:r>
                  <m:t>(</m:t>
                </m:r>
                <m:r>
                  <m:t>1</m:t>
                </m:r>
                <m:r>
                  <m:t>−</m:t>
                </m:r>
                <m:r>
                  <m:t>π</m:t>
                </m:r>
                <m:r>
                  <m:t>)</m:t>
                </m:r>
                <m:r>
                  <m:t>u</m:t>
                </m:r>
                <m:d>
                  <m:dPr>
                    <m:begChr m:val="("/>
                    <m:endChr m:val=")"/>
                    <m:grow/>
                  </m:dPr>
                  <m:e>
                    <m:sSup>
                      <m:e>
                        <m:r>
                          <m:t>y</m:t>
                        </m:r>
                      </m:e>
                      <m:sup>
                        <m:r>
                          <m:t>w</m:t>
                        </m:r>
                      </m:sup>
                    </m:sSup>
                    <m:r>
                      <m:t>−</m:t>
                    </m:r>
                    <m:sSup>
                      <m:e>
                        <m:r>
                          <m:t>V</m:t>
                        </m:r>
                      </m:e>
                      <m:sup>
                        <m:r>
                          <m:t>N</m:t>
                        </m:r>
                        <m:r>
                          <m:t>H</m:t>
                        </m:r>
                        <m:r>
                          <m:t>I</m:t>
                        </m:r>
                      </m:sup>
                    </m:sSup>
                    <m:r>
                      <m:t>,</m:t>
                    </m:r>
                    <m:sSup>
                      <m:e>
                        <m:r>
                          <m:t>h</m:t>
                        </m:r>
                      </m:e>
                      <m:sup>
                        <m:r>
                          <m:t>w</m:t>
                        </m:r>
                      </m:sup>
                    </m:sSup>
                  </m:e>
                </m:d>
                <m:r>
                  <m:t>=</m:t>
                </m:r>
                <m:r>
                  <m:t>π</m:t>
                </m:r>
                <m:r>
                  <m:t>u</m:t>
                </m:r>
                <m:r>
                  <m:t>(</m:t>
                </m:r>
                <m:sSup>
                  <m:e>
                    <m:r>
                      <m:t>y</m:t>
                    </m:r>
                  </m:e>
                  <m:sup>
                    <m:r>
                      <m:t>s</m:t>
                    </m:r>
                  </m:sup>
                </m:sSup>
                <m:r>
                  <m:t>,</m:t>
                </m:r>
                <m:sSup>
                  <m:e>
                    <m:r>
                      <m:t>h</m:t>
                    </m:r>
                  </m:e>
                  <m:sup>
                    <m:r>
                      <m:t>s</m:t>
                    </m:r>
                  </m:sup>
                </m:sSup>
                <m:r>
                  <m:t>)</m:t>
                </m:r>
                <m:r>
                  <m:t>+</m:t>
                </m:r>
                <m:r>
                  <m:t>(</m:t>
                </m:r>
                <m:r>
                  <m:t>1</m:t>
                </m:r>
                <m:r>
                  <m:t>−</m:t>
                </m:r>
                <m:r>
                  <m:t>π</m:t>
                </m:r>
                <m:r>
                  <m:t>)</m:t>
                </m:r>
                <m:r>
                  <m:t>u</m:t>
                </m:r>
                <m:r>
                  <m:t>(</m:t>
                </m:r>
                <m:sSup>
                  <m:e>
                    <m:r>
                      <m:t>y</m:t>
                    </m:r>
                  </m:e>
                  <m:sup>
                    <m:r>
                      <m:t>w</m:t>
                    </m:r>
                  </m:sup>
                </m:sSup>
                <m:r>
                  <m:t>,</m:t>
                </m:r>
                <m:sSup>
                  <m:e>
                    <m:r>
                      <m:t>h</m:t>
                    </m:r>
                  </m:e>
                  <m:sup>
                    <m:r>
                      <m:t>w</m:t>
                    </m:r>
                  </m:sup>
                </m:sSup>
                <m:r>
                  <m:t>)</m:t>
                </m:r>
                <m:r>
                  <m:t>.</m:t>
                </m:r>
              </m:e>
            </m:mr>
          </m:m>
        </m:oMath>
      </m:oMathPara>
    </w:p>
    <w:p>
      <w:pPr>
        <w:pStyle w:val="FirstParagraph"/>
      </w:pPr>
      <w:r>
        <w:t xml:space="preserve">The marginal value of the technology,</w:t>
      </w:r>
      <w:r>
        <w:t xml:space="preserve"> </w:t>
      </w:r>
      <m:oMath>
        <m:r>
          <m:t>d</m:t>
        </m:r>
        <m:sSup>
          <m:e>
            <m:r>
              <m:t>V</m:t>
            </m:r>
          </m:e>
          <m:sup>
            <m:r>
              <m:t>N</m:t>
            </m:r>
            <m:r>
              <m:t>H</m:t>
            </m:r>
            <m:r>
              <m:t>I</m:t>
            </m:r>
          </m:sup>
        </m:sSup>
      </m:oMath>
      <w:r>
        <w:t xml:space="preserve">, can be shown to be,</w:t>
      </w:r>
    </w:p>
    <w:p>
      <w:pPr>
        <w:pStyle w:val="BodyText"/>
      </w:pPr>
      <m:oMathPara>
        <m:oMathParaPr>
          <m:jc m:val="center"/>
        </m:oMathParaPr>
        <m:oMath>
          <m:m>
            <m:mPr>
              <m:baseJc m:val="center"/>
              <m:plcHide m:val="1"/>
              <m:mcs>
                <m:mc>
                  <m:mcPr>
                    <m:mcJc m:val="right"/>
                    <m:count m:val="1"/>
                  </m:mcPr>
                </m:mc>
                <m:mc>
                  <m:mcPr>
                    <m:mcJc m:val="left"/>
                    <m:count m:val="1"/>
                  </m:mcPr>
                </m:mc>
              </m:mcs>
            </m:mPr>
            <m:mr>
              <m:e>
                <m:r>
                  <m:t>d</m:t>
                </m:r>
                <m:sSup>
                  <m:e>
                    <m:r>
                      <m:t>V</m:t>
                    </m:r>
                  </m:e>
                  <m:sup>
                    <m:r>
                      <m:t>N</m:t>
                    </m:r>
                    <m:r>
                      <m:t>H</m:t>
                    </m:r>
                    <m:r>
                      <m:t>I</m:t>
                    </m:r>
                  </m:sup>
                </m:sSup>
              </m:e>
              <m:e>
                <m:r>
                  <m:t>=</m:t>
                </m:r>
                <m:r>
                  <m:t>π</m:t>
                </m:r>
                <m:r>
                  <m:t>(</m:t>
                </m:r>
                <m:r>
                  <m:t>k</m:t>
                </m:r>
                <m:r>
                  <m:t>⋅</m:t>
                </m:r>
                <m:r>
                  <m:t>d</m:t>
                </m:r>
                <m:r>
                  <m:t>h</m:t>
                </m:r>
                <m:r>
                  <m:t>−</m:t>
                </m:r>
                <m:r>
                  <m:t>d</m:t>
                </m:r>
                <m:r>
                  <m:t>p</m:t>
                </m:r>
                <m:r>
                  <m:t>)</m:t>
                </m:r>
                <m:r>
                  <m:t>+</m:t>
                </m:r>
                <m:r>
                  <m:t>π</m:t>
                </m:r>
                <m:r>
                  <m:t>(</m:t>
                </m:r>
                <m:r>
                  <m:t>1</m:t>
                </m:r>
                <m:r>
                  <m:t>−</m:t>
                </m:r>
                <m:r>
                  <m:t>π</m:t>
                </m:r>
                <m:r>
                  <m:t>)</m:t>
                </m:r>
                <m:r>
                  <m:t>(</m:t>
                </m:r>
                <m:r>
                  <m:t>k</m:t>
                </m:r>
                <m:r>
                  <m:t>⋅</m:t>
                </m:r>
                <m:r>
                  <m:t>d</m:t>
                </m:r>
                <m:r>
                  <m:t>h</m:t>
                </m:r>
                <m:r>
                  <m:t>−</m:t>
                </m:r>
                <m:r>
                  <m:t>d</m:t>
                </m:r>
                <m:r>
                  <m:t>p</m:t>
                </m:r>
                <m:r>
                  <m:t>)</m:t>
                </m:r>
                <m:d>
                  <m:dPr>
                    <m:begChr m:val="("/>
                    <m:endChr m:val=")"/>
                    <m:grow/>
                  </m:dPr>
                  <m:e>
                    <m:f>
                      <m:fPr>
                        <m:type m:val="bar"/>
                      </m:fPr>
                      <m:num>
                        <m:sSubSup>
                          <m:e>
                            <m:r>
                              <m:t>u</m:t>
                            </m:r>
                          </m:e>
                          <m:sub>
                            <m:r>
                              <m:t>c</m:t>
                            </m:r>
                          </m:sub>
                          <m:sup>
                            <m:r>
                              <m:t>s</m:t>
                            </m:r>
                          </m:sup>
                        </m:sSubSup>
                        <m:r>
                          <m:t>−</m:t>
                        </m:r>
                        <m:sSubSup>
                          <m:e>
                            <m:r>
                              <m:t>u</m:t>
                            </m:r>
                          </m:e>
                          <m:sub>
                            <m:r>
                              <m:t>c</m:t>
                            </m:r>
                          </m:sub>
                          <m:sup>
                            <m:r>
                              <m:t>w</m:t>
                            </m:r>
                          </m:sup>
                        </m:sSubSup>
                      </m:num>
                      <m:den>
                        <m:r>
                          <m:t>π</m:t>
                        </m:r>
                        <m:sSubSup>
                          <m:e>
                            <m:r>
                              <m:t>u</m:t>
                            </m:r>
                          </m:e>
                          <m:sub>
                            <m:r>
                              <m:t>c</m:t>
                            </m:r>
                          </m:sub>
                          <m:sup>
                            <m:r>
                              <m:t>s</m:t>
                            </m:r>
                          </m:sup>
                        </m:sSubSup>
                        <m:r>
                          <m:t>+</m:t>
                        </m:r>
                        <m:r>
                          <m:t>(</m:t>
                        </m:r>
                        <m:r>
                          <m:t>1</m:t>
                        </m:r>
                        <m:r>
                          <m:t>−</m:t>
                        </m:r>
                        <m:r>
                          <m:t>π</m:t>
                        </m:r>
                        <m:r>
                          <m:t>)</m:t>
                        </m:r>
                        <m:sSubSup>
                          <m:e>
                            <m:r>
                              <m:t>u</m:t>
                            </m:r>
                          </m:e>
                          <m:sub>
                            <m:r>
                              <m:t>c</m:t>
                            </m:r>
                          </m:sub>
                          <m:sup>
                            <m:r>
                              <m:t>w</m:t>
                            </m:r>
                          </m:sup>
                        </m:sSubSup>
                      </m:den>
                    </m:f>
                  </m:e>
                </m:d>
              </m:e>
            </m:mr>
            <m:mr>
              <m:e/>
              <m:e>
                <m:r>
                  <m:t>=</m:t>
                </m:r>
                <m:d>
                  <m:dPr>
                    <m:begChr m:val="["/>
                    <m:endChr m:val="]"/>
                    <m:grow/>
                  </m:dPr>
                  <m:e>
                    <m:limLow>
                      <m:e>
                        <m:limLow>
                          <m:e>
                            <m:r>
                              <m:t>k</m:t>
                            </m:r>
                            <m:r>
                              <m:t>⋅</m:t>
                            </m:r>
                            <m:r>
                              <m:t>d</m:t>
                            </m:r>
                            <m:r>
                              <m:t>h</m:t>
                            </m:r>
                            <m:r>
                              <m:t>−</m:t>
                            </m:r>
                            <m:r>
                              <m:t>d</m:t>
                            </m:r>
                            <m:r>
                              <m:t>p</m:t>
                            </m:r>
                          </m:e>
                          <m:lim>
                            <m:r>
                              <m:t>⏟</m:t>
                            </m:r>
                          </m:lim>
                        </m:limLow>
                      </m:e>
                      <m:lim>
                        <m:r>
                          <m:t>I</m:t>
                        </m:r>
                        <m:r>
                          <m:t>N</m:t>
                        </m:r>
                        <m:r>
                          <m:t>M</m:t>
                        </m:r>
                        <m:r>
                          <m:t>B</m:t>
                        </m:r>
                      </m:lim>
                    </m:limLow>
                  </m:e>
                </m:d>
                <m:d>
                  <m:dPr>
                    <m:begChr m:val="["/>
                    <m:endChr m:val="]"/>
                    <m:grow/>
                  </m:dPr>
                  <m:e>
                    <m:r>
                      <m:t>π</m:t>
                    </m:r>
                    <m:r>
                      <m:t>+</m:t>
                    </m:r>
                    <m:r>
                      <m:t>π</m:t>
                    </m:r>
                    <m:r>
                      <m:t>(</m:t>
                    </m:r>
                    <m:r>
                      <m:t>1</m:t>
                    </m:r>
                    <m:r>
                      <m:t>−</m:t>
                    </m:r>
                    <m:r>
                      <m:t>π</m:t>
                    </m:r>
                    <m:r>
                      <m:t>)</m:t>
                    </m:r>
                    <m:d>
                      <m:dPr>
                        <m:begChr m:val="("/>
                        <m:endChr m:val=")"/>
                        <m:grow/>
                      </m:dPr>
                      <m:e>
                        <m:f>
                          <m:fPr>
                            <m:type m:val="bar"/>
                          </m:fPr>
                          <m:num>
                            <m:sSubSup>
                              <m:e>
                                <m:r>
                                  <m:t>u</m:t>
                                </m:r>
                              </m:e>
                              <m:sub>
                                <m:r>
                                  <m:t>c</m:t>
                                </m:r>
                              </m:sub>
                              <m:sup>
                                <m:r>
                                  <m:t>s</m:t>
                                </m:r>
                              </m:sup>
                            </m:sSubSup>
                            <m:r>
                              <m:t>/</m:t>
                            </m:r>
                            <m:sSubSup>
                              <m:e>
                                <m:r>
                                  <m:t>u</m:t>
                                </m:r>
                              </m:e>
                              <m:sub>
                                <m:r>
                                  <m:t>c</m:t>
                                </m:r>
                              </m:sub>
                              <m:sup>
                                <m:r>
                                  <m:t>w</m:t>
                                </m:r>
                              </m:sup>
                            </m:sSubSup>
                            <m:r>
                              <m:t>−</m:t>
                            </m:r>
                            <m:r>
                              <m:t>1</m:t>
                            </m:r>
                          </m:num>
                          <m:den>
                            <m:r>
                              <m:t>π</m:t>
                            </m:r>
                            <m:sSubSup>
                              <m:e>
                                <m:r>
                                  <m:t>u</m:t>
                                </m:r>
                              </m:e>
                              <m:sub>
                                <m:r>
                                  <m:t>c</m:t>
                                </m:r>
                              </m:sub>
                              <m:sup>
                                <m:r>
                                  <m:t>s</m:t>
                                </m:r>
                              </m:sup>
                            </m:sSubSup>
                            <m:r>
                              <m:t>/</m:t>
                            </m:r>
                            <m:sSubSup>
                              <m:e>
                                <m:r>
                                  <m:t>u</m:t>
                                </m:r>
                              </m:e>
                              <m:sub>
                                <m:r>
                                  <m:t>c</m:t>
                                </m:r>
                              </m:sub>
                              <m:sup>
                                <m:r>
                                  <m:t>w</m:t>
                                </m:r>
                              </m:sup>
                            </m:sSubSup>
                            <m:r>
                              <m:t>+</m:t>
                            </m:r>
                            <m:r>
                              <m:t>1</m:t>
                            </m:r>
                            <m:r>
                              <m:t>−</m:t>
                            </m:r>
                            <m:r>
                              <m:t>π</m:t>
                            </m:r>
                          </m:den>
                        </m:f>
                      </m:e>
                    </m:d>
                  </m:e>
                </m:d>
                <m:r>
                  <m:t>,</m:t>
                </m:r>
              </m:e>
            </m:mr>
          </m:m>
        </m:oMath>
      </m:oMathPara>
    </w:p>
    <w:p>
      <w:pPr>
        <w:pStyle w:val="FirstParagraph"/>
      </w:pPr>
      <w:r>
        <w:t xml:space="preserve">where</w:t>
      </w:r>
      <w:r>
        <w:t xml:space="preserve"> </w:t>
      </w:r>
      <m:oMath>
        <m:r>
          <m:t>k</m:t>
        </m:r>
        <m:r>
          <m:t>=</m:t>
        </m:r>
        <m:r>
          <m:t>∂</m:t>
        </m:r>
        <m:sSubSup>
          <m:e>
            <m:r>
              <m:t>u</m:t>
            </m:r>
          </m:e>
          <m:sub>
            <m:r>
              <m:t>h</m:t>
            </m:r>
          </m:sub>
          <m:sup>
            <m:r>
              <m:t>s</m:t>
            </m:r>
          </m:sup>
        </m:sSubSup>
        <m:r>
          <m:t>/</m:t>
        </m:r>
        <m:r>
          <m:t>∂</m:t>
        </m:r>
        <m:sSubSup>
          <m:e>
            <m:r>
              <m:t>u</m:t>
            </m:r>
          </m:e>
          <m:sub>
            <m:r>
              <m:t>c</m:t>
            </m:r>
          </m:sub>
          <m:sup>
            <m:r>
              <m:t>s</m:t>
            </m:r>
          </m:sup>
        </m:sSubSup>
      </m:oMath>
      <w:r>
        <w:t xml:space="preserve"> </w:t>
      </w:r>
      <w:r>
        <w:t xml:space="preserve">is the marginal value of a one unit health gain in dollar terms,</w:t>
      </w:r>
      <w:r>
        <w:t xml:space="preserve"> </w:t>
      </w:r>
      <m:oMath>
        <m:r>
          <m:t>d</m:t>
        </m:r>
        <m:r>
          <m:t>h</m:t>
        </m:r>
      </m:oMath>
      <w:r>
        <w:t xml:space="preserve"> </w:t>
      </w:r>
      <w:r>
        <w:t xml:space="preserve">is the marginal health gain from the technology, and</w:t>
      </w:r>
      <w:r>
        <w:t xml:space="preserve"> </w:t>
      </w:r>
      <m:oMath>
        <m:r>
          <m:t>d</m:t>
        </m:r>
        <m:r>
          <m:t>p</m:t>
        </m:r>
      </m:oMath>
      <w:r>
        <w:t xml:space="preserve"> </w:t>
      </w:r>
      <w:r>
        <w:t xml:space="preserve">is the marginal cost of the technology. The term</w:t>
      </w:r>
      <w:r>
        <w:t xml:space="preserve"> </w:t>
      </w:r>
      <m:oMath>
        <m:r>
          <m:t>k</m:t>
        </m:r>
        <m:r>
          <m:t>⋅</m:t>
        </m:r>
        <m:r>
          <m:t>d</m:t>
        </m:r>
        <m:r>
          <m:t>h</m:t>
        </m:r>
        <m:r>
          <m:t>−</m:t>
        </m:r>
        <m:r>
          <m:t>d</m:t>
        </m:r>
        <m:r>
          <m:t>p</m:t>
        </m:r>
      </m:oMath>
      <w:r>
        <w:t xml:space="preserve"> </w:t>
      </w:r>
      <w:r>
        <w:t xml:space="preserve">is equivalent to the INMB in conventional CEA. The insurance value framework can therefore be implemented with knowledge of only two additional parameters beyond those in conventional CEA: the probability of illness,</w:t>
      </w:r>
      <w:r>
        <w:t xml:space="preserve"> </w:t>
      </w:r>
      <m:oMath>
        <m:r>
          <m:t>π</m:t>
        </m:r>
      </m:oMath>
      <w:r>
        <w:t xml:space="preserve">, and the marginal rate of substitution between the sick and the well states,</w:t>
      </w:r>
      <w:r>
        <w:t xml:space="preserve"> </w:t>
      </w:r>
      <m:oMath>
        <m:sSubSup>
          <m:e>
            <m:r>
              <m:t>u</m:t>
            </m:r>
          </m:e>
          <m:sub>
            <m:r>
              <m:t>c</m:t>
            </m:r>
          </m:sub>
          <m:sup>
            <m:r>
              <m:t>s</m:t>
            </m:r>
          </m:sup>
        </m:sSubSup>
        <m:r>
          <m:t>/</m:t>
        </m:r>
        <m:sSubSup>
          <m:e>
            <m:r>
              <m:t>u</m:t>
            </m:r>
          </m:e>
          <m:sub>
            <m:r>
              <m:t>c</m:t>
            </m:r>
          </m:sub>
          <m:sup>
            <m:r>
              <m:t>w</m:t>
            </m:r>
          </m:sup>
        </m:sSubSup>
      </m:oMath>
      <w:r>
        <w:t xml:space="preserve">.</w:t>
      </w:r>
    </w:p>
    <w:p>
      <w:pPr>
        <w:pStyle w:val="BodyText"/>
      </w:pPr>
      <w:r>
        <w:t xml:space="preserve">The probability of illness can be estimated using incidence of disease in the population of interest (e.g., in the RA population). The second term,</w:t>
      </w:r>
      <w:r>
        <w:t xml:space="preserve"> </w:t>
      </w:r>
      <m:oMath>
        <m:sSubSup>
          <m:e>
            <m:r>
              <m:t>u</m:t>
            </m:r>
          </m:e>
          <m:sub>
            <m:r>
              <m:t>c</m:t>
            </m:r>
          </m:sub>
          <m:sup>
            <m:r>
              <m:t>s</m:t>
            </m:r>
          </m:sup>
        </m:sSubSup>
        <m:r>
          <m:t>/</m:t>
        </m:r>
        <m:sSubSup>
          <m:e>
            <m:r>
              <m:t>u</m:t>
            </m:r>
          </m:e>
          <m:sub>
            <m:r>
              <m:t>c</m:t>
            </m:r>
          </m:sub>
          <m:sup>
            <m:r>
              <m:t>w</m:t>
            </m:r>
          </m:sup>
        </m:sSubSup>
      </m:oMath>
      <w:r>
        <w:t xml:space="preserve">, is harder to estimate, but we allows users to specify it directly in our model and web-based user interfaces.</w:t>
      </w:r>
    </w:p>
    <w:p>
      <w:pPr>
        <w:pStyle w:val="BodyText"/>
      </w:pPr>
      <w:r>
        <w:t xml:space="preserve">It is worth emphasizing that insurance value is only larger than conventional value if the marginal utility of consumption in the sick state is greater than the marginal utility of consumption in the healthy state (i.e.,</w:t>
      </w:r>
      <w:r>
        <w:t xml:space="preserve"> </w:t>
      </w:r>
      <m:oMath>
        <m:sSubSup>
          <m:e>
            <m:r>
              <m:t>u</m:t>
            </m:r>
          </m:e>
          <m:sub>
            <m:r>
              <m:t>c</m:t>
            </m:r>
          </m:sub>
          <m:sup>
            <m:r>
              <m:t>s</m:t>
            </m:r>
          </m:sup>
        </m:sSubSup>
        <m:r>
          <m:t>/</m:t>
        </m:r>
        <m:sSubSup>
          <m:e>
            <m:r>
              <m:t>u</m:t>
            </m:r>
          </m:e>
          <m:sub>
            <m:r>
              <m:t>c</m:t>
            </m:r>
          </m:sub>
          <m:sup>
            <m:r>
              <m:t>w</m:t>
            </m:r>
          </m:sup>
        </m:sSubSup>
        <m:r>
          <m:t>&gt;</m:t>
        </m:r>
        <m:r>
          <m:t>1</m:t>
        </m:r>
      </m:oMath>
      <w:r>
        <w:t xml:space="preserve">). A second interpretation of</w:t>
      </w:r>
      <w:r>
        <w:t xml:space="preserve"> </w:t>
      </w:r>
      <m:oMath>
        <m:sSubSup>
          <m:e>
            <m:r>
              <m:t>u</m:t>
            </m:r>
          </m:e>
          <m:sub>
            <m:r>
              <m:t>c</m:t>
            </m:r>
          </m:sub>
          <m:sup>
            <m:r>
              <m:t>s</m:t>
            </m:r>
          </m:sup>
        </m:sSubSup>
        <m:r>
          <m:t>/</m:t>
        </m:r>
        <m:sSubSup>
          <m:e>
            <m:r>
              <m:t>u</m:t>
            </m:r>
          </m:e>
          <m:sub>
            <m:r>
              <m:t>c</m:t>
            </m:r>
          </m:sub>
          <m:sup>
            <m:r>
              <m:t>w</m:t>
            </m:r>
          </m:sup>
        </m:sSubSup>
      </m:oMath>
      <w:r>
        <w:t xml:space="preserve"> </w:t>
      </w:r>
      <w:r>
        <w:t xml:space="preserve">shows that there are empirical reasons for this to be the case. In particular, it can be thought of as the value of one dollar of health insurance coverage, which implies that if demand for health insurance is positive, then</w:t>
      </w:r>
      <w:r>
        <w:t xml:space="preserve"> </w:t>
      </w:r>
      <m:oMath>
        <m:sSubSup>
          <m:e>
            <m:r>
              <m:t>u</m:t>
            </m:r>
          </m:e>
          <m:sub>
            <m:r>
              <m:t>c</m:t>
            </m:r>
          </m:sub>
          <m:sup>
            <m:r>
              <m:t>s</m:t>
            </m:r>
          </m:sup>
        </m:sSubSup>
        <m:r>
          <m:t>/</m:t>
        </m:r>
        <m:sSubSup>
          <m:e>
            <m:r>
              <m:t>u</m:t>
            </m:r>
          </m:e>
          <m:sub>
            <m:r>
              <m:t>c</m:t>
            </m:r>
          </m:sub>
          <m:sup>
            <m:r>
              <m:t>w</m:t>
            </m:r>
          </m:sup>
        </m:sSubSup>
        <m:r>
          <m:t>&gt;</m:t>
        </m:r>
        <m:r>
          <m:t>1</m:t>
        </m:r>
      </m:oMath>
      <w:r>
        <w:t xml:space="preserve">.</w:t>
      </w:r>
    </w:p>
    <w:p>
      <w:pPr>
        <w:pStyle w:val="BodyText"/>
      </w:pPr>
      <w:r>
        <w:t xml:space="preserve">The difference between the insurance value of a technology and its conventional value is even larger when individuals can purchase health insurance. For example, consider an actuarially fair insurance contract that pays the consumer I(p) when she falls sick. In this case, the insurance value of a health technology can be shown to be:</w:t>
      </w:r>
    </w:p>
    <w:p>
      <w:pPr>
        <w:pStyle w:val="BodyText"/>
      </w:pPr>
      <m:oMathPara>
        <m:oMathParaPr>
          <m:jc m:val="center"/>
        </m:oMathParaPr>
        <m:oMath>
          <m:m>
            <m:mPr>
              <m:baseJc m:val="center"/>
              <m:plcHide m:val="1"/>
              <m:mcs>
                <m:mc>
                  <m:mcPr>
                    <m:mcJc m:val="right"/>
                    <m:count m:val="1"/>
                  </m:mcPr>
                </m:mc>
                <m:mc>
                  <m:mcPr>
                    <m:mcJc m:val="left"/>
                    <m:count m:val="1"/>
                  </m:mcPr>
                </m:mc>
              </m:mcs>
            </m:mPr>
            <m:mr>
              <m:e>
                <m:r>
                  <m:t>d</m:t>
                </m:r>
                <m:sSup>
                  <m:e>
                    <m:r>
                      <m:t>V</m:t>
                    </m:r>
                  </m:e>
                  <m:sup>
                    <m:r>
                      <m:t>W</m:t>
                    </m:r>
                    <m:r>
                      <m:t>H</m:t>
                    </m:r>
                    <m:r>
                      <m:t>I</m:t>
                    </m:r>
                  </m:sup>
                </m:sSup>
              </m:e>
              <m:e>
                <m:r>
                  <m:t>=</m:t>
                </m:r>
                <m:r>
                  <m:t>d</m:t>
                </m:r>
                <m:sSup>
                  <m:e>
                    <m:r>
                      <m:t>V</m:t>
                    </m:r>
                  </m:e>
                  <m:sup>
                    <m:r>
                      <m:t>N</m:t>
                    </m:r>
                    <m:r>
                      <m:t>H</m:t>
                    </m:r>
                    <m:r>
                      <m:t>I</m:t>
                    </m:r>
                  </m:sup>
                </m:sSup>
                <m:r>
                  <m:t>+</m:t>
                </m:r>
                <m:r>
                  <m:t>π</m:t>
                </m:r>
                <m:r>
                  <m:t>(</m:t>
                </m:r>
                <m:r>
                  <m:t>1</m:t>
                </m:r>
                <m:r>
                  <m:t>−</m:t>
                </m:r>
                <m:r>
                  <m:t>π</m:t>
                </m:r>
                <m:r>
                  <m:t>)</m:t>
                </m:r>
                <m:d>
                  <m:dPr>
                    <m:begChr m:val="("/>
                    <m:endChr m:val=")"/>
                    <m:grow/>
                  </m:dPr>
                  <m:e>
                    <m:f>
                      <m:fPr>
                        <m:type m:val="bar"/>
                      </m:fPr>
                      <m:num>
                        <m:sSubSup>
                          <m:e>
                            <m:r>
                              <m:t>u</m:t>
                            </m:r>
                          </m:e>
                          <m:sub>
                            <m:r>
                              <m:t>c</m:t>
                            </m:r>
                          </m:sub>
                          <m:sup>
                            <m:r>
                              <m:t>s</m:t>
                            </m:r>
                          </m:sup>
                        </m:sSubSup>
                        <m:r>
                          <m:t>/</m:t>
                        </m:r>
                        <m:sSubSup>
                          <m:e>
                            <m:r>
                              <m:t>u</m:t>
                            </m:r>
                          </m:e>
                          <m:sub>
                            <m:r>
                              <m:t>c</m:t>
                            </m:r>
                          </m:sub>
                          <m:sup>
                            <m:r>
                              <m:t>w</m:t>
                            </m:r>
                          </m:sup>
                        </m:sSubSup>
                        <m:r>
                          <m:t>−</m:t>
                        </m:r>
                        <m:r>
                          <m:t>1</m:t>
                        </m:r>
                      </m:num>
                      <m:den>
                        <m:r>
                          <m:t>π</m:t>
                        </m:r>
                        <m:sSubSup>
                          <m:e>
                            <m:r>
                              <m:t>u</m:t>
                            </m:r>
                          </m:e>
                          <m:sub>
                            <m:r>
                              <m:t>c</m:t>
                            </m:r>
                          </m:sub>
                          <m:sup>
                            <m:r>
                              <m:t>s</m:t>
                            </m:r>
                          </m:sup>
                        </m:sSubSup>
                        <m:r>
                          <m:t>/</m:t>
                        </m:r>
                        <m:sSubSup>
                          <m:e>
                            <m:r>
                              <m:t>u</m:t>
                            </m:r>
                          </m:e>
                          <m:sub>
                            <m:r>
                              <m:t>c</m:t>
                            </m:r>
                          </m:sub>
                          <m:sup>
                            <m:r>
                              <m:t>w</m:t>
                            </m:r>
                          </m:sup>
                        </m:sSubSup>
                        <m:r>
                          <m:t>+</m:t>
                        </m:r>
                        <m:r>
                          <m:t>1</m:t>
                        </m:r>
                        <m:r>
                          <m:t>−</m:t>
                        </m:r>
                        <m:r>
                          <m:t>π</m:t>
                        </m:r>
                      </m:den>
                    </m:f>
                  </m:e>
                </m:d>
                <m:f>
                  <m:fPr>
                    <m:type m:val="bar"/>
                  </m:fPr>
                  <m:num>
                    <m:r>
                      <m:t>d</m:t>
                    </m:r>
                    <m:r>
                      <m:t>I</m:t>
                    </m:r>
                  </m:num>
                  <m:den>
                    <m:r>
                      <m:t>d</m:t>
                    </m:r>
                    <m:r>
                      <m:t>p</m:t>
                    </m:r>
                  </m:den>
                </m:f>
                <m:r>
                  <m:t>d</m:t>
                </m:r>
                <m:r>
                  <m:t>p</m:t>
                </m:r>
                <m:r>
                  <m:t>.</m:t>
                </m:r>
              </m:e>
            </m:mr>
          </m:m>
        </m:oMath>
      </m:oMathPara>
    </w:p>
    <w:p>
      <w:pPr>
        <w:pStyle w:val="FirstParagraph"/>
      </w:pPr>
      <w:r>
        <w:t xml:space="preserve">The term</w:t>
      </w:r>
      <w:r>
        <w:t xml:space="preserve"> </w:t>
      </w:r>
      <m:oMath>
        <m:r>
          <m:t>d</m:t>
        </m:r>
        <m:r>
          <m:t>I</m:t>
        </m:r>
        <m:r>
          <m:t>/</m:t>
        </m:r>
        <m:r>
          <m:t>d</m:t>
        </m:r>
        <m:r>
          <m:t>p</m:t>
        </m:r>
      </m:oMath>
      <w:r>
        <w:t xml:space="preserve"> </w:t>
      </w:r>
      <w:r>
        <w:t xml:space="preserve">is the marginal payment made to the insuree per 1 dollar spent on healthcare. In the extreme case where there is no cost-sharing so that</w:t>
      </w:r>
      <w:r>
        <w:t xml:space="preserve"> </w:t>
      </w:r>
      <m:oMath>
        <m:r>
          <m:t>I</m:t>
        </m:r>
        <m:r>
          <m:t>(</m:t>
        </m:r>
        <m:r>
          <m:t>p</m:t>
        </m:r>
        <m:r>
          <m:t>)</m:t>
        </m:r>
        <m:r>
          <m:t>=</m:t>
        </m:r>
        <m:r>
          <m:t>p</m:t>
        </m:r>
      </m:oMath>
      <w:r>
        <w:t xml:space="preserve"> </w:t>
      </w:r>
      <w:r>
        <w:t xml:space="preserve">and</w:t>
      </w:r>
      <w:r>
        <w:t xml:space="preserve"> </w:t>
      </w:r>
      <m:oMath>
        <m:r>
          <m:t>d</m:t>
        </m:r>
        <m:r>
          <m:t>I</m:t>
        </m:r>
        <m:r>
          <m:t>/</m:t>
        </m:r>
        <m:r>
          <m:t>d</m:t>
        </m:r>
        <m:r>
          <m:t>p</m:t>
        </m:r>
        <m:r>
          <m:t>=</m:t>
        </m:r>
        <m:r>
          <m:t>1</m:t>
        </m:r>
      </m:oMath>
      <w:r>
        <w:t xml:space="preserve">, health insurance completely eliminates spending risk the value of a technology is equal to its conventional value plus the value of physical risk reduction. More generally,</w:t>
      </w:r>
      <w:r>
        <w:t xml:space="preserve"> </w:t>
      </w:r>
      <m:oMath>
        <m:r>
          <m:t>d</m:t>
        </m:r>
        <m:r>
          <m:t>I</m:t>
        </m:r>
        <m:r>
          <m:t>/</m:t>
        </m:r>
        <m:r>
          <m:t>d</m:t>
        </m:r>
        <m:r>
          <m:t>p</m:t>
        </m:r>
        <m:r>
          <m:t>&lt;</m:t>
        </m:r>
        <m:r>
          <m:t>1</m:t>
        </m:r>
      </m:oMath>
      <w:r>
        <w:t xml:space="preserve"> </w:t>
      </w:r>
      <w:r>
        <w:t xml:space="preserve">and the value of a health technology with health insurance is equal to the sum of its conventional value, the insurance value absent health insurance, and the value of health insurance made possible by the technology.</w:t>
      </w:r>
    </w:p>
    <w:p>
      <w:pPr>
        <w:pStyle w:val="Heading1"/>
      </w:pPr>
      <w:bookmarkStart w:id="44" w:name="sec:populations"/>
      <w:bookmarkEnd w:id="44"/>
      <w:r>
        <w:t xml:space="preserve">Populations</w:t>
      </w:r>
    </w:p>
    <w:p>
      <w:pPr>
        <w:pStyle w:val="FirstParagraph"/>
      </w:pPr>
      <w:r>
        <w:t xml:space="preserve">To run the IPS, a patient population must be specified. The model is designed for patients who are cDMARD experienced. The patient characteristics that must be included in the analysis are age, HAQ, gender, weight, the number of previous DMARDs, and disease activity. These variables are measured at the start of the simulation (i.e., model cycle 0).</w:t>
      </w:r>
    </w:p>
    <w:p>
      <w:pPr>
        <w:pStyle w:val="BodyText"/>
      </w:pPr>
      <w:r>
        <w:t xml:space="preserve">Two default options for the patient population are available. First, a homogeneous cohort of men and women with gender-specific weights but otherwise identical characteristics can be used. Second, a heterogeneous cohort of patients with gender-specific weights but varying across all other characteristics can be specified. Other populations (i.e., for certain subgroups or based on registry data) can be used as well but are not prespecified in our package.</w:t>
      </w:r>
    </w:p>
    <w:p>
      <w:pPr>
        <w:pStyle w:val="BodyText"/>
      </w:pPr>
      <w:r>
        <w:t xml:space="preserve">Our default population consists of individuals that, on average, have high disease activity. The proportion that is female, age, the number of previous DMARDs, baseline HAQ, and DAS28 are based on the values reported in</w:t>
      </w:r>
      <w:r>
        <w:t xml:space="preserve"> </w:t>
      </w:r>
      <w:r>
        <w:t xml:space="preserve">Curtis et al. (2010)</w:t>
      </w:r>
      <w:r>
        <w:t xml:space="preserve">. Mean values for the SDAI and CDAI are from the US301 clinical trial—which had a DAS28 score similar to the value from</w:t>
      </w:r>
      <w:r>
        <w:t xml:space="preserve"> </w:t>
      </w:r>
      <w:r>
        <w:t xml:space="preserve">Curtis et al. (2010)</w:t>
      </w:r>
      <w:r>
        <w:t xml:space="preserve">—summarized in</w:t>
      </w:r>
      <w:r>
        <w:t xml:space="preserve"> </w:t>
      </w:r>
      <w:r>
        <w:t xml:space="preserve">J. Smolen et al. (2003)</w:t>
      </w:r>
      <w:r>
        <w:t xml:space="preserve">. Summaries of each variable are reported in . Details on the algorithm for simulating heterogeneous patients are described in .</w:t>
      </w:r>
    </w:p>
    <w:p>
      <w:pPr>
        <w:pStyle w:val="BodyText"/>
      </w:pPr>
      <w:r>
        <w:t xml:space="preserve">@lcccc</w:t>
      </w:r>
      <w:r>
        <w:t xml:space="preserve"> </w:t>
      </w:r>
      <w:r>
        <w:t xml:space="preserve">&amp; &amp; &amp; &amp;</w:t>
      </w:r>
      <w:r>
        <w:br w:type="textWrapping"/>
      </w:r>
      <w:r>
        <w:t xml:space="preserve">@inputtables/pat-inputs.txt</w:t>
      </w:r>
      <w:r>
        <w:t xml:space="preserve"> </w:t>
      </w:r>
    </w:p>
    <w:p>
      <w:pPr>
        <w:pStyle w:val="Heading1"/>
      </w:pPr>
      <w:bookmarkStart w:id="45" w:name="sec:treatments"/>
      <w:bookmarkEnd w:id="45"/>
      <w:r>
        <w:t xml:space="preserve">Treatment strategies</w:t>
      </w:r>
    </w:p>
    <w:p>
      <w:pPr>
        <w:pStyle w:val="FirstParagraph"/>
      </w:pPr>
      <w:r>
        <w:t xml:space="preserve">Since patients typically use multiple treatments over a lifetime, the model is capable of simulating a treatment sequence of any arbitrary length. Treatments that can be included in a sequence include conventional disease-modifying anti-rheumatic drugs (cDMARDs) such as methotrexate as well as the following biologic DMARDs (bDMARDs) or Janus kinase/STAT pathway inhibitors (collectively referred to as bDMARDs):</w:t>
      </w:r>
    </w:p>
    <w:p>
      <w:pPr>
        <w:numPr>
          <w:numId w:val="1008"/>
          <w:ilvl w:val="0"/>
        </w:numPr>
      </w:pPr>
      <w:r>
        <w:rPr>
          <w:b/>
        </w:rPr>
        <w:t xml:space="preserve">Tumor necrosis factor (TNF) inhibitors</w:t>
      </w:r>
      <w:r>
        <w:t xml:space="preserve">: etanercept, adalimumab, infliximab, certolizumab, golimumab</w:t>
      </w:r>
    </w:p>
    <w:p>
      <w:pPr>
        <w:numPr>
          <w:numId w:val="1008"/>
          <w:ilvl w:val="0"/>
        </w:numPr>
      </w:pPr>
      <w:r>
        <w:rPr>
          <w:b/>
        </w:rPr>
        <w:t xml:space="preserve">non-TNF inhibitors</w:t>
      </w:r>
      <w:r>
        <w:t xml:space="preserve">: abatecept, tocilizumab, rituximab</w:t>
      </w:r>
    </w:p>
    <w:p>
      <w:pPr>
        <w:numPr>
          <w:numId w:val="1008"/>
          <w:ilvl w:val="0"/>
        </w:numPr>
      </w:pPr>
      <w:r>
        <w:rPr>
          <w:b/>
        </w:rPr>
        <w:t xml:space="preserve">Janus kinase/signal transducers and activators of transcription (JAK/STAT) inhibitors</w:t>
      </w:r>
      <w:r>
        <w:t xml:space="preserve">: tofacitinib</w:t>
      </w:r>
    </w:p>
    <w:p>
      <w:pPr>
        <w:pStyle w:val="FirstParagraph"/>
      </w:pPr>
      <w:r>
        <w:t xml:space="preserve">At the end of a sequence, patient switch to non-biologic therapy (NBT), which encompasses a range of therapies that clinicians may feel is appropriate for all patients such as methotrexate and sulfasalazine</w:t>
      </w:r>
      <w:r>
        <w:t xml:space="preserve"> </w:t>
      </w:r>
      <w:r>
        <w:t xml:space="preserve">(M. Stevenson et al. 2016; M. D. Stevenson et al. 2017)</w:t>
      </w:r>
      <w:r>
        <w:t xml:space="preserve">.</w:t>
      </w:r>
    </w:p>
    <w:p>
      <w:pPr>
        <w:pStyle w:val="Heading1"/>
      </w:pPr>
      <w:bookmarkStart w:id="46" w:name="sec:model-structures"/>
      <w:bookmarkEnd w:id="46"/>
      <w:r>
        <w:t xml:space="preserve">Competing model structures</w:t>
      </w:r>
    </w:p>
    <w:p>
      <w:pPr>
        <w:pStyle w:val="FirstParagraph"/>
      </w:pPr>
      <w:r>
        <w:t xml:space="preserve">The IVI-RA model is a discrete-time IPS with 6 month cycles that can be run using a number of different model structures. Like most decision-analytic models in RA, version 1 of the model measures changes in disease severity using the Health Assessment Questionnaire (HAQ) Disability Index score</w:t>
      </w:r>
      <w:r>
        <w:t xml:space="preserve"> </w:t>
      </w:r>
      <w:r>
        <w:t xml:space="preserve">(Brennan et al. 2003; Wailoo et al. 2008; Tosh et al. 2011; Carlson et al. 2015; Stephens et al. 2015; Athanasakis et al. 2015; M. Stevenson et al. 2016; Institute for Clinical and Economic Review 2017; M. D. Stevenson et al. 2017)</w:t>
      </w:r>
      <w:r>
        <w:t xml:space="preserve">. At the start of the simulation, each patient is assigned a baseline HAQ score. Subsequently, the impact of the disease measured by the HAQ trajectory over time is modeled as a function of a sequence of treatments (). In the absence of treatment, HAQ deteriorates at a certain rate as depicted by the dashed line in the figure. Treatment is separated into two distinct phases: an initial phase of up to 6 months, consistent with data reported from randomized controlled trials (RCTs), and a maintenance phase thereafter until discontinuation.</w:t>
      </w:r>
    </w:p>
    <w:p>
      <w:pPr>
        <w:pStyle w:val="Heading2"/>
      </w:pPr>
      <w:bookmarkStart w:id="47" w:name="initial-treatment-phase"/>
      <w:bookmarkEnd w:id="47"/>
      <w:r>
        <w:t xml:space="preserve">Initial treatment phase</w:t>
      </w:r>
    </w:p>
    <w:p>
      <w:pPr>
        <w:pStyle w:val="FirstParagraph"/>
      </w:pPr>
      <w:r>
        <w:t xml:space="preserve">During the initial treatment phase HAQ is modeled as a change from baseline.</w:t>
      </w:r>
    </w:p>
    <w:p>
      <w:pPr>
        <w:numPr>
          <w:numId w:val="1009"/>
          <w:ilvl w:val="0"/>
        </w:numPr>
      </w:pPr>
      <w:r>
        <w:rPr>
          <w:b/>
        </w:rPr>
        <w:t xml:space="preserve">H1</w:t>
      </w:r>
      <w:r>
        <w:t xml:space="preserve">: Treatment</w:t>
      </w:r>
      <w:r>
        <w:t xml:space="preserve"> </w:t>
      </w:r>
      <m:oMath>
        <m:r>
          <m:t>→</m:t>
        </m:r>
      </m:oMath>
      <w:r>
        <w:t xml:space="preserve"> </w:t>
      </w:r>
      <w:r>
        <w:t xml:space="preserve">ACR</w:t>
      </w:r>
      <w:r>
        <w:t xml:space="preserve"> </w:t>
      </w:r>
      <m:oMath>
        <m:r>
          <m:t>→</m:t>
        </m:r>
      </m:oMath>
      <w:r>
        <w:t xml:space="preserve"> </w:t>
      </w:r>
      <w:r>
        <w:t xml:space="preserve">HAQ</w:t>
      </w:r>
    </w:p>
    <w:p>
      <w:pPr>
        <w:numPr>
          <w:numId w:val="1009"/>
          <w:ilvl w:val="0"/>
        </w:numPr>
      </w:pPr>
      <w:r>
        <w:rPr>
          <w:b/>
        </w:rPr>
        <w:t xml:space="preserve">H2</w:t>
      </w:r>
      <w:r>
        <w:t xml:space="preserve">: 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HAQ</w:t>
      </w:r>
    </w:p>
    <w:p>
      <w:pPr>
        <w:numPr>
          <w:numId w:val="1009"/>
          <w:ilvl w:val="0"/>
        </w:numPr>
      </w:pPr>
      <w:r>
        <w:rPr>
          <w:b/>
        </w:rPr>
        <w:t xml:space="preserve">H3</w:t>
      </w:r>
      <w:r>
        <w:t xml:space="preserve">: Treatment</w:t>
      </w:r>
      <w:r>
        <w:t xml:space="preserve"> </w:t>
      </w:r>
      <m:oMath>
        <m:r>
          <m:t>→</m:t>
        </m:r>
      </m:oMath>
      <w:r>
        <w:t xml:space="preserve"> </w:t>
      </w:r>
      <w:r>
        <w:t xml:space="preserve">HAQ</w:t>
      </w:r>
    </w:p>
    <w:p>
      <w:pPr>
        <w:pStyle w:val="FirstParagraph"/>
      </w:pPr>
      <w:r>
        <w:t xml:space="preserve">In</w:t>
      </w:r>
      <w:r>
        <w:t xml:space="preserve"> </w:t>
      </w:r>
      <w:r>
        <w:rPr>
          <w:b/>
        </w:rPr>
        <w:t xml:space="preserve">H1</w:t>
      </w:r>
      <w:r>
        <w:t xml:space="preserve">, treatment influences HAQ through its effect on the American College of Rheumatology (ACR) response criteria, which is similar to the structure used in US based cost-effectiveness models</w:t>
      </w:r>
      <w:r>
        <w:t xml:space="preserve"> </w:t>
      </w:r>
      <w:r>
        <w:t xml:space="preserve">(e.g. Carlson et al. 2015; Institute for Clinical and Economic Review 2017)</w:t>
      </w:r>
      <w:r>
        <w:t xml:space="preserve">. ACR 20/50/70 response is defined as at least a 20/50/70% improvement. In the simulation, we convert these overlapping ACR categories to four mutually exclusive categories: no response (defined as less than 20% improvement), ACR 20% to &lt;50% improvement, ACR 50% to &lt;70% improvement, and ACR 70% improvement or greater. The rationale for using ACR response rather than HAQ directly is that the evidence base relating treatment to ACR response is larger than the evidence based relating treatment to HAQ.</w:t>
      </w:r>
      <w:r>
        <w:t xml:space="preserve"> </w:t>
      </w:r>
      <w:r>
        <w:rPr>
          <w:b/>
        </w:rPr>
        <w:t xml:space="preserve">H2</w:t>
      </w:r>
      <w:r>
        <w:t xml:space="preserve"> </w:t>
      </w:r>
      <w:r>
        <w:t xml:space="preserve">follows the National Institute for Health and Care Excellence (NICE) cost-effectiveness model</w:t>
      </w:r>
      <w:r>
        <w:t xml:space="preserve"> </w:t>
      </w:r>
      <w:r>
        <w:t xml:space="preserve">(M. Stevenson et al. 2016; M. D. Stevenson et al. 2017)</w:t>
      </w:r>
      <w:r>
        <w:t xml:space="preserve"> </w:t>
      </w:r>
      <w:r>
        <w:t xml:space="preserve">and models the effect of treatment on HAQ indirectly through its effect on ACR response and, in turn, the three categories of the European League Against Rheumatism (EULAR) response (no response, moderate response, or good response). Finally, since modeling the effect of treatment on HAQ through intermediary variables may mediate treatment response, in</w:t>
      </w:r>
      <w:r>
        <w:t xml:space="preserve"> </w:t>
      </w:r>
      <w:r>
        <w:rPr>
          <w:b/>
        </w:rPr>
        <w:t xml:space="preserve">H3</w:t>
      </w:r>
      <w:r>
        <w:t xml:space="preserve">, treatment impacts HAQ directly.</w:t>
      </w:r>
    </w:p>
    <w:p>
      <w:pPr>
        <w:pStyle w:val="BodyText"/>
      </w:pPr>
      <w:r>
        <w:t xml:space="preserve">Treatment switching during the initial treatment phase is modeled using 6 possible structures labeled</w:t>
      </w:r>
      <w:r>
        <w:t xml:space="preserve"> </w:t>
      </w:r>
      <w:r>
        <w:rPr>
          <w:b/>
        </w:rPr>
        <w:t xml:space="preserve">S1-S6</w:t>
      </w:r>
      <w:r>
        <w:t xml:space="preserve">.</w:t>
      </w:r>
    </w:p>
    <w:p>
      <w:pPr>
        <w:numPr>
          <w:numId w:val="1010"/>
          <w:ilvl w:val="0"/>
        </w:numPr>
      </w:pPr>
      <w:r>
        <w:rPr>
          <w:b/>
        </w:rPr>
        <w:t xml:space="preserve">S1:</w:t>
      </w:r>
      <w:r>
        <w:t xml:space="preserve"> </w:t>
      </w:r>
      <w:r>
        <w:t xml:space="preserve">Treatment</w:t>
      </w:r>
      <w:r>
        <w:t xml:space="preserve"> </w:t>
      </w:r>
      <m:oMath>
        <m:r>
          <m:t>→</m:t>
        </m:r>
      </m:oMath>
      <w:r>
        <w:t xml:space="preserve"> </w:t>
      </w:r>
      <w:r>
        <w:t xml:space="preserve">ACR</w:t>
      </w:r>
      <w:r>
        <w:t xml:space="preserve"> </w:t>
      </w:r>
      <m:oMath>
        <m:r>
          <m:t>→</m:t>
        </m:r>
      </m:oMath>
      <w:r>
        <w:t xml:space="preserve"> </w:t>
      </w:r>
      <w:r>
        <w:t xml:space="preserve">Switch</w:t>
      </w:r>
    </w:p>
    <w:p>
      <w:pPr>
        <w:numPr>
          <w:numId w:val="1010"/>
          <w:ilvl w:val="0"/>
        </w:numPr>
      </w:pPr>
      <w:r>
        <w:rPr>
          <w:b/>
        </w:rPr>
        <w:t xml:space="preserve">S2:</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DAS28</w:t>
      </w:r>
      <w:r>
        <w:t xml:space="preserve"> </w:t>
      </w:r>
      <m:oMath>
        <m:r>
          <m:t>→</m:t>
        </m:r>
      </m:oMath>
      <w:r>
        <w:t xml:space="preserve"> </w:t>
      </w:r>
      <w:r>
        <w:t xml:space="preserve">DAS28</w:t>
      </w:r>
      <w:r>
        <w:t xml:space="preserve"> </w:t>
      </w:r>
      <m:oMath>
        <m:r>
          <m:t>→</m:t>
        </m:r>
      </m:oMath>
      <w:r>
        <w:t xml:space="preserve"> </w:t>
      </w:r>
      <w:r>
        <w:t xml:space="preserve">Switch</w:t>
      </w:r>
    </w:p>
    <w:p>
      <w:pPr>
        <w:numPr>
          <w:numId w:val="1010"/>
          <w:ilvl w:val="0"/>
        </w:numPr>
      </w:pPr>
      <w:r>
        <w:rPr>
          <w:b/>
        </w:rPr>
        <w:t xml:space="preserve">S3:</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SDAI</w:t>
      </w:r>
      <w:r>
        <w:t xml:space="preserve"> </w:t>
      </w:r>
      <m:oMath>
        <m:r>
          <m:t>→</m:t>
        </m:r>
      </m:oMath>
      <w:r>
        <w:t xml:space="preserve"> </w:t>
      </w:r>
      <w:r>
        <w:t xml:space="preserve">SDAI</w:t>
      </w:r>
      <w:r>
        <w:t xml:space="preserve"> </w:t>
      </w:r>
      <m:oMath>
        <m:r>
          <m:t>→</m:t>
        </m:r>
      </m:oMath>
      <w:r>
        <w:t xml:space="preserve"> </w:t>
      </w:r>
      <w:r>
        <w:t xml:space="preserve">Switch</w:t>
      </w:r>
    </w:p>
    <w:p>
      <w:pPr>
        <w:numPr>
          <w:numId w:val="1010"/>
          <w:ilvl w:val="0"/>
        </w:numPr>
      </w:pPr>
      <w:r>
        <w:rPr>
          <w:b/>
        </w:rPr>
        <w:t xml:space="preserve">S4:</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CDAI</w:t>
      </w:r>
      <w:r>
        <w:t xml:space="preserve"> </w:t>
      </w:r>
      <m:oMath>
        <m:r>
          <m:t>→</m:t>
        </m:r>
      </m:oMath>
      <w:r>
        <w:t xml:space="preserve"> </w:t>
      </w:r>
      <w:r>
        <w:t xml:space="preserve">CDAI</w:t>
      </w:r>
      <w:r>
        <w:t xml:space="preserve"> </w:t>
      </w:r>
      <m:oMath>
        <m:r>
          <m:t>→</m:t>
        </m:r>
      </m:oMath>
      <w:r>
        <w:t xml:space="preserve"> </w:t>
      </w:r>
      <w:r>
        <w:t xml:space="preserve">Switch</w:t>
      </w:r>
    </w:p>
    <w:p>
      <w:pPr>
        <w:numPr>
          <w:numId w:val="1010"/>
          <w:ilvl w:val="0"/>
        </w:numPr>
      </w:pPr>
      <w:r>
        <w:rPr>
          <w:b/>
        </w:rPr>
        <w:t xml:space="preserve">S5:</w:t>
      </w:r>
      <w:r>
        <w:t xml:space="preserve"> </w:t>
      </w:r>
      <w:r>
        <w:t xml:space="preserve">Treatment</w:t>
      </w:r>
      <w:r>
        <w:t xml:space="preserve"> </w:t>
      </w:r>
      <m:oMath>
        <m:r>
          <m:t>→</m:t>
        </m:r>
      </m:oMath>
      <w:r>
        <w:t xml:space="preserve"> </w:t>
      </w:r>
      <m:oMath>
        <m:r>
          <m:t>Δ</m:t>
        </m:r>
      </m:oMath>
      <w:r>
        <w:t xml:space="preserve">DAS28</w:t>
      </w:r>
      <w:r>
        <w:t xml:space="preserve"> </w:t>
      </w:r>
      <m:oMath>
        <m:r>
          <m:t>→</m:t>
        </m:r>
      </m:oMath>
      <w:r>
        <w:t xml:space="preserve"> </w:t>
      </w:r>
      <w:r>
        <w:t xml:space="preserve">DAS28</w:t>
      </w:r>
      <w:r>
        <w:t xml:space="preserve"> </w:t>
      </w:r>
      <m:oMath>
        <m:r>
          <m:t>→</m:t>
        </m:r>
      </m:oMath>
      <w:r>
        <w:t xml:space="preserve"> </w:t>
      </w:r>
      <w:r>
        <w:t xml:space="preserve">Switch</w:t>
      </w:r>
    </w:p>
    <w:p>
      <w:pPr>
        <w:numPr>
          <w:numId w:val="1010"/>
          <w:ilvl w:val="0"/>
        </w:numPr>
      </w:pPr>
      <w:r>
        <w:rPr>
          <w:b/>
        </w:rPr>
        <w:t xml:space="preserve">S6:</w:t>
      </w:r>
      <w:r>
        <w:t xml:space="preserve"> </w:t>
      </w:r>
      <w:r>
        <w:t xml:space="preserve">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Switch</w:t>
      </w:r>
    </w:p>
    <w:p>
      <w:pPr>
        <w:pStyle w:val="FirstParagraph"/>
      </w:pPr>
      <w:r>
        <w:rPr>
          <w:b/>
        </w:rPr>
        <w:t xml:space="preserve">S1</w:t>
      </w:r>
      <w:r>
        <w:t xml:space="preserve"> </w:t>
      </w:r>
      <w:r>
        <w:t xml:space="preserve">follows a common approach where ACR non-responders discontinue treatment</w:t>
      </w:r>
      <w:r>
        <w:t xml:space="preserve"> </w:t>
      </w:r>
      <w:r>
        <w:t xml:space="preserve">(e.g. Carlson et al. 2015; Institute for Clinical and Economic Review 2017)</w:t>
      </w:r>
      <w:r>
        <w:t xml:space="preserve">. One drawback of this approach is that it is not consistent with current treat-to-target guidelines in the United States</w:t>
      </w:r>
      <w:r>
        <w:t xml:space="preserve"> </w:t>
      </w:r>
      <w:r>
        <w:t xml:space="preserve">(J. A. Singh et al. 2016)</w:t>
      </w:r>
      <w:r>
        <w:t xml:space="preserve">. In</w:t>
      </w:r>
      <w:r>
        <w:t xml:space="preserve"> </w:t>
      </w:r>
      <w:r>
        <w:rPr>
          <w:b/>
        </w:rPr>
        <w:t xml:space="preserve">S2-S5</w:t>
      </w:r>
      <w:r>
        <w:t xml:space="preserve">, treatment switching consequently depends on disease activity (remission, low, moderate, high)</w:t>
      </w:r>
      <w:r>
        <w:t xml:space="preserve"> </w:t>
      </w:r>
      <w:r>
        <w:t xml:space="preserve">(Anderson et al. 2012)</w:t>
      </w:r>
      <w:r>
        <w:t xml:space="preserve">. In</w:t>
      </w:r>
      <w:r>
        <w:t xml:space="preserve"> </w:t>
      </w:r>
      <w:r>
        <w:rPr>
          <w:b/>
        </w:rPr>
        <w:t xml:space="preserve">S2-S4</w:t>
      </w:r>
      <w:r>
        <w:t xml:space="preserve">, ACR response predicts the change in disease activity from baseline, which along with baseline disease activity, predicts absolute disease activity. Patients with moderate or high disease switch treatment while patients with low disease activity or in remission continue treatment. Disease activity is measured using either the Disease Activity Score with 28-joint counts (DAS28)</w:t>
      </w:r>
      <w:r>
        <w:t xml:space="preserve"> </w:t>
      </w:r>
      <w:r>
        <w:t xml:space="preserve">(Prevoo et al. 1995)</w:t>
      </w:r>
      <w:r>
        <w:t xml:space="preserve">, Simplified Disease Activity Index (SDAI)</w:t>
      </w:r>
      <w:r>
        <w:t xml:space="preserve"> </w:t>
      </w:r>
      <w:r>
        <w:t xml:space="preserve">(J. Smolen et al. 2003; D Aletaha and Smolen 2005)</w:t>
      </w:r>
      <w:r>
        <w:t xml:space="preserve">, or the Clinical Disease Activity Index (CDAI)</w:t>
      </w:r>
      <w:r>
        <w:t xml:space="preserve"> </w:t>
      </w:r>
      <w:r>
        <w:t xml:space="preserve">(Daniel Aletaha et al. 2005)</w:t>
      </w:r>
      <w:r>
        <w:t xml:space="preserve">.</w:t>
      </w:r>
    </w:p>
    <w:p>
      <w:pPr>
        <w:pStyle w:val="BodyText"/>
      </w:pPr>
      <w:r>
        <w:rPr>
          <w:b/>
        </w:rPr>
        <w:t xml:space="preserve">S5</w:t>
      </w:r>
      <w:r>
        <w:t xml:space="preserve"> </w:t>
      </w:r>
      <w:r>
        <w:t xml:space="preserve">is similar to</w:t>
      </w:r>
      <w:r>
        <w:t xml:space="preserve"> </w:t>
      </w:r>
      <w:r>
        <w:rPr>
          <w:b/>
        </w:rPr>
        <w:t xml:space="preserve">S2-S4</w:t>
      </w:r>
      <w:r>
        <w:t xml:space="preserve">, but models the effect of treatment on changes in DAS28 directly, rather than indirectly through ACR response. We also aimed to model the direct effect of treatment on SDAI and CDAI, but sufficient clinical trial data are not available. Finally, since in the UK, the British Society for Rheumatology and the British Health Professionals in Rheumatology recommends using the EULAR response</w:t>
      </w:r>
      <w:r>
        <w:t xml:space="preserve"> </w:t>
      </w:r>
      <w:r>
        <w:t xml:space="preserve">(Deighton et al. 2010)</w:t>
      </w:r>
      <w:r>
        <w:t xml:space="preserve">, treatment switching in</w:t>
      </w:r>
      <w:r>
        <w:t xml:space="preserve"> </w:t>
      </w:r>
      <w:r>
        <w:rPr>
          <w:b/>
        </w:rPr>
        <w:t xml:space="preserve">S6</w:t>
      </w:r>
      <w:r>
        <w:t xml:space="preserve"> </w:t>
      </w:r>
      <w:r>
        <w:t xml:space="preserve">depends on EULAR response. In particular, following the NICE model, we assume that EULAR non-responders discontinue treatment while moderate and good responders continue treatment</w:t>
      </w:r>
      <w:r>
        <w:t xml:space="preserve"> </w:t>
      </w:r>
      <w:r>
        <w:t xml:space="preserve">(M. Stevenson et al. 2016)</w:t>
      </w:r>
      <w:r>
        <w:t xml:space="preserve">. The reasoning is that rules stipulated by NICE require a DAS28 improvement of more than 1.2 to continue treatment which is associated with moderate or good EULAR response.</w:t>
      </w:r>
    </w:p>
    <w:p>
      <w:pPr>
        <w:pStyle w:val="BodyText"/>
      </w:pPr>
      <w:r>
        <w:t xml:space="preserve">Not all model structures</w:t>
      </w:r>
      <w:r>
        <w:t xml:space="preserve"> </w:t>
      </w:r>
      <w:r>
        <w:rPr>
          <w:b/>
        </w:rPr>
        <w:t xml:space="preserve">S1-S6</w:t>
      </w:r>
      <w:r>
        <w:t xml:space="preserve"> </w:t>
      </w:r>
      <w:r>
        <w:t xml:space="preserve">can be used with each of</w:t>
      </w:r>
      <w:r>
        <w:t xml:space="preserve"> </w:t>
      </w:r>
      <w:r>
        <w:rPr>
          <w:b/>
        </w:rPr>
        <w:t xml:space="preserve">H1-H3</w:t>
      </w:r>
      <w:r>
        <w:t xml:space="preserve">. If</w:t>
      </w:r>
      <w:r>
        <w:t xml:space="preserve"> </w:t>
      </w:r>
      <w:r>
        <w:rPr>
          <w:b/>
        </w:rPr>
        <w:t xml:space="preserve">H1</w:t>
      </w:r>
      <w:r>
        <w:t xml:space="preserve"> </w:t>
      </w:r>
      <w:r>
        <w:t xml:space="preserve">is used, then</w:t>
      </w:r>
      <w:r>
        <w:t xml:space="preserve"> </w:t>
      </w:r>
      <w:r>
        <w:rPr>
          <w:b/>
        </w:rPr>
        <w:t xml:space="preserve">S1-S5</w:t>
      </w:r>
      <w:r>
        <w:t xml:space="preserve"> </w:t>
      </w:r>
      <w:r>
        <w:t xml:space="preserve">are available, but</w:t>
      </w:r>
      <w:r>
        <w:t xml:space="preserve"> </w:t>
      </w:r>
      <w:r>
        <w:rPr>
          <w:b/>
        </w:rPr>
        <w:t xml:space="preserve">S6</w:t>
      </w:r>
      <w:r>
        <w:t xml:space="preserve"> </w:t>
      </w:r>
      <w:r>
        <w:t xml:space="preserve">is not because EULAR response is not simulated. In</w:t>
      </w:r>
      <w:r>
        <w:t xml:space="preserve"> </w:t>
      </w:r>
      <w:r>
        <w:rPr>
          <w:b/>
        </w:rPr>
        <w:t xml:space="preserve">H2</w:t>
      </w:r>
      <w:r>
        <w:t xml:space="preserve">,</w:t>
      </w:r>
      <w:r>
        <w:t xml:space="preserve"> </w:t>
      </w:r>
      <w:r>
        <w:rPr>
          <w:b/>
        </w:rPr>
        <w:t xml:space="preserve">S1-S6</w:t>
      </w:r>
      <w:r>
        <w:t xml:space="preserve"> </w:t>
      </w:r>
      <w:r>
        <w:t xml:space="preserve">are all available while in</w:t>
      </w:r>
      <w:r>
        <w:t xml:space="preserve"> </w:t>
      </w:r>
      <w:r>
        <w:rPr>
          <w:b/>
        </w:rPr>
        <w:t xml:space="preserve">H3</w:t>
      </w:r>
      <w:r>
        <w:t xml:space="preserve"> </w:t>
      </w:r>
      <w:r>
        <w:t xml:space="preserve">only</w:t>
      </w:r>
      <w:r>
        <w:t xml:space="preserve"> </w:t>
      </w:r>
      <w:r>
        <w:rPr>
          <w:b/>
        </w:rPr>
        <w:t xml:space="preserve">S5</w:t>
      </w:r>
      <w:r>
        <w:t xml:space="preserve"> </w:t>
      </w:r>
      <w:r>
        <w:t xml:space="preserve">can be used since ACR response is not simulated. The 12 possible model structures and the number of each structure are outlined in .</w:t>
      </w:r>
    </w:p>
    <w:p>
      <w:pPr>
        <w:pStyle w:val="BodyText"/>
      </w:pPr>
      <w:r>
        <w:t xml:space="preserve">@lcccccc</w:t>
      </w:r>
      <w:r>
        <w:t xml:space="preserve"> </w:t>
      </w:r>
      <w:r>
        <w:t xml:space="preserve">&amp; &amp; &amp; &amp; &amp; &amp;</w:t>
      </w:r>
      <w:r>
        <w:br w:type="textWrapping"/>
      </w:r>
      <w:r>
        <w:t xml:space="preserve">H1 &amp; 1 &amp; 2 &amp; 3 &amp; 4 &amp; 5 &amp; -</w:t>
      </w:r>
      <w:r>
        <w:br w:type="textWrapping"/>
      </w:r>
      <w:r>
        <w:t xml:space="preserve">H2 &amp; 6 &amp; 7 &amp; 8 &amp; 9 &amp; 10 &amp; 11</w:t>
      </w:r>
      <w:r>
        <w:br w:type="textWrapping"/>
      </w:r>
      <w:r>
        <w:t xml:space="preserve">H3 &amp; - &amp; - &amp; - &amp; - &amp; 12 &amp; -</w:t>
      </w:r>
      <w:r>
        <w:br w:type="textWrapping"/>
      </w:r>
    </w:p>
    <w:p>
      <w:pPr>
        <w:pStyle w:val="BodyText"/>
      </w:pPr>
      <w:r>
        <w:t xml:space="preserve">Notes: Rows denote the model structure used to relate treatment to HAQ and columns denote the model structure used to determine treatment switching. Each number denotes a unique model structure (i.e., 1 corresponds to H1 and S1, and 8 corresponds to H2 and S3) and the</w:t>
      </w:r>
      <w:r>
        <w:t xml:space="preserve"> </w:t>
      </w:r>
      <w:r>
        <w:t xml:space="preserve">“</w:t>
      </w:r>
      <w:r>
        <w:t xml:space="preserve">-</w:t>
      </w:r>
      <w:r>
        <w:t xml:space="preserve">”</w:t>
      </w:r>
      <w:r>
        <w:t xml:space="preserve"> </w:t>
      </w:r>
      <w:r>
        <w:t xml:space="preserve">denotes a model structure combination that is not possible. There are 12 possible model structures for the initial treatment phase.</w:t>
      </w:r>
    </w:p>
    <w:p>
      <w:pPr>
        <w:pStyle w:val="Heading2"/>
      </w:pPr>
      <w:bookmarkStart w:id="48" w:name="maintenance-phase"/>
      <w:bookmarkEnd w:id="48"/>
      <w:r>
        <w:t xml:space="preserve">Maintenance phase</w:t>
      </w:r>
    </w:p>
    <w:p>
      <w:pPr>
        <w:pStyle w:val="FirstParagraph"/>
      </w:pPr>
      <w:r>
        <w:t xml:space="preserve">In the maintenance phase, two model structures can be used to simulate the long-term progression of HAQ. First, as is common in cost-effectiveness analyses (CEAs) of therapies for RA, HAQ is assumed to progress at a constant linear rate over time</w:t>
      </w:r>
      <w:r>
        <w:t xml:space="preserve"> </w:t>
      </w:r>
      <w:r>
        <w:t xml:space="preserve">(see Tosh et al. 2011; Wailoo et al. 2008)</w:t>
      </w:r>
      <w:r>
        <w:t xml:space="preserve">. However, since emerging evidence suggests that the rate of HAQ progression is non-linear and varies across patients</w:t>
      </w:r>
      <w:r>
        <w:t xml:space="preserve"> </w:t>
      </w:r>
      <w:r>
        <w:t xml:space="preserve">(L. Gibson, Alava, and Wailoo 2015)</w:t>
      </w:r>
      <w:r>
        <w:t xml:space="preserve">, our second scenario simulates HAQ progression using a latent class growth model (LCGM)</w:t>
      </w:r>
      <w:r>
        <w:t xml:space="preserve"> </w:t>
      </w:r>
      <w:r>
        <w:t xml:space="preserve">(Norton et al. 2014)</w:t>
      </w:r>
      <w:r>
        <w:t xml:space="preserve"> </w:t>
      </w:r>
      <w:r>
        <w:t xml:space="preserve">with 4 distinct HAQ trajectories and a rate of HAQ progression that decreases over time within each trajectory. Upon discontinuation of treatment, the HAQ score rebounds by a proportion of the improvement experienced at the end of the initial 6-month period with that treatment.</w:t>
      </w:r>
    </w:p>
    <w:p>
      <w:pPr>
        <w:pStyle w:val="BodyText"/>
      </w:pPr>
      <w:r>
        <w:t xml:space="preserve">The duration of the maintenance phase (i.e., time to discontinuation of maintenance treatment) is simulated using parametric time-to-event distributions. When</w:t>
      </w:r>
      <w:r>
        <w:t xml:space="preserve"> </w:t>
      </w:r>
      <w:r>
        <w:rPr>
          <w:b/>
        </w:rPr>
        <w:t xml:space="preserve">S1</w:t>
      </w:r>
      <w:r>
        <w:t xml:space="preserve"> </w:t>
      </w:r>
      <w:r>
        <w:t xml:space="preserve">is used, time to treatment discontinuation is simulated using a single time-to-event curve because we have been unable to obtain curves stratified by ACR response categories. In contrast, when</w:t>
      </w:r>
      <w:r>
        <w:t xml:space="preserve"> </w:t>
      </w:r>
      <w:r>
        <w:rPr>
          <w:b/>
        </w:rPr>
        <w:t xml:space="preserve">S2-S5</w:t>
      </w:r>
      <w:r>
        <w:t xml:space="preserve"> </w:t>
      </w:r>
      <w:r>
        <w:t xml:space="preserve">are selected, the time-to-event curves are stratified by disease activity level so patients with lower disease activity at the end of the initial treatment phase stay on treatment longer, on average. Likewise, when structure</w:t>
      </w:r>
      <w:r>
        <w:t xml:space="preserve"> </w:t>
      </w:r>
      <w:r>
        <w:rPr>
          <w:b/>
        </w:rPr>
        <w:t xml:space="preserve">S6</w:t>
      </w:r>
      <w:r>
        <w:t xml:space="preserve"> </w:t>
      </w:r>
      <w:r>
        <w:t xml:space="preserve">is used, the time-to-event distributions are stratified by EULAR response category and patients with good response at the end of the initial treatment phase tend to stay on treatment longer than patients with a moderate response. In each case, time to discontinuation can be simulated using one of 7 possible distributions (exponential, Weibull, Gompertz, normal, gamma, log-logistic, generalized gamma).</w:t>
      </w:r>
    </w:p>
    <w:p>
      <w:pPr>
        <w:pStyle w:val="Heading2"/>
      </w:pPr>
      <w:bookmarkStart w:id="49" w:name="adverse-events"/>
      <w:bookmarkEnd w:id="49"/>
      <w:r>
        <w:t xml:space="preserve">Adverse events</w:t>
      </w:r>
    </w:p>
    <w:p>
      <w:pPr>
        <w:pStyle w:val="FirstParagraph"/>
      </w:pPr>
      <w:r>
        <w:t xml:space="preserve">In line with</w:t>
      </w:r>
      <w:r>
        <w:t xml:space="preserve"> </w:t>
      </w:r>
      <w:r>
        <w:t xml:space="preserve">M. Stevenson et al. (2016)</w:t>
      </w:r>
      <w:r>
        <w:t xml:space="preserve"> </w:t>
      </w:r>
      <w:r>
        <w:t xml:space="preserve">the adverse events included in the model are limited to serious infections; we assume that only serious infections have a significant cost impact and increased risk over background rates to be meaningful to include</w:t>
      </w:r>
      <w:r>
        <w:t xml:space="preserve"> </w:t>
      </w:r>
      <w:r>
        <w:t xml:space="preserve">(Ramiro et al. 2017)</w:t>
      </w:r>
      <w:r>
        <w:t xml:space="preserve">. During the initial treatment phase, a patient immediately stops treatment if a serious infection occurs; during the maintenance phase, time on treatment depends on the sampled time to treatment discontinuation and a patient experiences a serious infection if the individual’s sampled time to the adverse event is shorter than the sampled time to treatment discontinuation.</w:t>
      </w:r>
    </w:p>
    <w:p>
      <w:pPr>
        <w:pStyle w:val="Heading2"/>
      </w:pPr>
      <w:bookmarkStart w:id="50" w:name="mortality"/>
      <w:bookmarkEnd w:id="50"/>
      <w:r>
        <w:t xml:space="preserve">Mortality</w:t>
      </w:r>
    </w:p>
    <w:p>
      <w:pPr>
        <w:pStyle w:val="FirstParagraph"/>
      </w:pPr>
      <w:r>
        <w:t xml:space="preserve">Baseline HAQ scores (and changes in HAQ scores from baseline) are used to determine mortality relative to age/sex specific rates for the US general population (assumed to have a HAQ score of 0). Treatment, therefore, has an indirect effect on mortality through its effect on HAQ.</w:t>
      </w:r>
    </w:p>
    <w:p>
      <w:pPr>
        <w:pStyle w:val="Heading2"/>
      </w:pPr>
      <w:bookmarkStart w:id="51" w:name="utility"/>
      <w:bookmarkEnd w:id="51"/>
      <w:r>
        <w:t xml:space="preserve">Utility</w:t>
      </w:r>
    </w:p>
    <w:p>
      <w:pPr>
        <w:pStyle w:val="FirstParagraph"/>
      </w:pPr>
      <w:r>
        <w:t xml:space="preserve">Individual HAQ scores at a particular point in time were also used to simulate EuroQol five dimensions questionnaire (EQ-5D) utility scores (0-1 range), which, in turn, were used to simulate quality-adjusted life-years (QALYs). However, since a number of different methods have been used to convert HAQ into utility, our model contains two different possible mapping algorithms. Our preferred algorithm is the</w:t>
      </w:r>
      <w:r>
        <w:t xml:space="preserve"> </w:t>
      </w:r>
      <w:r>
        <w:t xml:space="preserve">M. H. Alava et al. (2013)</w:t>
      </w:r>
      <w:r>
        <w:t xml:space="preserve"> </w:t>
      </w:r>
      <w:r>
        <w:t xml:space="preserve">mixture model, which uses a much larger sample size than other statistical models and has been shown to have better predictive accuracy. Other algorithms are typically estimated using clinical trial data</w:t>
      </w:r>
      <w:r>
        <w:t xml:space="preserve"> </w:t>
      </w:r>
      <w:r>
        <w:t xml:space="preserve">(e.g. Carlson et al. 2015; Stephens et al. 2015)</w:t>
      </w:r>
      <w:r>
        <w:t xml:space="preserve"> </w:t>
      </w:r>
      <w:r>
        <w:t xml:space="preserve">and consequently have limited generalizability. The second utility algorithm available within our model is based on a linear regression analysis of real-world data by</w:t>
      </w:r>
      <w:r>
        <w:t xml:space="preserve"> </w:t>
      </w:r>
      <w:r>
        <w:t xml:space="preserve">A. Wailoo et al. (2006)</w:t>
      </w:r>
      <w:r>
        <w:t xml:space="preserve"> </w:t>
      </w:r>
      <w:r>
        <w:t xml:space="preserve">that has been used in a few previous CEAs</w:t>
      </w:r>
      <w:r>
        <w:t xml:space="preserve"> </w:t>
      </w:r>
      <w:r>
        <w:t xml:space="preserve">(e.g. Wailoo et al. 2008; Institute for Clinical and Economic Review 2017)</w:t>
      </w:r>
      <w:r>
        <w:t xml:space="preserve">.</w:t>
      </w:r>
    </w:p>
    <w:p>
      <w:pPr>
        <w:pStyle w:val="Heading2"/>
      </w:pPr>
      <w:bookmarkStart w:id="52" w:name="costs"/>
      <w:bookmarkEnd w:id="52"/>
      <w:r>
        <w:t xml:space="preserve">Costs</w:t>
      </w:r>
    </w:p>
    <w:p>
      <w:pPr>
        <w:pStyle w:val="FirstParagraph"/>
      </w:pPr>
      <w:r>
        <w:t xml:space="preserve">Annual hospitalization days and productivity losses are simulated as a function of HAQ. Health sector costs considered in the models are related to drug acquisition and administration, adverse events, general management of RA, and hospitalization. Non-health sector costs are limited to work-related productivity loss.</w:t>
      </w:r>
    </w:p>
    <w:p>
      <w:pPr>
        <w:pStyle w:val="Heading2"/>
      </w:pPr>
      <w:bookmarkStart w:id="53" w:name="summary-of-simulation"/>
      <w:bookmarkEnd w:id="53"/>
      <w:r>
        <w:t xml:space="preserve">Summary of simulation</w:t>
      </w:r>
    </w:p>
    <w:p>
      <w:pPr>
        <w:pStyle w:val="FirstParagraph"/>
      </w:pPr>
      <w:r>
        <w:t xml:space="preserve">The flow diagram in describes the flow of a single patient through the simulation. The simulation runs for a patient’s entire lifespan beginning with treatment initiation and ending in death. The rectangles in the figure represent</w:t>
      </w:r>
      <w:r>
        <w:t xml:space="preserve"> </w:t>
      </w:r>
      <w:r>
        <w:t xml:space="preserve">“</w:t>
      </w:r>
      <w:r>
        <w:t xml:space="preserve">processes</w:t>
      </w:r>
      <w:r>
        <w:t xml:space="preserve">”</w:t>
      </w:r>
      <w:r>
        <w:t xml:space="preserve"> </w:t>
      </w:r>
      <w:r>
        <w:t xml:space="preserve">determining the effect of treatment on disease progression and the diamonds represent</w:t>
      </w:r>
      <w:r>
        <w:t xml:space="preserve"> </w:t>
      </w:r>
      <w:r>
        <w:t xml:space="preserve">“</w:t>
      </w:r>
      <w:r>
        <w:t xml:space="preserve">decisions</w:t>
      </w:r>
      <w:r>
        <w:t xml:space="preserve">”</w:t>
      </w:r>
      <w:r>
        <w:t xml:space="preserve"> </w:t>
      </w:r>
      <w:r>
        <w:t xml:space="preserve">that determine whether a patient will switch to a new treatment.</w:t>
      </w:r>
    </w:p>
    <w:p>
      <w:pPr>
        <w:pStyle w:val="BodyText"/>
      </w:pPr>
      <w:r>
        <w:t xml:space="preserve">Notes: Rectangles represent</w:t>
      </w:r>
      <w:r>
        <w:t xml:space="preserve"> </w:t>
      </w:r>
      <w:r>
        <w:t xml:space="preserve">“</w:t>
      </w:r>
      <w:r>
        <w:t xml:space="preserve">processes</w:t>
      </w:r>
      <w:r>
        <w:t xml:space="preserve">”</w:t>
      </w:r>
      <w:r>
        <w:t xml:space="preserve"> </w:t>
      </w:r>
      <w:r>
        <w:t xml:space="preserve">determining the effect of treatment on disease progression, Diamonds represent</w:t>
      </w:r>
      <w:r>
        <w:t xml:space="preserve"> </w:t>
      </w:r>
      <w:r>
        <w:t xml:space="preserve">“</w:t>
      </w:r>
      <w:r>
        <w:t xml:space="preserve">decisions</w:t>
      </w:r>
      <w:r>
        <w:t xml:space="preserve">”</w:t>
      </w:r>
      <w:r>
        <w:t xml:space="preserve"> </w:t>
      </w:r>
      <w:r>
        <w:t xml:space="preserve">that determine whether a patient will switch to a new treatment. Dotted lines denote start of a new treatment or the end of the simulation.</w:t>
      </w:r>
    </w:p>
    <w:p>
      <w:pPr>
        <w:pStyle w:val="BodyText"/>
      </w:pPr>
      <w:r>
        <w:t xml:space="preserve">The influence diagram in summarizes the assumed relationships among different variables in the model. Each arrow represents the direct effect of one parameter on another. Dashed lines represent relationships that depend on the structural assumptions used. focuses on the effect of treatment on disease progression and adverse events while looks at the variables influencing the primary health and cost outcomes.</w:t>
      </w:r>
    </w:p>
    <w:p>
      <w:pPr>
        <w:pStyle w:val="Heading2"/>
      </w:pPr>
      <w:bookmarkStart w:id="54" w:name="model-outcomes"/>
      <w:bookmarkEnd w:id="54"/>
      <w:r>
        <w:t xml:space="preserve">Model outcomes</w:t>
      </w:r>
    </w:p>
    <w:p>
      <w:pPr>
        <w:pStyle w:val="FirstParagraph"/>
      </w:pPr>
      <w:r>
        <w:t xml:space="preserve">Model outcomes depend on patient characteristics, which have a direct effect on HAQ progression, mortality, and utility. Depending on the model structure, simulated clinical outcomes during the initial treatment phase can include ACR response, EULAR response, DAS28, SDAI, and/or CDAI. Longterm outcomes include HAQ over time, time to treatment discontinuation, and an indicator for whether a serious infection ocurred. Total costs consist of health care sector costs (drug acquisition and administration costs, general management and monitoring costs, adverse event costs, and hospitalization costs) and productivity losses.</w:t>
      </w:r>
    </w:p>
    <w:p>
      <w:pPr>
        <w:pStyle w:val="BodyText"/>
      </w:pPr>
      <w:r>
        <w:t xml:space="preserve">If a CEA approach is used for value assessment, then QALYs can be calculated as a function of simulated life expectancy and utility. CEA from a societal perspective would include productivity losses while analyses from a health care sector perspective would not. The value of treatment is estimated using the net-monetary benefit (NMB), as described in .</w:t>
      </w:r>
    </w:p>
    <w:p>
      <w:pPr>
        <w:pStyle w:val="BodyText"/>
      </w:pPr>
      <w:r>
        <w:t xml:space="preserve">Any combination of simulated model outcomes can be used for MCDA. In IVIs user interface, the MCDA is currently based on the following criteria: (i) mean HAQ over time, (ii) total health costs, (iii) productivity losses, (iv) number of serious infections, (v) number of treatment switches, (vi) route of administration (oral/injection/infusion) and (vii) time the medication has been on the market.</w:t>
      </w:r>
    </w:p>
    <w:p>
      <w:pPr>
        <w:pStyle w:val="FigureWithCaption"/>
      </w:pPr>
      <w:r>
        <w:drawing>
          <wp:inline>
            <wp:extent cx="5334000" cy="3358781"/>
            <wp:effectExtent b="0" l="0" r="0" t="0"/>
            <wp:docPr descr="Influence diagram outlining structural relationships" title="" id="1" name="Picture"/>
            <a:graphic>
              <a:graphicData uri="http://schemas.openxmlformats.org/drawingml/2006/picture">
                <pic:pic>
                  <pic:nvPicPr>
                    <pic:cNvPr descr="influence-diagram-a.png" id="0" name="Picture"/>
                    <pic:cNvPicPr>
                      <a:picLocks noChangeArrowheads="1" noChangeAspect="1"/>
                    </pic:cNvPicPr>
                  </pic:nvPicPr>
                  <pic:blipFill>
                    <a:blip r:embed="rId55"/>
                    <a:stretch>
                      <a:fillRect/>
                    </a:stretch>
                  </pic:blipFill>
                  <pic:spPr bwMode="auto">
                    <a:xfrm>
                      <a:off x="0" y="0"/>
                      <a:ext cx="5334000" cy="3358781"/>
                    </a:xfrm>
                    <a:prstGeom prst="rect">
                      <a:avLst/>
                    </a:prstGeom>
                    <a:noFill/>
                    <a:ln w="9525">
                      <a:noFill/>
                      <a:headEnd/>
                      <a:tailEnd/>
                    </a:ln>
                  </pic:spPr>
                </pic:pic>
              </a:graphicData>
            </a:graphic>
          </wp:inline>
        </w:drawing>
      </w:r>
    </w:p>
    <w:p>
      <w:pPr>
        <w:pStyle w:val="ImageCaption"/>
      </w:pPr>
      <w:r>
        <w:t xml:space="preserve">Influence diagram outlining structural relationships</w:t>
      </w:r>
    </w:p>
    <w:p>
      <w:pPr>
        <w:pStyle w:val="FigureWithCaption"/>
      </w:pPr>
      <w:r>
        <w:drawing>
          <wp:inline>
            <wp:extent cx="5334000" cy="2920801"/>
            <wp:effectExtent b="0" l="0" r="0" t="0"/>
            <wp:docPr descr="Influence diagram outlining structural relationships" title="" id="1" name="Picture"/>
            <a:graphic>
              <a:graphicData uri="http://schemas.openxmlformats.org/drawingml/2006/picture">
                <pic:pic>
                  <pic:nvPicPr>
                    <pic:cNvPr descr="influence-diagram-b.png" id="0" name="Picture"/>
                    <pic:cNvPicPr>
                      <a:picLocks noChangeArrowheads="1" noChangeAspect="1"/>
                    </pic:cNvPicPr>
                  </pic:nvPicPr>
                  <pic:blipFill>
                    <a:blip r:embed="rId56"/>
                    <a:stretch>
                      <a:fillRect/>
                    </a:stretch>
                  </pic:blipFill>
                  <pic:spPr bwMode="auto">
                    <a:xfrm>
                      <a:off x="0" y="0"/>
                      <a:ext cx="5334000" cy="2920801"/>
                    </a:xfrm>
                    <a:prstGeom prst="rect">
                      <a:avLst/>
                    </a:prstGeom>
                    <a:noFill/>
                    <a:ln w="9525">
                      <a:noFill/>
                      <a:headEnd/>
                      <a:tailEnd/>
                    </a:ln>
                  </pic:spPr>
                </pic:pic>
              </a:graphicData>
            </a:graphic>
          </wp:inline>
        </w:drawing>
      </w:r>
    </w:p>
    <w:p>
      <w:pPr>
        <w:pStyle w:val="ImageCaption"/>
      </w:pPr>
      <w:r>
        <w:t xml:space="preserve">Influence diagram outlining structural relationships</w:t>
      </w:r>
    </w:p>
    <w:p>
      <w:pPr>
        <w:pStyle w:val="BodyText"/>
      </w:pPr>
      <w:r>
        <w:t xml:space="preserve">Notes: ACR: American College of Rheumatology; EULAR: European League Against Rheumatism; HAQ: Health Assessment Questionnaire: AEs: adverse events; QALYs: quality-adjusted life-years; WTP: willingness to pay. Disease activity refers to the Disease Activity Score with 28-joint counts (DAS28), the Simplified Disease Activity Index (SDAI), or the Clinical Disease Activity Index (CDAI).</w:t>
      </w:r>
    </w:p>
    <w:p>
      <w:pPr>
        <w:pStyle w:val="Heading1"/>
      </w:pPr>
      <w:bookmarkStart w:id="57" w:name="sec:data-parameters"/>
      <w:bookmarkEnd w:id="57"/>
      <w:r>
        <w:t xml:space="preserve">Source data and parameter estimation</w:t>
      </w:r>
    </w:p>
    <w:p>
      <w:pPr>
        <w:pStyle w:val="Heading2"/>
      </w:pPr>
      <w:bookmarkStart w:id="58" w:name="nma-parameters"/>
      <w:bookmarkEnd w:id="58"/>
      <w:r>
        <w:t xml:space="preserve">Comparative treatment efficacy from NMA</w:t>
      </w:r>
    </w:p>
    <w:p>
      <w:pPr>
        <w:pStyle w:val="FirstParagraph"/>
      </w:pPr>
      <w:r>
        <w:t xml:space="preserve">The effect of treatment on ACR response, DAS28, and HAQ at 6 months for bDMARD naive patients are estimated using Bayesian network meta-analyses (NMA) of published randomized controlled trials (RCTs). Primary outcomes were ACR response, change in DAS28 from baseline at 6 months, and the change in HAQ from baseline at 6 months. Results from the NMA are shown in . Details of the systematic literature review and the statistical methodology are provided in the Appendix ().</w:t>
      </w:r>
    </w:p>
    <w:tbl>
      <w:tblPr>
        <w:tblStyle w:val="TableNormal"/>
        <w:tblW w:type="pct" w:w="0.0"/>
        <w:tblLook/>
      </w:tblPr>
      <w:tblGrid/>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@inputtables/nma-acr-das28-haq.txt</w:t>
            </w:r>
            <w:r>
              <w:t xml:space="preserve"> </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Notes: ACR20/50/70 categories are the probability of at least a 20/50/70% improvement. 95% credible intervals are in parentheses. Estimates are based on 1,000 random draws of the NMA parameters.</w:t>
      </w:r>
      <w:r>
        <w:t xml:space="preserve"> </w:t>
      </w:r>
      <m:oMath>
        <m:r>
          <m:t>Δ</m:t>
        </m:r>
      </m:oMath>
      <w:r>
        <w:t xml:space="preserve">DAS28 and</w:t>
      </w:r>
      <w:r>
        <w:t xml:space="preserve"> </w:t>
      </w:r>
      <m:oMath>
        <m:r>
          <m:t>Δ</m:t>
        </m:r>
      </m:oMath>
      <w:r>
        <w:t xml:space="preserve">HAQ are changes in the DAS28 and HAQ score from their baseline scores respectively; negative numbers denote reductions in baseline values.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BodyText"/>
      </w:pPr>
      <w:r>
        <w:t xml:space="preserve">Treatment effects for bDMARD experienced patients were reduced by applying the relative risk ratio reported in</w:t>
      </w:r>
      <w:r>
        <w:t xml:space="preserve"> </w:t>
      </w:r>
      <w:r>
        <w:t xml:space="preserve">Carlson et al. (2015)</w:t>
      </w:r>
      <w:r>
        <w:t xml:space="preserve">. More specifically, reductions in DAS28 and HAQ scores for bDMARD experienced patients are assumed to be, on average, 84% of the reduction in DAS28 and HAQ scores for bDMARD naive patients. Likewise, we assume that the mean reduction in overlapping ACR response categories (ACR 20/50/70) is 84% after failing the first bDMARD, implying that an ACR response of 60/40/20 would, on average, be reduced to 50/33/16. To capture uncertainty, the reduction in treatment effects is assumed to be distributed uniformly with lower and upper bounds of 74% and 94% respectively.</w:t>
      </w:r>
    </w:p>
    <w:p>
      <w:pPr>
        <w:pStyle w:val="BodyText"/>
      </w:pPr>
      <w:r>
        <w:t xml:space="preserve">In the simulation, treatment efficacy depends on the line of therapy and whether a patient is bDMARD naive or bDMARD experienced at baseline. For bDMARD naive patients, first line treatment response is based on the NMA results for bDMARD naive patients while efficacy for all other treatments in a treatment sequence are reduced using the relative risk ratio. For bDMARD experienced patients, treatment response is reduced using the relative risk ratio at each line of therapy including the first line.</w:t>
      </w:r>
    </w:p>
    <w:p>
      <w:pPr>
        <w:pStyle w:val="Heading2"/>
      </w:pPr>
      <w:bookmarkStart w:id="59" w:name="treatment-switching-at-6-months"/>
      <w:bookmarkEnd w:id="59"/>
      <w:r>
        <w:t xml:space="preserve">Treatment switching at 6 months</w:t>
      </w:r>
    </w:p>
    <w:p>
      <w:pPr>
        <w:pStyle w:val="FirstParagraph"/>
      </w:pPr>
      <w:r>
        <w:t xml:space="preserve">The data required to determine treatment switching at 6 months depends on the selected model structure. If</w:t>
      </w:r>
      <w:r>
        <w:t xml:space="preserve"> </w:t>
      </w:r>
      <w:r>
        <w:rPr>
          <w:b/>
        </w:rPr>
        <w:t xml:space="preserve">S1</w:t>
      </w:r>
      <w:r>
        <w:t xml:space="preserve"> </w:t>
      </w:r>
      <w:r>
        <w:t xml:space="preserve">is selected, then treatment switching depends on the simulated ACR response; likewise, if</w:t>
      </w:r>
      <w:r>
        <w:t xml:space="preserve"> </w:t>
      </w:r>
      <w:r>
        <w:rPr>
          <w:b/>
        </w:rPr>
        <w:t xml:space="preserve">S5</w:t>
      </w:r>
      <w:r>
        <w:t xml:space="preserve"> </w:t>
      </w:r>
      <w:r>
        <w:t xml:space="preserve">is selected, then treatment switching depends on the simulated level of DAS28 at 6 months. When</w:t>
      </w:r>
      <w:r>
        <w:t xml:space="preserve"> </w:t>
      </w:r>
      <w:r>
        <w:rPr>
          <w:b/>
        </w:rPr>
        <w:t xml:space="preserve">S2-S4</w:t>
      </w:r>
      <w:r>
        <w:t xml:space="preserve"> </w:t>
      </w:r>
      <w:r>
        <w:t xml:space="preserve">are used, treatment switching is determined by the relationship between ACR response and the change in disease activity, and in</w:t>
      </w:r>
      <w:r>
        <w:t xml:space="preserve"> </w:t>
      </w:r>
      <w:r>
        <w:rPr>
          <w:b/>
        </w:rPr>
        <w:t xml:space="preserve">S6</w:t>
      </w:r>
      <w:r>
        <w:t xml:space="preserve">, switching is based on the relationship between ACR response and EULAR response. Details of the mapping between ACR response and change in disease activity and between ACR response and EULAR response are provided below.</w:t>
      </w:r>
    </w:p>
    <w:p>
      <w:pPr>
        <w:pStyle w:val="Heading3"/>
      </w:pPr>
      <w:bookmarkStart w:id="60" w:name="acr-response-and-change-in-disease-activity"/>
      <w:bookmarkEnd w:id="60"/>
      <w:r>
        <w:t xml:space="preserve">ACR response and change in disease activity</w:t>
      </w:r>
    </w:p>
    <w:p>
      <w:pPr>
        <w:pStyle w:val="FirstParagraph"/>
      </w:pPr>
      <w:r>
        <w:t xml:space="preserve">There are currently no established mappings between mutually exclusive ACR response categories and DAS28, SDAI, or CDAI</w:t>
      </w:r>
      <w:r>
        <w:t xml:space="preserve"> </w:t>
      </w:r>
      <w:r>
        <w:t xml:space="preserve">(Madan et al. 2015)</w:t>
      </w:r>
      <w:r>
        <w:t xml:space="preserve">. However,</w:t>
      </w:r>
      <w:r>
        <w:t xml:space="preserve"> </w:t>
      </w:r>
      <w:r>
        <w:t xml:space="preserve">D Aletaha and Smolen (2005)</w:t>
      </w:r>
      <w:r>
        <w:t xml:space="preserve"> </w:t>
      </w:r>
      <w:r>
        <w:t xml:space="preserve">provides evidence on the relationship between overlapping ACR response categories (ACR 20/50/70) and mean changes in each of the three disease activity measures. Results are reported for three cohorts—the Leflunomide datasets, the inception cohort, and the routine cohort—with 1,839, 91, and 279 patients, respectively. We transformed mean changes by overlapping ACR response categories to mean changes by mutually exclusive ACR response categories by using the number of patients in each mutually exclusive ACR response category as described in .</w:t>
      </w:r>
      <w:r>
        <w:t xml:space="preserve"> </w:t>
      </w:r>
      <w:r>
        <w:t xml:space="preserve">J. Smolen et al. (2003)</w:t>
      </w:r>
      <w:r>
        <w:t xml:space="preserve"> </w:t>
      </w:r>
      <w:r>
        <w:t xml:space="preserve">provided the number of patients in each ACR response category in the Leflunomide dataset and</w:t>
      </w:r>
      <w:r>
        <w:t xml:space="preserve"> </w:t>
      </w:r>
      <w:r>
        <w:t xml:space="preserve">Daniel Aletaha et al. (2005)</w:t>
      </w:r>
      <w:r>
        <w:t xml:space="preserve"> </w:t>
      </w:r>
      <w:r>
        <w:t xml:space="preserve">provided the number of patients in the inception cohort. Mean changes in disease activity in each mutually exclusive ACR response category are shown in .</w:t>
      </w:r>
    </w:p>
    <w:p>
      <w:pPr>
        <w:pStyle w:val="BodyText"/>
      </w:pPr>
      <w:r>
        <w:t xml:space="preserve">@lcccc</w:t>
      </w:r>
      <w:r>
        <w:t xml:space="preserve"> </w:t>
      </w:r>
      <w:r>
        <w:t xml:space="preserve">&amp;</w:t>
      </w:r>
      <w:r>
        <w:br w:type="textWrapping"/>
      </w:r>
      <w:r>
        <w:t xml:space="preserve">&amp; &amp;</w:t>
      </w:r>
      <w:r>
        <w:br w:type="textWrapping"/>
      </w:r>
      <w:r>
        <w:t xml:space="preserve">(lr)</w:t>
      </w:r>
      <w:r>
        <w:t xml:space="preserve">2-2</w:t>
      </w:r>
      <w:r>
        <w:t xml:space="preserve"> </w:t>
      </w:r>
      <w:r>
        <w:t xml:space="preserve">(lr)</w:t>
      </w:r>
      <w:r>
        <w:t xml:space="preserve">3-5</w:t>
      </w:r>
      <w:r>
        <w:t xml:space="preserve"> </w:t>
      </w:r>
      <w:r>
        <w:t xml:space="preserve">&amp; &amp; &amp; &amp;</w:t>
      </w:r>
      <w:r>
        <w:br w:type="textWrapping"/>
      </w:r>
      <w:r>
        <w:t xml:space="preserve">@inputtables/acr2da.txt</w:t>
      </w:r>
      <w:r>
        <w:t xml:space="preserve"> </w:t>
      </w:r>
    </w:p>
    <w:p>
      <w:pPr>
        <w:pStyle w:val="BodyText"/>
      </w:pPr>
      <w:r>
        <w:t xml:space="preserve">We did not include estimates from the routine cohort for two reasons. First, we were unable to find information on the number of patients in each ACR response category. Second, patients in the routine cohort had considerably lower disease activity levels</w:t>
      </w:r>
      <w:r>
        <w:t xml:space="preserve"> </w:t>
      </w:r>
      <w:r>
        <w:t xml:space="preserve">(D Aletaha and Smolen 2005; Daniel Aletaha et al. 2005)</w:t>
      </w:r>
      <w:r>
        <w:t xml:space="preserve"> </w:t>
      </w:r>
      <w:r>
        <w:t xml:space="preserve">and our default population (see ) consists of patients with high disease activity at baseline. Mean DAS28 in the inception cohort and routine cohort were 5.62 and 4.09, respectively, while the mean DAS 28 ranged from 6.3 to 7 across the clinical trials making up the Leflunomide dataset.</w:t>
      </w:r>
    </w:p>
    <w:p>
      <w:pPr>
        <w:pStyle w:val="Heading3"/>
      </w:pPr>
      <w:bookmarkStart w:id="61" w:name="acr-response-and-change-in-eular-response"/>
      <w:bookmarkEnd w:id="61"/>
      <w:r>
        <w:t xml:space="preserve">ACR response and change in EULAR response</w:t>
      </w:r>
    </w:p>
    <w:p>
      <w:pPr>
        <w:pStyle w:val="FirstParagraph"/>
      </w:pPr>
      <w:r>
        <w:t xml:space="preserve">ACR responses were translated into EULAR response probabilities based on evidence of their relationship reported in</w:t>
      </w:r>
      <w:r>
        <w:t xml:space="preserve"> </w:t>
      </w:r>
      <w:r>
        <w:t xml:space="preserve">M. Stevenson et al. (2016)</w:t>
      </w:r>
      <w:r>
        <w:t xml:space="preserve"> </w:t>
      </w:r>
      <w:r>
        <w:t xml:space="preserve">and obtained from the US Veterans Affairs Rheumatoid Arthritis (VARA) registry ().</w:t>
      </w:r>
    </w:p>
    <w:p>
      <w:pPr>
        <w:pStyle w:val="BodyText"/>
      </w:pPr>
      <w:r>
        <w:t xml:space="preserve">@lcccc</w:t>
      </w:r>
      <w:r>
        <w:t xml:space="preserve"> </w:t>
      </w:r>
      <w:r>
        <w:t xml:space="preserve">&amp;</w:t>
      </w:r>
      <w:r>
        <w:br w:type="textWrapping"/>
      </w:r>
      <w:r>
        <w:t xml:space="preserve">&amp; &amp; &amp;</w:t>
      </w:r>
      <w:r>
        <w:br w:type="textWrapping"/>
      </w:r>
      <w:r>
        <w:t xml:space="preserve">@inputtables/acr2eular.txt</w:t>
      </w:r>
      <w:r>
        <w:t xml:space="preserve"> </w:t>
      </w:r>
    </w:p>
    <w:p>
      <w:pPr>
        <w:pStyle w:val="BodyText"/>
      </w:pPr>
      <w:r>
        <w:t xml:space="preserve">Notes: The VARA registry is a multicentre, US database of veterans age 19 and older. Each cell represents the number of patients in the</w:t>
      </w:r>
      <w:r>
        <w:t xml:space="preserve"> </w:t>
      </w:r>
      <w:r>
        <w:t xml:space="preserve">database in a given category.</w:t>
      </w:r>
    </w:p>
    <w:p>
      <w:pPr>
        <w:pStyle w:val="Heading2"/>
      </w:pPr>
      <w:bookmarkStart w:id="62" w:name="change-in-haq-at-6-months"/>
      <w:bookmarkEnd w:id="62"/>
      <w:r>
        <w:t xml:space="preserve">Change in HAQ at 6 months</w:t>
      </w:r>
    </w:p>
    <w:p>
      <w:pPr>
        <w:pStyle w:val="FirstParagraph"/>
      </w:pPr>
      <w:r>
        <w:t xml:space="preserve">As in</w:t>
      </w:r>
      <w:r>
        <w:t xml:space="preserve"> </w:t>
      </w:r>
      <w:r>
        <w:t xml:space="preserve">Institute for Clinical and Economic Review (2017)</w:t>
      </w:r>
      <w:r>
        <w:t xml:space="preserve">, ACR responses from the NMA were translated into HAQ scores based on evidence from the adalimumab monotherapy for treatment of rheumatoid arthritis (ADACTA) trial reported in</w:t>
      </w:r>
      <w:r>
        <w:t xml:space="preserve"> </w:t>
      </w:r>
      <w:r>
        <w:t xml:space="preserve">Carlson et al. (2015)</w:t>
      </w:r>
      <w:r>
        <w:t xml:space="preserve"> </w:t>
      </w:r>
      <w:r>
        <w:t xml:space="preserve">().</w:t>
      </w:r>
    </w:p>
    <w:p>
      <w:pPr>
        <w:pStyle w:val="BodyText"/>
      </w:pPr>
      <w:r>
        <w:t xml:space="preserve">@lcc</w:t>
      </w:r>
      <w:r>
        <w:t xml:space="preserve"> </w:t>
      </w:r>
      <w:r>
        <w:t xml:space="preserve">&amp;</w:t>
      </w:r>
      <w:r>
        <w:br w:type="textWrapping"/>
      </w:r>
      <w:r>
        <w:t xml:space="preserve">&amp; &amp;</w:t>
      </w:r>
      <w:r>
        <w:br w:type="textWrapping"/>
      </w:r>
      <w:r>
        <w:t xml:space="preserve">@inputtables/acr2haq.txt</w:t>
      </w:r>
      <w:r>
        <w:t xml:space="preserve"> </w:t>
      </w:r>
    </w:p>
    <w:p>
      <w:pPr>
        <w:pStyle w:val="BodyText"/>
      </w:pPr>
      <w:r>
        <w:t xml:space="preserve">Source:</w:t>
      </w:r>
      <w:r>
        <w:t xml:space="preserve"> </w:t>
      </w:r>
      <w:r>
        <w:t xml:space="preserve">Carlson et al. (2015)</w:t>
      </w:r>
    </w:p>
    <w:p>
      <w:pPr>
        <w:pStyle w:val="BodyText"/>
      </w:pPr>
      <w:r>
        <w:t xml:space="preserve">The relationship between EULAR response and HAQ is based on analyses conducted by</w:t>
      </w:r>
      <w:r>
        <w:t xml:space="preserve"> </w:t>
      </w:r>
      <w:r>
        <w:t xml:space="preserve">M. Stevenson et al. (2016)</w:t>
      </w:r>
      <w:r>
        <w:t xml:space="preserve"> </w:t>
      </w:r>
      <w:r>
        <w:t xml:space="preserve">using the BSRBR database. Their analysis is based on predictions from a mixture model with covariates set to sample means. Moderate and good EULAR responses are associated with -0.317 (SE = 0.048) and -0.672 (SE = 0.112) changes in HAQ scores respectively ().</w:t>
      </w:r>
    </w:p>
    <w:p>
      <w:pPr>
        <w:pStyle w:val="BodyText"/>
      </w:pPr>
      <w:r>
        <w:t xml:space="preserve">@lcc</w:t>
      </w:r>
      <w:r>
        <w:t xml:space="preserve"> </w:t>
      </w:r>
      <w:r>
        <w:t xml:space="preserve">&amp; &amp;</w:t>
      </w:r>
      <w:r>
        <w:br w:type="textWrapping"/>
      </w:r>
      <w:r>
        <w:t xml:space="preserve">@inputtables/eular2haq.txt</w:t>
      </w:r>
      <w:r>
        <w:t xml:space="preserve"> </w:t>
      </w:r>
    </w:p>
    <w:p>
      <w:pPr>
        <w:pStyle w:val="BodyText"/>
      </w:pPr>
      <w:r>
        <w:t xml:space="preserve">compares the impact of treatment on HAQ using model structures</w:t>
      </w:r>
      <w:r>
        <w:t xml:space="preserve"> </w:t>
      </w:r>
      <w:r>
        <w:rPr>
          <w:b/>
        </w:rPr>
        <w:t xml:space="preserve">H1-H3</w:t>
      </w:r>
      <w:r>
        <w:t xml:space="preserve">. There is considerable variation, which suggests that the choice of model structure has important consequences for cost-effectiveness. The effect of treatment on the change in HAQ is largest when modeled directly (</w:t>
      </w:r>
      <w:r>
        <w:rPr>
          <w:b/>
        </w:rPr>
        <w:t xml:space="preserve">H2</w:t>
      </w:r>
      <w:r>
        <w:t xml:space="preserve">) and smallest when modeled through both ACR and EULAR response (</w:t>
      </w:r>
      <w:r>
        <w:rPr>
          <w:b/>
        </w:rPr>
        <w:t xml:space="preserve">H3</w:t>
      </w:r>
      <w:r>
        <w:t xml:space="preserve">). 95% credible intervals are also considerably larger when the change in HAQ is modeled indirectly (</w:t>
      </w:r>
      <w:r>
        <w:rPr>
          <w:b/>
        </w:rPr>
        <w:t xml:space="preserve">H1</w:t>
      </w:r>
      <w:r>
        <w:t xml:space="preserve"> </w:t>
      </w:r>
      <w:r>
        <w:t xml:space="preserve">and</w:t>
      </w:r>
      <w:r>
        <w:t xml:space="preserve"> </w:t>
      </w:r>
      <w:r>
        <w:rPr>
          <w:b/>
        </w:rPr>
        <w:t xml:space="preserve">H3</w:t>
      </w:r>
      <w:r>
        <w:t xml:space="preserve">), then when it is modeled directly (</w:t>
      </w:r>
      <w:r>
        <w:rPr>
          <w:b/>
        </w:rPr>
        <w:t xml:space="preserve">H2</w:t>
      </w:r>
      <w:r>
        <w:t xml:space="preserve">).</w:t>
      </w:r>
    </w:p>
    <w:p>
      <w:pPr>
        <w:pStyle w:val="BodyText"/>
      </w:pPr>
      <w:r>
        <w:t xml:space="preserve">@lccc</w:t>
      </w:r>
      <w:r>
        <w:t xml:space="preserve"> </w:t>
      </w:r>
      <w:r>
        <w:t xml:space="preserve">&amp; &amp; &amp;</w:t>
      </w:r>
      <w:r>
        <w:br w:type="textWrapping"/>
      </w:r>
      <w:r>
        <w:t xml:space="preserve">@inputtables/sim-dhaq-6months.txt</w:t>
      </w:r>
      <w:r>
        <w:t xml:space="preserve"> </w:t>
      </w:r>
    </w:p>
    <w:p>
      <w:pPr>
        <w:pStyle w:val="BodyText"/>
      </w:pPr>
      <w:r>
        <w:t xml:space="preserve">Notes:</w:t>
      </w:r>
      <w:r>
        <w:t xml:space="preserve"> </w:t>
      </w:r>
      <w:r>
        <w:rPr>
          <w:b/>
        </w:rPr>
        <w:t xml:space="preserve">H1</w:t>
      </w:r>
      <w:r>
        <w:t xml:space="preserve">,</w:t>
      </w:r>
      <w:r>
        <w:t xml:space="preserve"> </w:t>
      </w:r>
      <w:r>
        <w:rPr>
          <w:b/>
        </w:rPr>
        <w:t xml:space="preserve">H2</w:t>
      </w:r>
      <w:r>
        <w:t xml:space="preserve">, and</w:t>
      </w:r>
      <w:r>
        <w:t xml:space="preserve"> </w:t>
      </w:r>
      <w:r>
        <w:rPr>
          <w:b/>
        </w:rPr>
        <w:t xml:space="preserve">H3</w:t>
      </w:r>
      <w:r>
        <w:t xml:space="preserve"> </w:t>
      </w:r>
      <w:r>
        <w:t xml:space="preserve">are the Treatment</w:t>
      </w:r>
      <w:r>
        <w:t xml:space="preserve"> </w:t>
      </w:r>
      <m:oMath>
        <m:r>
          <m:t>→</m:t>
        </m:r>
      </m:oMath>
      <w:r>
        <w:t xml:space="preserve"> </w:t>
      </w:r>
      <w:r>
        <w:t xml:space="preserve">ACR</w:t>
      </w:r>
      <w:r>
        <w:t xml:space="preserve"> </w:t>
      </w:r>
      <m:oMath>
        <m:r>
          <m:t>→</m:t>
        </m:r>
      </m:oMath>
      <w:r>
        <w:t xml:space="preserve"> </w:t>
      </w:r>
      <w:r>
        <w:t xml:space="preserve">HAQ, Treatment</w:t>
      </w:r>
      <w:r>
        <w:t xml:space="preserve"> </w:t>
      </w:r>
      <m:oMath>
        <m:r>
          <m:t>→</m:t>
        </m:r>
      </m:oMath>
      <w:r>
        <w:t xml:space="preserve"> </w:t>
      </w:r>
      <w:r>
        <w:t xml:space="preserve">HAQ, and 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HAQ pathways respectively. 95% credible intervals are in parentheses. Estimates are based on 6-month simulations of 1,000 patients and 1,000 parameters sets for each therapy.</w:t>
      </w:r>
      <w:r>
        <w:t xml:space="preserve"> </w:t>
      </w:r>
      <m:oMath>
        <m:r>
          <m:t>Δ</m:t>
        </m:r>
      </m:oMath>
      <w:r>
        <w:t xml:space="preserve">HAQ denotes a change in the HAQ score at 6 months from baseline; a negative value indicates a reduction in the HAQ score.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Heading2"/>
      </w:pPr>
      <w:bookmarkStart w:id="63" w:name="haq-progression-in-the-absence-of-bdmard-treatment"/>
      <w:bookmarkEnd w:id="63"/>
      <w:r>
        <w:t xml:space="preserve">HAQ progression in the absence of bDMARD treatment</w:t>
      </w:r>
    </w:p>
    <w:p>
      <w:pPr>
        <w:pStyle w:val="FirstParagraph"/>
      </w:pPr>
      <w:r>
        <w:t xml:space="preserve">The natural course of HAQ progression in the absence of bDMARDs develops over time according to an estimated natural course for patients remaining on cDMARDs or following discontinuation of the last bDMARD of the sequence (i.e., on NBT). The natural course of HAQ can either be assumed to change at a constant linear rate or be modeled using a LCGM that accounts for non-linear progression and heterogeneity across patients.</w:t>
      </w:r>
    </w:p>
    <w:p>
      <w:pPr>
        <w:pStyle w:val="Heading3"/>
      </w:pPr>
      <w:bookmarkStart w:id="64" w:name="sec:haq-linear-rate"/>
      <w:bookmarkEnd w:id="64"/>
      <w:r>
        <w:t xml:space="preserve">Constant linear rate of progression</w:t>
      </w:r>
    </w:p>
    <w:p>
      <w:pPr>
        <w:pStyle w:val="FirstParagraph"/>
      </w:pPr>
      <w:r>
        <w:t xml:space="preserve">The rate of progression in the linear case is based on the observational study by</w:t>
      </w:r>
      <w:r>
        <w:t xml:space="preserve"> </w:t>
      </w:r>
      <w:r>
        <w:t xml:space="preserve">F. Wolfe and Michaud (2010)</w:t>
      </w:r>
      <w:r>
        <w:t xml:space="preserve">. They assessed the development of HAQ over time at six month intervals for up to 11 years among 3,829 RA patients who switched from non-biologic treatment to biologic treatment and participated in the National Data Bank for Rheumatic Diseases (NDB) longitudinal study of RA outcomes. The annual HAQ progression rate prior to biologic therapy was 0.031 (95% confidence interval (95%CI): 0.026 to 0.036) and is assumed to reflect the course of progression of HAQ in the absence of bDMARDs.</w:t>
      </w:r>
    </w:p>
    <w:p>
      <w:pPr>
        <w:pStyle w:val="BodyText"/>
      </w:pPr>
      <w:r>
        <w:t xml:space="preserve">Based on the same data,</w:t>
      </w:r>
      <w:r>
        <w:t xml:space="preserve"> </w:t>
      </w:r>
      <w:r>
        <w:t xml:space="preserve">Michaud, Wallenstein, and Wolfe (2011)</w:t>
      </w:r>
      <w:r>
        <w:t xml:space="preserve"> </w:t>
      </w:r>
      <w:r>
        <w:t xml:space="preserve">reported overall and age-specific specific HAQ progression rates. The differences between the overall and age specific rates are as follows: &lt;40: -0.020 (95%CI: -0.0223 to -0.0177); 40-64: -0.008 (95%CI: -0.0101 to -0.0059);</w:t>
      </w:r>
      <w:r>
        <w:t xml:space="preserve"> </w:t>
      </w:r>
      <m:oMath>
        <m:r>
          <m:t>≥</m:t>
        </m:r>
      </m:oMath>
      <w:r>
        <w:t xml:space="preserve"> </w:t>
      </w:r>
      <w:r>
        <w:t xml:space="preserve">65 0.017 (95%CI: 0.0136 to 0.0204). These estimates are applied to the overall progression rate of 0.031 to obtain age specific HAQ progression rates (see ).</w:t>
      </w:r>
    </w:p>
    <w:p>
      <w:pPr>
        <w:pStyle w:val="BodyText"/>
      </w:pPr>
      <w:r>
        <w:t xml:space="preserve">@lrrrl</w:t>
      </w:r>
      <w:r>
        <w:t xml:space="preserve"> </w:t>
      </w:r>
      <w:r>
        <w:t xml:space="preserve">&amp; &amp;</w:t>
      </w:r>
      <w:r>
        <w:br w:type="textWrapping"/>
      </w:r>
      <w:r>
        <w:t xml:space="preserve">&amp; &amp; &amp; &amp;</w:t>
      </w:r>
      <w:r>
        <w:br w:type="textWrapping"/>
      </w:r>
      <w:r>
        <w:t xml:space="preserve">Overall progression rate</w:t>
      </w:r>
      <w:r>
        <w:br w:type="textWrapping"/>
      </w:r>
      <w:r>
        <w:t xml:space="preserve">@inputtables/haq-lprog-cdmards.txt</w:t>
      </w:r>
      <w:r>
        <w:t xml:space="preserve"> </w:t>
      </w:r>
      <w:r>
        <w:t xml:space="preserve"> </w:t>
      </w:r>
      <w:r>
        <w:t xml:space="preserve">Change in overall progression rate by age</w:t>
      </w:r>
      <w:r>
        <w:br w:type="textWrapping"/>
      </w:r>
      <w:r>
        <w:t xml:space="preserve">@inputtables/haq-lprog-diff-byage.txt</w:t>
      </w:r>
      <w:r>
        <w:t xml:space="preserve"> </w:t>
      </w:r>
    </w:p>
    <w:p>
      <w:pPr>
        <w:pStyle w:val="BodyText"/>
      </w:pPr>
      <w:r>
        <w:t xml:space="preserve">Notes: 95% confidence intervals are calculated using a normal distribution. Confidence intervals for changes in HAQ progression rates by age assume no covariance between the overall progression rate and the age-specific rates reported by</w:t>
      </w:r>
      <w:r>
        <w:t xml:space="preserve"> </w:t>
      </w:r>
      <w:r>
        <w:t xml:space="preserve">Michaud, Wallenstein, and Wolfe (2011)</w:t>
      </w:r>
      <w:r>
        <w:t xml:space="preserve">.</w:t>
      </w:r>
    </w:p>
    <w:p>
      <w:pPr>
        <w:pStyle w:val="Heading3"/>
      </w:pPr>
      <w:bookmarkStart w:id="65" w:name="sec:haq-lcgm"/>
      <w:bookmarkEnd w:id="65"/>
      <w:r>
        <w:t xml:space="preserve">Latent class growth model</w:t>
      </w:r>
    </w:p>
    <w:p>
      <w:pPr>
        <w:pStyle w:val="FirstParagraph"/>
      </w:pPr>
      <w:r>
        <w:t xml:space="preserve">We also model the rate of HAQ progression in the absence of bDMARDs using a mixture model approach that has increasingly been used to model HAQ progression over time</w:t>
      </w:r>
      <w:r>
        <w:t xml:space="preserve"> </w:t>
      </w:r>
      <w:r>
        <w:t xml:space="preserve">(M. Stevenson et al. 2016; Norton et al. 2013; Norton et al. 2014)</w:t>
      </w:r>
      <w:r>
        <w:t xml:space="preserve">. These models suggest that different subgroups have distinct HAQ trajectories and that the rate of worsening of HAQ progression decreases over time. We use the LCGM estimated by</w:t>
      </w:r>
      <w:r>
        <w:t xml:space="preserve"> </w:t>
      </w:r>
      <w:r>
        <w:t xml:space="preserve">Norton et al. (2014)</w:t>
      </w:r>
      <w:r>
        <w:t xml:space="preserve"> </w:t>
      </w:r>
      <w:r>
        <w:t xml:space="preserve">and since we aim to model trajectories for cDMARDs and NBTs we chose the specification based on data from the Early Rheumatoid Arthritis Cohort Study (ERAS) cohort, which has a high percentage of patients receiving methotrexate and a very small percentage receiving biologics. Complete details of the LCGM are provided in .</w:t>
      </w:r>
    </w:p>
    <w:p>
      <w:pPr>
        <w:pStyle w:val="BodyText"/>
      </w:pPr>
      <w:r>
        <w:t xml:space="preserve">The</w:t>
      </w:r>
      <w:r>
        <w:t xml:space="preserve"> </w:t>
      </w:r>
      <w:r>
        <w:t xml:space="preserve">Norton et al. (2014)</w:t>
      </w:r>
      <w:r>
        <w:t xml:space="preserve"> </w:t>
      </w:r>
      <w:r>
        <w:t xml:space="preserve">LCGM determined that there are four classes of patients and thus four distinct HAQ trajectories. The probability of class membership depends on 7 variables: age, gender, DAS28, disease duration, rheumatoid factor, the ACR 1987 criteria for RA, and a measure of socioeconomic status. Age, gender, and the DAS28 are relevant to the way the population is defined within our model (see ) and are therefore important determinants of the HAQ trajectory. Other variables (disease duration, rheumatoid factor, ACR criteria, and socioeconomic status) are not defined within our population. We consequently set disease duration (8.2 months), rheumatoid factor (0.73), and the socioeconomic status variable (0.49) equal to their mean values with the ERAS cohort. The ACR criteria was set to 1.</w:t>
      </w:r>
    </w:p>
    <w:p>
      <w:pPr>
        <w:pStyle w:val="BodyText"/>
      </w:pPr>
      <w:r>
        <w:t xml:space="preserve">HAQ trajectories (in levels) by class are shown . The dotted lines plot observed mean values. There are clear distinguishable classes as both the level of the HAQ score and its slope vary between groups.</w:t>
      </w:r>
      <w:r>
        <w:t xml:space="preserve"> </w:t>
      </w:r>
      <w:r>
        <w:t xml:space="preserve">Norton et al. (2014)</w:t>
      </w:r>
      <w:r>
        <w:t xml:space="preserve"> </w:t>
      </w:r>
      <w:r>
        <w:t xml:space="preserve">refer to the groups as</w:t>
      </w:r>
      <w:r>
        <w:t xml:space="preserve"> </w:t>
      </w:r>
      <w:r>
        <w:t xml:space="preserve">“</w:t>
      </w:r>
      <w:r>
        <w:t xml:space="preserve">low</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high</w:t>
      </w:r>
      <w:r>
        <w:t xml:space="preserve">”</w:t>
      </w:r>
      <w:r>
        <w:t xml:space="preserve">, and</w:t>
      </w:r>
      <w:r>
        <w:t xml:space="preserve"> </w:t>
      </w:r>
      <w:r>
        <w:t xml:space="preserve">“</w:t>
      </w:r>
      <w:r>
        <w:t xml:space="preserve">severe</w:t>
      </w:r>
      <w:r>
        <w:t xml:space="preserve">”</w:t>
      </w:r>
      <w:r>
        <w:t xml:space="preserve"> </w:t>
      </w:r>
      <w:r>
        <w:t xml:space="preserve">groups, in order from the lowest to highest HAQ scores. The observed trends for the low, medium, and high groups follow a J-shaped pattern with a sharp drop following treatment initiation and an upward slope thereafter, while the severe group experiences persistently high HAQ scores. Since our model separates the initial treatment phase from the maintenance phase, we are only concerned with HAQ progression following the initial drop. As in</w:t>
      </w:r>
      <w:r>
        <w:t xml:space="preserve"> </w:t>
      </w:r>
      <w:r>
        <w:t xml:space="preserve">M. Stevenson et al. (2016)</w:t>
      </w:r>
      <w:r>
        <w:t xml:space="preserve">, we consequently only predict values from year 2 onward. The fitted values are the solid upward sloping lines in the plot.</w:t>
      </w:r>
    </w:p>
    <w:p>
      <w:pPr>
        <w:pStyle w:val="BodyText"/>
      </w:pPr>
      <w:r>
        <w:t xml:space="preserve">Notes: The first three data points corresponds to years 0, 0.5, and 1, respectively; all other data points are spaced 1 year apart.</w:t>
      </w:r>
    </w:p>
    <w:p>
      <w:pPr>
        <w:pStyle w:val="BodyText"/>
      </w:pPr>
      <w:r>
        <w:t xml:space="preserve">An important question for modeling disease progression in RA is how the rate of progression within each class in the LCGM compares to a constant linear trajectory. We examine this question in , which compares yearly rates of changes in HAQ using the LCGM and with constant annual rates of change (0.031 per year) based on the</w:t>
      </w:r>
      <w:r>
        <w:t xml:space="preserve"> </w:t>
      </w:r>
      <w:r>
        <w:t xml:space="preserve">F. Wolfe and Michaud (2010)</w:t>
      </w:r>
      <w:r>
        <w:t xml:space="preserve"> </w:t>
      </w:r>
      <w:r>
        <w:t xml:space="preserve">analysis. The LCGM was simulated over 30 years and differences between year</w:t>
      </w:r>
      <w:r>
        <w:t xml:space="preserve"> </w:t>
      </w:r>
      <m:oMath>
        <m:r>
          <m:t>t</m:t>
        </m:r>
      </m:oMath>
      <w:r>
        <w:t xml:space="preserve"> </w:t>
      </w:r>
      <w:r>
        <w:t xml:space="preserve">and year</w:t>
      </w:r>
      <w:r>
        <w:t xml:space="preserve"> </w:t>
      </w:r>
      <m:oMath>
        <m:r>
          <m:t>t</m:t>
        </m:r>
        <m:r>
          <m:t>−</m:t>
        </m:r>
        <m:r>
          <m:t>1</m:t>
        </m:r>
      </m:oMath>
      <w:r>
        <w:t xml:space="preserve"> </w:t>
      </w:r>
      <w:r>
        <w:t xml:space="preserve">were used to assess changes in HAQ score from one year to the next.</w:t>
      </w:r>
    </w:p>
    <w:p>
      <w:pPr>
        <w:pStyle w:val="BodyText"/>
      </w:pPr>
      <w:r>
        <w:t xml:space="preserve">In the moderate, high, and severe groups the rate of HAQ progression is higher initially in the LCGM than in the</w:t>
      </w:r>
      <w:r>
        <w:t xml:space="preserve"> </w:t>
      </w:r>
      <w:r>
        <w:t xml:space="preserve">F. Wolfe and Michaud (2010)</w:t>
      </w:r>
      <w:r>
        <w:t xml:space="preserve"> </w:t>
      </w:r>
      <w:r>
        <w:t xml:space="preserve">analysis; however, the LCGM modeled rate of HAQ progression declines over time and eventually begins to approach zero. In the low group, HAQ increases at a rate less than 0.031 per year and the rate of increase declines over time.</w:t>
      </w:r>
    </w:p>
    <w:p>
      <w:pPr>
        <w:pStyle w:val="Heading2"/>
      </w:pPr>
      <w:bookmarkStart w:id="66" w:name="haq-trajectory-with-bdmard-maintenance-treatment"/>
      <w:bookmarkEnd w:id="66"/>
      <w:r>
        <w:t xml:space="preserve">HAQ trajectory with bDMARD maintenance treatment</w:t>
      </w:r>
    </w:p>
    <w:p>
      <w:pPr>
        <w:pStyle w:val="FirstParagraph"/>
      </w:pPr>
      <w:r>
        <w:t xml:space="preserve">Based on the NDB longitudinal study,</w:t>
      </w:r>
      <w:r>
        <w:t xml:space="preserve"> </w:t>
      </w:r>
      <w:r>
        <w:t xml:space="preserve">F. Wolfe and Michaud (2010)</w:t>
      </w:r>
      <w:r>
        <w:t xml:space="preserve"> </w:t>
      </w:r>
      <w:r>
        <w:t xml:space="preserve">estimated the overall annual HAQ progression rate among RA patients who had switched to biologic treatment at -0.001 (95CI: -0.004 to 0.002). In a separate analysis, also based on NDB data,</w:t>
      </w:r>
      <w:r>
        <w:t xml:space="preserve"> </w:t>
      </w:r>
      <w:r>
        <w:t xml:space="preserve">Michaud, Wallenstein, and Wolfe (2011)</w:t>
      </w:r>
      <w:r>
        <w:t xml:space="preserve"> </w:t>
      </w:r>
      <w:r>
        <w:t xml:space="preserve">reported annual HAQ progression rates by treatment adjusted for baseline HAQ score, age, sex, education, smoking, BMI, comorbidity, and RA onset. The average HAQ rate among patients on a biologic was -0.001 as well, which instills confidence that the reported HAQ progression rates for different bDMARDs as reported by</w:t>
      </w:r>
      <w:r>
        <w:t xml:space="preserve"> </w:t>
      </w:r>
      <w:r>
        <w:t xml:space="preserve">Michaud, Wallenstein, and Wolfe (2011)</w:t>
      </w:r>
      <w:r>
        <w:t xml:space="preserve"> </w:t>
      </w:r>
      <w:r>
        <w:t xml:space="preserve">can be directly compared with the overall annual HAQ progression rate of 0.031 reported by</w:t>
      </w:r>
      <w:r>
        <w:t xml:space="preserve"> </w:t>
      </w:r>
      <w:r>
        <w:t xml:space="preserve">F. Wolfe and Michaud (2010)</w:t>
      </w:r>
      <w:r>
        <w:t xml:space="preserve">. Accordingly, bDMARD specific HAQ progression rates by</w:t>
      </w:r>
      <w:r>
        <w:t xml:space="preserve"> </w:t>
      </w:r>
      <w:r>
        <w:t xml:space="preserve">Michaud, Wallenstein, and Wolfe (2011)</w:t>
      </w:r>
      <w:r>
        <w:t xml:space="preserve"> </w:t>
      </w:r>
      <w:r>
        <w:t xml:space="preserve">are used in the model. For bDMARD treatments evaluated in the model for which no HAQ progression rate was reported by</w:t>
      </w:r>
      <w:r>
        <w:t xml:space="preserve"> </w:t>
      </w:r>
      <w:r>
        <w:t xml:space="preserve">Michaud, Wallenstein, and Wolfe (2011)</w:t>
      </w:r>
      <w:r>
        <w:t xml:space="preserve">, the overall biologic rate of -0.001 is used.</w:t>
      </w:r>
    </w:p>
    <w:p>
      <w:pPr>
        <w:pStyle w:val="Heading2"/>
      </w:pPr>
      <w:bookmarkStart w:id="67" w:name="duration-of-maintenance-treatment"/>
      <w:bookmarkEnd w:id="67"/>
      <w:r>
        <w:t xml:space="preserve">Duration of maintenance treatment</w:t>
      </w:r>
    </w:p>
    <w:p>
      <w:pPr>
        <w:pStyle w:val="FirstParagraph"/>
      </w:pPr>
      <w:r>
        <w:t xml:space="preserve">Time to treatment discontinuation in the maintenance phase depends on the pathway (</w:t>
      </w:r>
      <w:r>
        <w:rPr>
          <w:b/>
        </w:rPr>
        <w:t xml:space="preserve">S1-S6</w:t>
      </w:r>
      <w:r>
        <w:t xml:space="preserve">) used to model treatment switching. If</w:t>
      </w:r>
      <w:r>
        <w:t xml:space="preserve"> </w:t>
      </w:r>
      <w:r>
        <w:rPr>
          <w:b/>
        </w:rPr>
        <w:t xml:space="preserve">S1</w:t>
      </w:r>
      <w:r>
        <w:t xml:space="preserve"> </w:t>
      </w:r>
      <w:r>
        <w:t xml:space="preserve">is selected, a single treatment discontinuation curve based on an analysis from the CORRONA database is used for all patients. In</w:t>
      </w:r>
      <w:r>
        <w:t xml:space="preserve"> </w:t>
      </w:r>
      <w:r>
        <w:rPr>
          <w:b/>
        </w:rPr>
        <w:t xml:space="preserve">S2-S5</w:t>
      </w:r>
      <w:r>
        <w:t xml:space="preserve">, time to treatment discontinuation is stratified by the level of disease activity, and in</w:t>
      </w:r>
      <w:r>
        <w:t xml:space="preserve"> </w:t>
      </w:r>
      <w:r>
        <w:rPr>
          <w:b/>
        </w:rPr>
        <w:t xml:space="preserve">S6</w:t>
      </w:r>
      <w:r>
        <w:t xml:space="preserve"> </w:t>
      </w:r>
      <w:r>
        <w:t xml:space="preserve">treatment duration depends on EULAR response.</w:t>
      </w:r>
    </w:p>
    <w:p>
      <w:pPr>
        <w:pStyle w:val="Heading3"/>
      </w:pPr>
      <w:bookmarkStart w:id="68" w:name="sec:ttd-overall"/>
      <w:bookmarkEnd w:id="68"/>
      <w:r>
        <w:t xml:space="preserve">Treatment duration in the US</w:t>
      </w:r>
    </w:p>
    <w:p>
      <w:pPr>
        <w:pStyle w:val="FirstParagraph"/>
      </w:pPr>
      <w:r>
        <w:t xml:space="preserve">We based our estimates of treatment duration during the maintenance phase for patients in the US with analyses of the CORRONA database</w:t>
      </w:r>
      <w:r>
        <w:t xml:space="preserve"> </w:t>
      </w:r>
      <w:r>
        <w:t xml:space="preserve">(Strand et al. 2013)</w:t>
      </w:r>
      <w:r>
        <w:t xml:space="preserve">. The analysis sample consisted of 6,209 patients age 18 or older treated between 2002 and 2011 receiving either TNF inhibitors or other bDMARDs. The mean age was 57.6 years, 43% of patients were biologic naive, the mean CDAI was 16, and just over 26% of patients had high disease activity (CDAI</w:t>
      </w:r>
      <w:r>
        <w:t xml:space="preserve"> </w:t>
      </w:r>
      <m:oMath>
        <m:r>
          <m:t>≥</m:t>
        </m:r>
      </m:oMath>
      <w:r>
        <w:t xml:space="preserve"> </w:t>
      </w:r>
      <w:r>
        <w:t xml:space="preserve">22).</w:t>
      </w:r>
    </w:p>
    <w:p>
      <w:pPr>
        <w:pStyle w:val="BodyText"/>
      </w:pPr>
      <w:r>
        <w:t xml:space="preserve">7 parametric survival models (exponential, Weibull, Gompertz, gamma, log-logistic, lognormal, and generalized gamma) were estimated on individual patient data reconstructed from a Kaplan-Meier curve from the CORRONA analysis using the algorithm developed in</w:t>
      </w:r>
      <w:r>
        <w:t xml:space="preserve"> </w:t>
      </w:r>
      <w:r>
        <w:t xml:space="preserve">Guyot et al. (2012)</w:t>
      </w:r>
      <w:r>
        <w:t xml:space="preserve">. We compared fit using the Akaike Information Criteria (AIC) and Bayesian Information Criteria (BIC). The generalized gamma had the lowest AIC and BIC, so we consider it to be the preferred model. A plot of of the generalized gamma distribution against the Kaplan-Meier curve is shown in . As can be seen in the plot, the shape of the survival curve estimated using a generalized gamma distribution tracks the Kaplan-Meier curve closely.</w:t>
      </w:r>
    </w:p>
    <w:p>
      <w:pPr>
        <w:pStyle w:val="BodyText"/>
      </w:pPr>
      <w:r>
        <w:t xml:space="preserve">@lcccc</w:t>
      </w:r>
      <w:r>
        <w:t xml:space="preserve"> </w:t>
      </w:r>
      <w:r>
        <w:t xml:space="preserve">&amp; &amp;</w:t>
      </w:r>
      <w:r>
        <w:br w:type="textWrapping"/>
      </w:r>
      <w:r>
        <w:t xml:space="preserve">@inputtables/ttd-corrona-ipdsurv-ic.txt</w:t>
      </w:r>
      <w:r>
        <w:t xml:space="preserve"> </w:t>
      </w:r>
    </w:p>
    <w:p>
      <w:pPr>
        <w:pStyle w:val="BodyText"/>
      </w:pPr>
      <w:r>
        <w:t xml:space="preserve">We considered estimating separate time to discontinuation curves for each therapy, but did not for a number of the reasons cited in</w:t>
      </w:r>
      <w:r>
        <w:t xml:space="preserve"> </w:t>
      </w:r>
      <w:r>
        <w:t xml:space="preserve">M. Stevenson et al. (2016)</w:t>
      </w:r>
      <w:r>
        <w:t xml:space="preserve">. The majority of the literature focuses on anti-TNFs (e.g., infliximab, etanercept, and adalimumab)</w:t>
      </w:r>
      <w:r>
        <w:t xml:space="preserve"> </w:t>
      </w:r>
      <w:r>
        <w:t xml:space="preserve">(e.g. Gomez-Reino and Carmona 2006; Yazici et al. 2009; Pan et al. 2009)</w:t>
      </w:r>
      <w:r>
        <w:t xml:space="preserve">, which makes it difficult to estimate discontinuation curves for the other therapies. Furthermore, studies comparing rates of discontinuation across therapies tend to be observational because clinical trials are of short duration and do not reflect real-world patient populations. However, although observational studies provide accurate predictions on time to discontinuation, it is difficult to avoid bias from confounding when estimating differences across treatments because patients are not randomized into treatment and control groups</w:t>
      </w:r>
      <w:r>
        <w:t xml:space="preserve"> </w:t>
      </w:r>
      <w:r>
        <w:t xml:space="preserve">(Souto, Maneiro, and Gómez-Reino 2015)</w:t>
      </w:r>
      <w:r>
        <w:t xml:space="preserve"> </w:t>
      </w:r>
      <w:r>
        <w:t xml:space="preserve">.</w:t>
      </w:r>
    </w:p>
    <w:p>
      <w:pPr>
        <w:pStyle w:val="BodyText"/>
      </w:pPr>
      <w:r>
        <w:t xml:space="preserve">We also lack data on treatment duration for patients on cDMARDs. Following</w:t>
      </w:r>
      <w:r>
        <w:t xml:space="preserve"> </w:t>
      </w:r>
      <w:r>
        <w:t xml:space="preserve">M. Stevenson et al. (2016)</w:t>
      </w:r>
      <w:r>
        <w:t xml:space="preserve">, we assume that, conditional on continuing treatment at 6 months, treatment duration for bDMARDs is applicable to treatment duration for cDMARDs. This is, in turn, based on the assumption that cDMARDs are not likely to be more toxic than biologics used in combination with cDMARDs.</w:t>
      </w:r>
    </w:p>
    <w:p>
      <w:pPr>
        <w:pStyle w:val="Heading3"/>
      </w:pPr>
      <w:bookmarkStart w:id="69" w:name="ttd-da"/>
      <w:bookmarkEnd w:id="69"/>
      <w:r>
        <w:t xml:space="preserve">Treatment duration by disease activity level</w:t>
      </w:r>
    </w:p>
    <w:p>
      <w:pPr>
        <w:pStyle w:val="FirstParagraph"/>
      </w:pPr>
      <w:r>
        <w:t xml:space="preserve">When</w:t>
      </w:r>
      <w:r>
        <w:t xml:space="preserve"> </w:t>
      </w:r>
      <w:r>
        <w:rPr>
          <w:b/>
        </w:rPr>
        <w:t xml:space="preserve">S2-S5</w:t>
      </w:r>
      <w:r>
        <w:t xml:space="preserve"> </w:t>
      </w:r>
      <w:r>
        <w:t xml:space="preserve">are selected, treatment duration is stratified by the level of disease activity. Since patients in the CORRONA database tended to have moderate disease activity (mean CDAI = 16), we use the CORRONA survival curve to model treatment duration for patients with moderate disease activity. We adjust this curve for patients in remission or low disease activity using the odds ratios reported in</w:t>
      </w:r>
      <w:r>
        <w:t xml:space="preserve"> </w:t>
      </w:r>
      <w:r>
        <w:t xml:space="preserve">Zhang et al. (2011)</w:t>
      </w:r>
      <w:r>
        <w:t xml:space="preserve">, which imply that patients in remission or with low disease activity have .52 times the odds of stopping treatment as patients with moderate disease activity. In particular, we adjust the probability of treatment failure at each point in time using the methodology described in . As with the analysis described in , we then fit 7 parametric survival models to individual patient data reconstructed from the adjusted survival curve using the</w:t>
      </w:r>
      <w:r>
        <w:t xml:space="preserve"> </w:t>
      </w:r>
      <w:r>
        <w:t xml:space="preserve">Guyot et al. (2012)</w:t>
      </w:r>
      <w:r>
        <w:t xml:space="preserve"> </w:t>
      </w:r>
      <w:r>
        <w:t xml:space="preserve">algorithm. Generalized gamma time to treatment discontinuation curves stratified by disease activity level are shown in .</w:t>
      </w:r>
    </w:p>
    <w:p>
      <w:pPr>
        <w:pStyle w:val="Heading3"/>
      </w:pPr>
      <w:bookmarkStart w:id="70" w:name="ttd-eular"/>
      <w:bookmarkEnd w:id="70"/>
      <w:r>
        <w:t xml:space="preserve">Treatment duration by EULAR response</w:t>
      </w:r>
    </w:p>
    <w:p>
      <w:pPr>
        <w:pStyle w:val="FirstParagraph"/>
      </w:pPr>
      <w:r>
        <w:t xml:space="preserve">In</w:t>
      </w:r>
      <w:r>
        <w:t xml:space="preserve"> </w:t>
      </w:r>
      <w:r>
        <w:rPr>
          <w:b/>
        </w:rPr>
        <w:t xml:space="preserve">S6</w:t>
      </w:r>
      <w:r>
        <w:t xml:space="preserve">, we stratify time to treatment discontinuation by EULAR response based on analyses of the British Society for Rheumatology Biologics Registers (BSRBR) database</w:t>
      </w:r>
      <w:r>
        <w:t xml:space="preserve"> </w:t>
      </w:r>
      <w:r>
        <w:t xml:space="preserve">(M. Stevenson et al. 2016)</w:t>
      </w:r>
      <w:r>
        <w:t xml:space="preserve">. We again fit 7 parametric survival models using reconstructed individual patient data. The survival curves reported in</w:t>
      </w:r>
      <w:r>
        <w:t xml:space="preserve"> </w:t>
      </w:r>
      <w:r>
        <w:t xml:space="preserve">M. Stevenson et al. (2016)</w:t>
      </w:r>
      <w:r>
        <w:t xml:space="preserve"> </w:t>
      </w:r>
      <w:r>
        <w:t xml:space="preserve">were used to create the patient data. The AIC and BIC of each model by EULAR response category are shown in .</w:t>
      </w:r>
    </w:p>
    <w:p>
      <w:pPr>
        <w:pStyle w:val="BodyText"/>
      </w:pPr>
      <w:r>
        <w:t xml:space="preserve">@lcccc</w:t>
      </w:r>
      <w:r>
        <w:t xml:space="preserve"> </w:t>
      </w:r>
      <w:r>
        <w:t xml:space="preserve">&amp; &amp;</w:t>
      </w:r>
      <w:r>
        <w:br w:type="textWrapping"/>
      </w:r>
      <w:r>
        <w:t xml:space="preserve">&amp; &amp; &amp; &amp;</w:t>
      </w:r>
      <w:r>
        <w:br w:type="textWrapping"/>
      </w:r>
      <w:r>
        <w:t xml:space="preserve">@inputtables/ttd-bsrbr-ipdsurv-eular-ic.txt</w:t>
      </w:r>
      <w:r>
        <w:t xml:space="preserve"> </w:t>
      </w:r>
    </w:p>
    <w:p>
      <w:pPr>
        <w:pStyle w:val="BodyText"/>
      </w:pPr>
      <w:r>
        <w:t xml:space="preserve">One concern is that the BSRBR is representative of the UK but not the US. As a result, we also estimate</w:t>
      </w:r>
      <w:r>
        <w:t xml:space="preserve"> </w:t>
      </w:r>
      <w:r>
        <w:t xml:space="preserve">“</w:t>
      </w:r>
      <w:r>
        <w:t xml:space="preserve">adjusted</w:t>
      </w:r>
      <w:r>
        <w:t xml:space="preserve">”</w:t>
      </w:r>
      <w:r>
        <w:t xml:space="preserve"> </w:t>
      </w:r>
      <w:r>
        <w:t xml:space="preserve">survival models appropriate for US based analyses. The adjustment is made in six steps using the analyses from the CORRONA database described in .</w:t>
      </w:r>
    </w:p>
    <w:p>
      <w:pPr>
        <w:numPr>
          <w:numId w:val="1011"/>
          <w:ilvl w:val="0"/>
        </w:numPr>
      </w:pPr>
      <w:r>
        <w:t xml:space="preserve">Calculate a hazard function based on a survival curve from an analysis</w:t>
      </w:r>
      <w:r>
        <w:t xml:space="preserve"> </w:t>
      </w:r>
      <w:r>
        <w:t xml:space="preserve">of the CORRONA database. In particular, reconstruct individual patient</w:t>
      </w:r>
      <w:r>
        <w:t xml:space="preserve"> </w:t>
      </w:r>
      <w:r>
        <w:t xml:space="preserve">data from the survival curve</w:t>
      </w:r>
      <w:r>
        <w:t xml:space="preserve"> </w:t>
      </w:r>
      <w:r>
        <w:t xml:space="preserve">(Guyot et al. 2012)</w:t>
      </w:r>
      <w:r>
        <w:t xml:space="preserve"> </w:t>
      </w:r>
      <w:r>
        <w:t xml:space="preserve">and fit a</w:t>
      </w:r>
      <w:r>
        <w:t xml:space="preserve"> </w:t>
      </w:r>
      <w:r>
        <w:t xml:space="preserve">spline-based survival model. Then use the spline-based model to</w:t>
      </w:r>
      <w:r>
        <w:t xml:space="preserve"> </w:t>
      </w:r>
      <w:r>
        <w:t xml:space="preserve">estimate the hazard function</w:t>
      </w:r>
      <w:r>
        <w:t xml:space="preserve"> </w:t>
      </w:r>
      <m:oMath>
        <m:r>
          <m:t>h</m:t>
        </m:r>
        <m:r>
          <m:t>(</m:t>
        </m:r>
        <m:r>
          <m:t>t</m:t>
        </m:r>
        <m:sSub>
          <m:e>
            <m:r>
              <m:t>)</m:t>
            </m:r>
          </m:e>
          <m:sub>
            <m:r>
              <m:t>c</m:t>
            </m:r>
            <m:r>
              <m:t>o</m:t>
            </m:r>
            <m:r>
              <m:t>r</m:t>
            </m:r>
            <m:r>
              <m:t>r</m:t>
            </m:r>
            <m:r>
              <m:t>o</m:t>
            </m:r>
            <m:r>
              <m:t>n</m:t>
            </m:r>
            <m:r>
              <m:t>a</m:t>
            </m:r>
          </m:sub>
        </m:sSub>
      </m:oMath>
      <w:r>
        <w:t xml:space="preserve">.</w:t>
      </w:r>
    </w:p>
    <w:p>
      <w:pPr>
        <w:numPr>
          <w:numId w:val="1011"/>
          <w:ilvl w:val="0"/>
        </w:numPr>
      </w:pPr>
      <w:r>
        <w:t xml:space="preserve">Calculate a hazard function based on the BSRBR. To do so, first</w:t>
      </w:r>
      <w:r>
        <w:t xml:space="preserve"> </w:t>
      </w:r>
      <w:r>
        <w:t xml:space="preserve">calculate hazard functions for both moderate and good EULAR responders</w:t>
      </w:r>
      <w:r>
        <w:t xml:space="preserve"> </w:t>
      </w:r>
      <w:r>
        <w:t xml:space="preserve">using the same method described in step 1. Then calculate an overall</w:t>
      </w:r>
      <w:r>
        <w:t xml:space="preserve"> </w:t>
      </w:r>
      <w:r>
        <w:t xml:space="preserve">hazard function with the proportion of moderate and good responders in</w:t>
      </w:r>
      <w:r>
        <w:t xml:space="preserve"> </w:t>
      </w:r>
      <w:r>
        <w:t xml:space="preserve">the BSRBR analysis. Given that the number of moderate responders is</w:t>
      </w:r>
      <w:r>
        <w:t xml:space="preserve"> </w:t>
      </w:r>
      <m:oMath>
        <m:r>
          <m:t>5</m:t>
        </m:r>
        <m:r>
          <m:t>,</m:t>
        </m:r>
        <m:r>
          <m:t>492</m:t>
        </m:r>
      </m:oMath>
      <w:r>
        <w:t xml:space="preserve"> </w:t>
      </w:r>
      <w:r>
        <w:t xml:space="preserve">and the number of good responders is</w:t>
      </w:r>
      <w:r>
        <w:t xml:space="preserve"> </w:t>
      </w:r>
      <m:oMath>
        <m:r>
          <m:t>2</m:t>
        </m:r>
        <m:r>
          <m:t>,</m:t>
        </m:r>
        <m:r>
          <m:t>417</m:t>
        </m:r>
      </m:oMath>
      <w:r>
        <w:t xml:space="preserve"> </w:t>
      </w:r>
      <w:r>
        <w:t xml:space="preserve">the overall</w:t>
      </w:r>
      <w:r>
        <w:t xml:space="preserve"> </w:t>
      </w:r>
      <w:r>
        <w:t xml:space="preserve">hazard function is</w:t>
      </w:r>
      <w:r>
        <w:t xml:space="preserve"> </w:t>
      </w:r>
      <m:oMath>
        <m:r>
          <m:t>h</m:t>
        </m:r>
        <m:r>
          <m:t>(</m:t>
        </m:r>
        <m:r>
          <m:t>t</m:t>
        </m:r>
        <m:sSub>
          <m:e>
            <m:r>
              <m:t>)</m:t>
            </m:r>
          </m:e>
          <m:sub>
            <m:r>
              <m:t>b</m:t>
            </m:r>
            <m:r>
              <m:t>s</m:t>
            </m:r>
            <m:r>
              <m:t>r</m:t>
            </m:r>
            <m:r>
              <m:t>b</m:t>
            </m:r>
            <m:r>
              <m:t>r</m:t>
            </m:r>
          </m:sub>
        </m:sSub>
        <m:r>
          <m:t>=</m:t>
        </m:r>
        <m:f>
          <m:fPr>
            <m:type m:val="bar"/>
          </m:fPr>
          <m:num>
            <m:r>
              <m:t>5</m:t>
            </m:r>
            <m:r>
              <m:t>,</m:t>
            </m:r>
            <m:r>
              <m:t>492</m:t>
            </m:r>
          </m:num>
          <m:den>
            <m:r>
              <m:t>7</m:t>
            </m:r>
            <m:r>
              <m:t>,</m:t>
            </m:r>
            <m:r>
              <m:t>909</m:t>
            </m:r>
          </m:den>
        </m:f>
        <m:r>
          <m:t>h</m:t>
        </m:r>
        <m:r>
          <m:t>(</m:t>
        </m:r>
        <m:r>
          <m:t>t</m:t>
        </m:r>
        <m:sSub>
          <m:e>
            <m:r>
              <m:t>)</m:t>
            </m:r>
          </m:e>
          <m:sub>
            <m:r>
              <m:t>b</m:t>
            </m:r>
            <m:r>
              <m:t>s</m:t>
            </m:r>
            <m:r>
              <m:t>r</m:t>
            </m:r>
            <m:r>
              <m:t>b</m:t>
            </m:r>
            <m:r>
              <m:t>r</m:t>
            </m:r>
            <m:r>
              <m:t>,</m:t>
            </m:r>
            <m:r>
              <m:t>m</m:t>
            </m:r>
            <m:r>
              <m:t>o</m:t>
            </m:r>
            <m:r>
              <m:t>d</m:t>
            </m:r>
            <m:r>
              <m:t>e</m:t>
            </m:r>
            <m:r>
              <m:t>r</m:t>
            </m:r>
            <m:r>
              <m:t>a</m:t>
            </m:r>
            <m:r>
              <m:t>t</m:t>
            </m:r>
            <m:r>
              <m:t>e</m:t>
            </m:r>
          </m:sub>
        </m:sSub>
        <m:r>
          <m:t>+</m:t>
        </m:r>
        <m:f>
          <m:fPr>
            <m:type m:val="bar"/>
          </m:fPr>
          <m:num>
            <m:r>
              <m:t>2</m:t>
            </m:r>
            <m:r>
              <m:t>,</m:t>
            </m:r>
            <m:r>
              <m:t>417</m:t>
            </m:r>
          </m:num>
          <m:den>
            <m:r>
              <m:t>7</m:t>
            </m:r>
            <m:r>
              <m:t>,</m:t>
            </m:r>
            <m:r>
              <m:t>909</m:t>
            </m:r>
          </m:den>
        </m:f>
        <m:r>
          <m:t>h</m:t>
        </m:r>
        <m:r>
          <m:t>(</m:t>
        </m:r>
        <m:r>
          <m:t>t</m:t>
        </m:r>
        <m:sSub>
          <m:e>
            <m:r>
              <m:t>)</m:t>
            </m:r>
          </m:e>
          <m:sub>
            <m:r>
              <m:t>b</m:t>
            </m:r>
            <m:r>
              <m:t>b</m:t>
            </m:r>
            <m:r>
              <m:t>s</m:t>
            </m:r>
            <m:r>
              <m:t>r</m:t>
            </m:r>
            <m:r>
              <m:t>b</m:t>
            </m:r>
            <m:r>
              <m:t>r</m:t>
            </m:r>
            <m:r>
              <m:t>,</m:t>
            </m:r>
            <m:r>
              <m:t>g</m:t>
            </m:r>
            <m:r>
              <m:t>o</m:t>
            </m:r>
            <m:r>
              <m:t>o</m:t>
            </m:r>
            <m:r>
              <m:t>d</m:t>
            </m:r>
          </m:sub>
        </m:sSub>
      </m:oMath>
      <w:r>
        <w:t xml:space="preserve">.</w:t>
      </w:r>
    </w:p>
    <w:p>
      <w:pPr>
        <w:numPr>
          <w:numId w:val="1011"/>
          <w:ilvl w:val="0"/>
        </w:numPr>
      </w:pPr>
      <w:r>
        <w:t xml:space="preserve">At each point in time, calculate the ratio of the CORRONA and BSRBR</w:t>
      </w:r>
      <w:r>
        <w:t xml:space="preserve"> </w:t>
      </w:r>
      <w:r>
        <w:t xml:space="preserve">hazard functions:</w:t>
      </w:r>
      <w:r>
        <w:t xml:space="preserve"> </w:t>
      </w:r>
      <m:oMath>
        <m:r>
          <m:t>H</m:t>
        </m:r>
        <m:r>
          <m:t>R</m:t>
        </m:r>
        <m:r>
          <m:t>(</m:t>
        </m:r>
        <m:r>
          <m:t>t</m:t>
        </m:r>
        <m:r>
          <m:t>)</m:t>
        </m:r>
        <m:r>
          <m:t>=</m:t>
        </m:r>
        <m:r>
          <m:t>h</m:t>
        </m:r>
        <m:r>
          <m:t>(</m:t>
        </m:r>
        <m:r>
          <m:t>t</m:t>
        </m:r>
        <m:sSub>
          <m:e>
            <m:r>
              <m:t>)</m:t>
            </m:r>
          </m:e>
          <m:sub>
            <m:r>
              <m:t>c</m:t>
            </m:r>
            <m:r>
              <m:t>o</m:t>
            </m:r>
            <m:r>
              <m:t>r</m:t>
            </m:r>
            <m:r>
              <m:t>r</m:t>
            </m:r>
            <m:r>
              <m:t>o</m:t>
            </m:r>
            <m:r>
              <m:t>n</m:t>
            </m:r>
            <m:r>
              <m:t>a</m:t>
            </m:r>
          </m:sub>
        </m:sSub>
        <m:r>
          <m:t>/</m:t>
        </m:r>
        <m:r>
          <m:t>h</m:t>
        </m:r>
        <m:r>
          <m:t>(</m:t>
        </m:r>
        <m:r>
          <m:t>t</m:t>
        </m:r>
        <m:sSub>
          <m:e>
            <m:r>
              <m:t>)</m:t>
            </m:r>
          </m:e>
          <m:sub>
            <m:r>
              <m:t>b</m:t>
            </m:r>
            <m:r>
              <m:t>b</m:t>
            </m:r>
            <m:r>
              <m:t>s</m:t>
            </m:r>
            <m:r>
              <m:t>r</m:t>
            </m:r>
            <m:r>
              <m:t>b</m:t>
            </m:r>
            <m:r>
              <m:t>r</m:t>
            </m:r>
          </m:sub>
        </m:sSub>
      </m:oMath>
      <w:r>
        <w:t xml:space="preserve">.</w:t>
      </w:r>
    </w:p>
    <w:p>
      <w:pPr>
        <w:numPr>
          <w:numId w:val="1011"/>
          <w:ilvl w:val="0"/>
        </w:numPr>
      </w:pPr>
      <w:r>
        <w:t xml:space="preserve">Apply the hazard ratio in step 3 to the BSRBR hazard functions for</w:t>
      </w:r>
      <w:r>
        <w:t xml:space="preserve"> </w:t>
      </w:r>
      <w:r>
        <w:t xml:space="preserve">each EULAR response category. That is</w:t>
      </w:r>
      <w:r>
        <w:t xml:space="preserve"> </w:t>
      </w:r>
      <m:oMath>
        <m:r>
          <m:t>h</m:t>
        </m:r>
        <m:r>
          <m:t>(</m:t>
        </m:r>
        <m:r>
          <m:t>t</m:t>
        </m:r>
        <m:sSub>
          <m:e>
            <m:r>
              <m:t>)</m:t>
            </m:r>
          </m:e>
          <m:sub>
            <m:r>
              <m:t>b</m:t>
            </m:r>
            <m:r>
              <m:t>s</m:t>
            </m:r>
            <m:r>
              <m:t>r</m:t>
            </m:r>
            <m:r>
              <m:t>b</m:t>
            </m:r>
            <m:r>
              <m:t>r</m:t>
            </m:r>
            <m:r>
              <m:t>,</m:t>
            </m:r>
            <m:r>
              <m:t>m</m:t>
            </m:r>
            <m:r>
              <m:t>o</m:t>
            </m:r>
            <m:r>
              <m:t>d</m:t>
            </m:r>
            <m:r>
              <m:t>e</m:t>
            </m:r>
            <m:r>
              <m:t>r</m:t>
            </m:r>
            <m:r>
              <m:t>a</m:t>
            </m:r>
            <m:r>
              <m:t>t</m:t>
            </m:r>
            <m:r>
              <m:t>e</m:t>
            </m:r>
            <m:r>
              <m:t>,</m:t>
            </m:r>
            <m:r>
              <m:t>a</m:t>
            </m:r>
            <m:r>
              <m:t>d</m:t>
            </m:r>
            <m:r>
              <m:t>j</m:t>
            </m:r>
          </m:sub>
        </m:sSub>
        <m:r>
          <m:t>=</m:t>
        </m:r>
        <m:r>
          <m:t>h</m:t>
        </m:r>
        <m:r>
          <m:t>(</m:t>
        </m:r>
        <m:r>
          <m:t>t</m:t>
        </m:r>
        <m:sSub>
          <m:e>
            <m:r>
              <m:t>)</m:t>
            </m:r>
          </m:e>
          <m:sub>
            <m:r>
              <m:t>b</m:t>
            </m:r>
            <m:r>
              <m:t>s</m:t>
            </m:r>
            <m:r>
              <m:t>r</m:t>
            </m:r>
            <m:r>
              <m:t>b</m:t>
            </m:r>
            <m:r>
              <m:t>r</m:t>
            </m:r>
            <m:r>
              <m:t>,</m:t>
            </m:r>
            <m:r>
              <m:t>m</m:t>
            </m:r>
            <m:r>
              <m:t>o</m:t>
            </m:r>
            <m:r>
              <m:t>d</m:t>
            </m:r>
            <m:r>
              <m:t>e</m:t>
            </m:r>
            <m:r>
              <m:t>r</m:t>
            </m:r>
            <m:r>
              <m:t>a</m:t>
            </m:r>
            <m:r>
              <m:t>t</m:t>
            </m:r>
            <m:r>
              <m:t>e</m:t>
            </m:r>
          </m:sub>
        </m:sSub>
        <m:r>
          <m:t>⋅</m:t>
        </m:r>
        <m:r>
          <m:t>H</m:t>
        </m:r>
        <m:r>
          <m:t>R</m:t>
        </m:r>
        <m:r>
          <m:t>(</m:t>
        </m:r>
        <m:r>
          <m:t>t</m:t>
        </m:r>
        <m:r>
          <m:t>)</m:t>
        </m:r>
      </m:oMath>
      <w:r>
        <w:t xml:space="preserve"> </w:t>
      </w:r>
      <w:r>
        <w:t xml:space="preserve">and</w:t>
      </w:r>
      <w:r>
        <w:t xml:space="preserve"> </w:t>
      </w:r>
      <m:oMath>
        <m:r>
          <m:t>h</m:t>
        </m:r>
        <m:r>
          <m:t>(</m:t>
        </m:r>
        <m:r>
          <m:t>t</m:t>
        </m:r>
        <m:sSub>
          <m:e>
            <m:r>
              <m:t>)</m:t>
            </m:r>
          </m:e>
          <m:sub>
            <m:r>
              <m:t>b</m:t>
            </m:r>
            <m:r>
              <m:t>s</m:t>
            </m:r>
            <m:r>
              <m:t>r</m:t>
            </m:r>
            <m:r>
              <m:t>b</m:t>
            </m:r>
            <m:r>
              <m:t>r</m:t>
            </m:r>
            <m:r>
              <m:t>,</m:t>
            </m:r>
            <m:r>
              <m:t>g</m:t>
            </m:r>
            <m:r>
              <m:t>o</m:t>
            </m:r>
            <m:r>
              <m:t>o</m:t>
            </m:r>
            <m:r>
              <m:t>d</m:t>
            </m:r>
            <m:r>
              <m:t>,</m:t>
            </m:r>
            <m:r>
              <m:t>a</m:t>
            </m:r>
            <m:r>
              <m:t>d</m:t>
            </m:r>
            <m:r>
              <m:t>j</m:t>
            </m:r>
          </m:sub>
        </m:sSub>
        <m:r>
          <m:t>=</m:t>
        </m:r>
        <m:r>
          <m:t>h</m:t>
        </m:r>
        <m:r>
          <m:t>(</m:t>
        </m:r>
        <m:r>
          <m:t>t</m:t>
        </m:r>
        <m:sSub>
          <m:e>
            <m:r>
              <m:t>)</m:t>
            </m:r>
          </m:e>
          <m:sub>
            <m:r>
              <m:t>b</m:t>
            </m:r>
            <m:r>
              <m:t>s</m:t>
            </m:r>
            <m:r>
              <m:t>r</m:t>
            </m:r>
            <m:r>
              <m:t>b</m:t>
            </m:r>
            <m:r>
              <m:t>r</m:t>
            </m:r>
            <m:r>
              <m:t>,</m:t>
            </m:r>
            <m:r>
              <m:t>g</m:t>
            </m:r>
            <m:r>
              <m:t>o</m:t>
            </m:r>
            <m:r>
              <m:t>o</m:t>
            </m:r>
            <m:r>
              <m:t>d</m:t>
            </m:r>
          </m:sub>
        </m:sSub>
        <m:r>
          <m:t>⋅</m:t>
        </m:r>
        <m:r>
          <m:t>H</m:t>
        </m:r>
        <m:r>
          <m:t>R</m:t>
        </m:r>
        <m:r>
          <m:t>(</m:t>
        </m:r>
        <m:r>
          <m:t>t</m:t>
        </m:r>
        <m:r>
          <m:t>)</m:t>
        </m:r>
      </m:oMath>
      <w:r>
        <w:t xml:space="preserve">.</w:t>
      </w:r>
    </w:p>
    <w:p>
      <w:pPr>
        <w:numPr>
          <w:numId w:val="1011"/>
          <w:ilvl w:val="0"/>
        </w:numPr>
      </w:pPr>
      <w:r>
        <w:t xml:space="preserve">Generate survival curves using the hazard functions from step 4.</w:t>
      </w:r>
      <w:r>
        <w:t xml:space="preserve"> </w:t>
      </w:r>
      <w:r>
        <w:t xml:space="preserve">Specifically, given a general hazard function</w:t>
      </w:r>
      <w:r>
        <w:t xml:space="preserve"> </w:t>
      </w:r>
      <m:oMath>
        <m:r>
          <m:t>h</m:t>
        </m:r>
        <m:r>
          <m:t>(</m:t>
        </m:r>
        <m:r>
          <m:t>t</m:t>
        </m:r>
        <m:r>
          <m:t>)</m:t>
        </m:r>
      </m:oMath>
      <w:r>
        <w:t xml:space="preserve">, calculate the</w:t>
      </w:r>
      <w:r>
        <w:t xml:space="preserve"> </w:t>
      </w:r>
      <w:r>
        <w:t xml:space="preserve">cumulative hazard function,</w:t>
      </w:r>
      <w:r>
        <w:t xml:space="preserve"> </w:t>
      </w:r>
      <m:oMath>
        <m:r>
          <m:t>H</m:t>
        </m:r>
        <m:r>
          <m:t>(</m:t>
        </m:r>
        <m:r>
          <m:t>t</m:t>
        </m:r>
        <m:r>
          <m:t>)</m:t>
        </m:r>
        <m:r>
          <m:t>=</m:t>
        </m:r>
        <m:nary>
          <m:naryPr>
            <m:chr m:val="∫"/>
            <m:limLoc m:val="subSup"/>
            <m:subHide m:val="0"/>
            <m:supHide m:val="0"/>
          </m:naryPr>
          <m:sub>
            <m:r>
              <m:t>z</m:t>
            </m:r>
            <m:r>
              <m:t>=</m:t>
            </m:r>
            <m:r>
              <m:t>0</m:t>
            </m:r>
          </m:sub>
          <m:sup>
            <m:r>
              <m:t>t</m:t>
            </m:r>
          </m:sup>
          <m:e>
            <m:r>
              <m:t>h</m:t>
            </m:r>
          </m:e>
        </m:nary>
        <m:r>
          <m:t>(</m:t>
        </m:r>
        <m:r>
          <m:t>z</m:t>
        </m:r>
        <m:r>
          <m:t>)</m:t>
        </m:r>
        <m:r>
          <m:t>d</m:t>
        </m:r>
        <m:r>
          <m:t>z</m:t>
        </m:r>
      </m:oMath>
      <w:r>
        <w:t xml:space="preserve">,</w:t>
      </w:r>
      <w:r>
        <w:t xml:space="preserve"> </w:t>
      </w:r>
      <w:r>
        <w:t xml:space="preserve">convert this to a survival function using</w:t>
      </w:r>
      <w:r>
        <w:t xml:space="preserve"> </w:t>
      </w:r>
      <m:oMath>
        <m:r>
          <m:t>S</m:t>
        </m:r>
        <m:r>
          <m:t>(</m:t>
        </m:r>
        <m:r>
          <m:t>t</m:t>
        </m:r>
        <m:r>
          <m:t>)</m:t>
        </m:r>
        <m:r>
          <m:t>=</m:t>
        </m:r>
        <m:r>
          <m:t>e</m:t>
        </m:r>
        <m:r>
          <m:t>x</m:t>
        </m:r>
        <m:r>
          <m:t>p</m:t>
        </m:r>
        <m:r>
          <m:t>(</m:t>
        </m:r>
        <m:r>
          <m:t>−</m:t>
        </m:r>
        <m:r>
          <m:t>H</m:t>
        </m:r>
        <m:r>
          <m:t>(</m:t>
        </m:r>
        <m:r>
          <m:t>t</m:t>
        </m:r>
        <m:r>
          <m:t>)</m:t>
        </m:r>
        <m:r>
          <m:t>)</m:t>
        </m:r>
      </m:oMath>
      <w:r>
        <w:t xml:space="preserve">, and</w:t>
      </w:r>
      <w:r>
        <w:t xml:space="preserve"> </w:t>
      </w:r>
      <w:r>
        <w:t xml:space="preserve">reconstruct individual patient data using the survival curve.</w:t>
      </w:r>
    </w:p>
    <w:p>
      <w:pPr>
        <w:numPr>
          <w:numId w:val="1011"/>
          <w:ilvl w:val="0"/>
        </w:numPr>
      </w:pPr>
      <w:r>
        <w:t xml:space="preserve">Fit parametric survival models to the individual patient data</w:t>
      </w:r>
      <w:r>
        <w:t xml:space="preserve"> </w:t>
      </w:r>
      <w:r>
        <w:t xml:space="preserve">generated in step 5.</w:t>
      </w:r>
    </w:p>
    <w:p>
      <w:pPr>
        <w:pStyle w:val="FirstParagraph"/>
      </w:pPr>
      <w:r>
        <w:t xml:space="preserve">Both adjusted and unadjusted survival curves by EULAR response fit using a generalized gamma distribution are shown in . AIC and BIC for the parametric models fit in step 6 to the adjusted individual patient data are shown in .</w:t>
      </w:r>
    </w:p>
    <w:p>
      <w:pPr>
        <w:pStyle w:val="BodyText"/>
      </w:pPr>
      <w:r>
        <w:t xml:space="preserve">@lcccc</w:t>
      </w:r>
      <w:r>
        <w:t xml:space="preserve"> </w:t>
      </w:r>
      <w:r>
        <w:t xml:space="preserve">&amp; &amp;</w:t>
      </w:r>
      <w:r>
        <w:br w:type="textWrapping"/>
      </w:r>
      <w:r>
        <w:t xml:space="preserve">&amp; &amp; &amp; &amp;</w:t>
      </w:r>
      <w:r>
        <w:br w:type="textWrapping"/>
      </w:r>
      <w:r>
        <w:t xml:space="preserve">@inputtables/ttd-bsrbr-ipdsurv-eular-adjusted-ic.txt</w:t>
      </w:r>
      <w:r>
        <w:t xml:space="preserve"> </w:t>
      </w:r>
    </w:p>
    <w:p>
      <w:pPr>
        <w:pStyle w:val="Heading2"/>
      </w:pPr>
      <w:bookmarkStart w:id="71" w:name="rebound-post-treatment"/>
      <w:bookmarkEnd w:id="71"/>
      <w:r>
        <w:t xml:space="preserve">Rebound post treatment</w:t>
      </w:r>
    </w:p>
    <w:p>
      <w:pPr>
        <w:pStyle w:val="FirstParagraph"/>
      </w:pPr>
      <w:r>
        <w:t xml:space="preserve">Since no data exists on the size of the HAQ rebound post treatment, we vary its size as a proportion of the initial 6-month HAQ decline. 1 is used as an upper bound, which implies that the HAQ rebound is equal to the improvement experienced at the end of the initial 6-month period with that treatment. 0.7 is currently used as a lower bound.</w:t>
      </w:r>
    </w:p>
    <w:p>
      <w:pPr>
        <w:pStyle w:val="Heading2"/>
      </w:pPr>
      <w:bookmarkStart w:id="72" w:name="serious-infections"/>
      <w:bookmarkEnd w:id="72"/>
      <w:r>
        <w:t xml:space="preserve">Serious infections</w:t>
      </w:r>
    </w:p>
    <w:p>
      <w:pPr>
        <w:pStyle w:val="FirstParagraph"/>
      </w:pPr>
      <w:r>
        <w:t xml:space="preserve">Based on the NMA by</w:t>
      </w:r>
      <w:r>
        <w:t xml:space="preserve"> </w:t>
      </w:r>
      <w:r>
        <w:t xml:space="preserve">J. A. Singh et al. (2011)</w:t>
      </w:r>
      <w:r>
        <w:t xml:space="preserve"> </w:t>
      </w:r>
      <w:r>
        <w:t xml:space="preserve">and in accordance with</w:t>
      </w:r>
      <w:r>
        <w:t xml:space="preserve"> </w:t>
      </w:r>
      <w:r>
        <w:t xml:space="preserve">M. Stevenson et al. (2016)</w:t>
      </w:r>
      <w:r>
        <w:t xml:space="preserve">, we assume a rate of 0.035 (95% CI: 0.027 to 0.046) infections per person-year with all bDMARDs and a rate of 0.026 (no CI reported) infections per person-year with cDMARDs. The rate of infection is assumed to be equal across bDMARDs because the published results for specific bDMARDs are estimated with very little precision. The standard error on the infection rate for bDMARDs is assumed to be the same as the standard error for cDMARDs since no standard error was reported for bDMARDs in</w:t>
      </w:r>
      <w:r>
        <w:t xml:space="preserve"> </w:t>
      </w:r>
      <w:r>
        <w:t xml:space="preserve">J. A. Singh et al. (2011)</w:t>
      </w:r>
      <w:r>
        <w:t xml:space="preserve">.</w:t>
      </w:r>
    </w:p>
    <w:p>
      <w:pPr>
        <w:pStyle w:val="BodyText"/>
      </w:pPr>
      <w:r>
        <w:t xml:space="preserve">A patient in the IPS has a serious infection if the simulated time to serious infection occurs before the simulated time of treatment discontinuation. shows the probability of this occurring when treatment duration is modeled using a generalized gamma distribution. The probability of a serious infection is relatively rare as only 3.47% of patients using cDMARDs and 8.10% of patients using bDMARDs have serious infections. However, differences between cDMARDs and bDMARDs are not insignificant as the probability of a serious infection is almost 5 percentage points higher with bDMARDs than with cDMARDs.</w:t>
      </w:r>
    </w:p>
    <w:p>
      <w:pPr>
        <w:pStyle w:val="BodyText"/>
      </w:pPr>
      <w:r>
        <w:t xml:space="preserve">@lrrr</w:t>
      </w:r>
      <w:r>
        <w:t xml:space="preserve"> </w:t>
      </w:r>
      <w:r>
        <w:t xml:space="preserve">&amp;</w:t>
      </w:r>
      <w:r>
        <w:br w:type="textWrapping"/>
      </w:r>
      <w:r>
        <w:t xml:space="preserve">&amp;</w:t>
      </w:r>
      <w:r>
        <w:br w:type="textWrapping"/>
      </w:r>
      <w:r>
        <w:t xml:space="preserve">&amp; &amp; &amp;</w:t>
      </w:r>
      <w:r>
        <w:br w:type="textWrapping"/>
      </w:r>
      <w:r>
        <w:t xml:space="preserve">@inputtables/si-prop-gengamma.txt</w:t>
      </w:r>
      <w:r>
        <w:t xml:space="preserve"> </w:t>
      </w:r>
    </w:p>
    <w:p>
      <w:pPr>
        <w:pStyle w:val="BodyText"/>
      </w:pPr>
      <w:r>
        <w:t xml:space="preserve">Notes: Probabilities are estimated by simulating 1,000 patients and 1,000 parameter sets. Treatment duration is simulated using a generalized gamma distribution.</w:t>
      </w:r>
    </w:p>
    <w:p>
      <w:pPr>
        <w:pStyle w:val="BodyText"/>
      </w:pPr>
      <w:r>
        <w:t xml:space="preserve">An important question related to the sensitivity of cost-effectiveness to the model specification is whether the probability of serious infections depends on the distribution used to model time to treatment discontinuation. consequently compares serious infection probabilities by the time to treatment discontinuation distribution. There are very small differences across distributions, suggesting that the treatment duration distribution has almost no impact on the probability of serious infections.</w:t>
      </w:r>
    </w:p>
    <w:p>
      <w:pPr>
        <w:pStyle w:val="BodyText"/>
      </w:pPr>
      <w:r>
        <w:t xml:space="preserve">.5</w:t>
      </w:r>
      <w:r>
        <w:t xml:space="preserve">l@r</w:t>
      </w:r>
      <w:r>
        <w:t xml:space="preserve"> </w:t>
      </w:r>
      <w:r>
        <w:t xml:space="preserve">&amp;</w:t>
      </w:r>
      <w:r>
        <w:br w:type="textWrapping"/>
      </w:r>
      <w:r>
        <w:t xml:space="preserve">@inputtables/si-prop-mtx-bydist.txt</w:t>
      </w:r>
      <w:r>
        <w:t xml:space="preserve"> </w:t>
      </w:r>
    </w:p>
    <w:p>
      <w:pPr>
        <w:pStyle w:val="BodyText"/>
      </w:pPr>
      <w:r>
        <w:t xml:space="preserve">Notes: Probabilities are estimated by simulating 1,000 patients and 1,000 parameter sets.</w:t>
      </w:r>
    </w:p>
    <w:p>
      <w:pPr>
        <w:pStyle w:val="Heading2"/>
      </w:pPr>
      <w:bookmarkStart w:id="73" w:name="utility"/>
      <w:bookmarkEnd w:id="73"/>
      <w:r>
        <w:t xml:space="preserve">Utility</w:t>
      </w:r>
    </w:p>
    <w:p>
      <w:pPr>
        <w:pStyle w:val="FirstParagraph"/>
      </w:pPr>
      <w:r>
        <w:t xml:space="preserve">Two algorithms can be used to map HAQ to an EQ-5D utility score. Each is used to simulate utility for every patient in the model to obtain a distribution of utility over time. Our preferred algorithm is the mixture model developed by</w:t>
      </w:r>
      <w:r>
        <w:t xml:space="preserve"> </w:t>
      </w:r>
      <w:r>
        <w:t xml:space="preserve">M. H. Alava et al. (2013)</w:t>
      </w:r>
      <w:r>
        <w:t xml:space="preserve">, which is described in detail in . The second algorithm uses the logistic regression equation reported in</w:t>
      </w:r>
      <w:r>
        <w:t xml:space="preserve"> </w:t>
      </w:r>
      <w:r>
        <w:t xml:space="preserve">A. Wailoo et al. (2006)</w:t>
      </w:r>
      <w:r>
        <w:t xml:space="preserve">. The regression coefficients from</w:t>
      </w:r>
      <w:r>
        <w:t xml:space="preserve"> </w:t>
      </w:r>
      <w:r>
        <w:t xml:space="preserve">A. Wailoo et al. (2006)</w:t>
      </w:r>
      <w:r>
        <w:t xml:space="preserve"> </w:t>
      </w:r>
      <w:r>
        <w:t xml:space="preserve">are shown in and are used to predict utility with the inverse logit function.</w:t>
      </w:r>
    </w:p>
    <w:p>
      <w:pPr>
        <w:pStyle w:val="BodyText"/>
      </w:pPr>
      <w:r>
        <w:t xml:space="preserve">@lcc</w:t>
      </w:r>
      <w:r>
        <w:t xml:space="preserve"> </w:t>
      </w:r>
      <w:r>
        <w:t xml:space="preserve">&amp; &amp;</w:t>
      </w:r>
      <w:r>
        <w:br w:type="textWrapping"/>
      </w:r>
      <w:r>
        <w:t xml:space="preserve">@inputtables/util-wailoo-pars.txt</w:t>
      </w:r>
      <w:r>
        <w:t xml:space="preserve"> </w:t>
      </w:r>
    </w:p>
    <w:p>
      <w:pPr>
        <w:pStyle w:val="BodyText"/>
      </w:pPr>
      <w:r>
        <w:t xml:space="preserve">Notes: Coefficients are from the logistic regression reported in</w:t>
      </w:r>
      <w:r>
        <w:t xml:space="preserve"> </w:t>
      </w:r>
      <w:r>
        <w:t xml:space="preserve">A. Wailoo et al. (2006)</w:t>
      </w:r>
      <w:r>
        <w:t xml:space="preserve">.</w:t>
      </w:r>
    </w:p>
    <w:p>
      <w:pPr>
        <w:pStyle w:val="BodyText"/>
      </w:pPr>
      <w:r>
        <w:t xml:space="preserve">compares results from the two algorithms. Mean utility scores from the</w:t>
      </w:r>
      <w:r>
        <w:t xml:space="preserve"> </w:t>
      </w:r>
      <w:r>
        <w:t xml:space="preserve">M. H. Alava et al. (2013)</w:t>
      </w:r>
      <w:r>
        <w:t xml:space="preserve"> </w:t>
      </w:r>
      <w:r>
        <w:t xml:space="preserve">mixture model lie above those from the</w:t>
      </w:r>
      <w:r>
        <w:t xml:space="preserve"> </w:t>
      </w:r>
      <w:r>
        <w:t xml:space="preserve">A. Wailoo et al. (2006)</w:t>
      </w:r>
      <w:r>
        <w:t xml:space="preserve"> </w:t>
      </w:r>
      <w:r>
        <w:t xml:space="preserve">equation for all values of HAQ. Moreover, the slope of utility curve produced from the mixture model is steeper (although less so for the commonly observed HAQ scores between 1 and 1.5), implying that changes in HAQ from the mixture model predict larger changes in utility. Given that the mixture models have been shown to predict utility more accurately</w:t>
      </w:r>
      <w:r>
        <w:t xml:space="preserve"> </w:t>
      </w:r>
      <w:r>
        <w:t xml:space="preserve">(M. H. Alava, Wailoo, and Ara 2012; M. H. Alava et al. 2013; Hernández Alava et al. 2014)</w:t>
      </w:r>
      <w:r>
        <w:t xml:space="preserve">, this suggests that standard models underestimate the quality-adjusted life-year benefits, and hence, the cost-effectiveness of treatments.</w:t>
      </w:r>
    </w:p>
    <w:p>
      <w:pPr>
        <w:pStyle w:val="BodyText"/>
      </w:pPr>
      <w:r>
        <w:t xml:space="preserve">The utility score depends on serious infections in addition to HAQ. In particular, disutility due to serious infections is assumed to be 0.156 for the duration of the month of infection based on prior studies</w:t>
      </w:r>
      <w:r>
        <w:t xml:space="preserve"> </w:t>
      </w:r>
      <w:r>
        <w:t xml:space="preserve">(M. Stevenson et al. 2016; Oppong et al. 2013)</w:t>
      </w:r>
      <w:r>
        <w:t xml:space="preserve">. However, given the weak evidence for this estimate, the disutility of an infection is allowed to vary by 20% in either direction.</w:t>
      </w:r>
    </w:p>
    <w:p>
      <w:pPr>
        <w:pStyle w:val="Heading2"/>
      </w:pPr>
      <w:bookmarkStart w:id="74" w:name="mortality-1"/>
      <w:bookmarkEnd w:id="74"/>
      <w:r>
        <w:t xml:space="preserve">Mortality</w:t>
      </w:r>
    </w:p>
    <w:p>
      <w:pPr>
        <w:pStyle w:val="FirstParagraph"/>
      </w:pPr>
      <w:r>
        <w:t xml:space="preserve">The probability of death is simulated as a function of age/sex specific mortality from U.S. lifetables</w:t>
      </w:r>
      <w:r>
        <w:t xml:space="preserve"> </w:t>
      </w:r>
      <w:r>
        <w:t xml:space="preserve">(Arias 2015)</w:t>
      </w:r>
      <w:r>
        <w:t xml:space="preserve">, baseline HAQ, and changes in HAQ from baseline.</w:t>
      </w:r>
      <w:r>
        <w:t xml:space="preserve"> </w:t>
      </w:r>
      <w:r>
        <w:t xml:space="preserve">F. Wolfe et al. (2003)</w:t>
      </w:r>
      <w:r>
        <w:t xml:space="preserve"> </w:t>
      </w:r>
      <w:r>
        <w:t xml:space="preserve">estimate an odds ratio for the effect of HAQ on mortality of 2.22, which is applied to the absolute mortality rates of the general population (HAQ score of 0). To capture the effect of treatment on mortality, we assume that, for every 0.25-unit increase in HAQ score, subsequent 6-month mortality increases according to the hazard ratios reported in</w:t>
      </w:r>
      <w:r>
        <w:t xml:space="preserve"> </w:t>
      </w:r>
      <w:r>
        <w:t xml:space="preserve">Michaud, Vera-Llonch, and Oster (2012)</w:t>
      </w:r>
      <w:r>
        <w:t xml:space="preserve">. Parameter estimates are shown in .</w:t>
      </w:r>
    </w:p>
    <w:p>
      <w:pPr>
        <w:pStyle w:val="BodyText"/>
      </w:pPr>
      <w:r>
        <w:t xml:space="preserve">@lcccc</w:t>
      </w:r>
      <w:r>
        <w:t xml:space="preserve"> </w:t>
      </w:r>
      <w:r>
        <w:t xml:space="preserve">&amp; &amp;</w:t>
      </w:r>
      <w:r>
        <w:br w:type="textWrapping"/>
      </w:r>
      <w:r>
        <w:t xml:space="preserve">&amp; &amp; &amp; &amp;</w:t>
      </w:r>
      <w:r>
        <w:br w:type="textWrapping"/>
      </w:r>
      <w:r>
        <w:t xml:space="preserve">Impact of baseline HAQ on mortality</w:t>
      </w:r>
      <w:r>
        <w:br w:type="textWrapping"/>
      </w:r>
      <w:r>
        <w:t xml:space="preserve">@inputtables/mort-or.txt</w:t>
      </w:r>
      <w:r>
        <w:t xml:space="preserve"> </w:t>
      </w:r>
      <w:r>
        <w:t xml:space="preserve"> </w:t>
      </w:r>
      <w:r>
        <w:t xml:space="preserve">Impact of 0.25-unit change in HAQ from baseline on mortality</w:t>
      </w:r>
      <w:r>
        <w:br w:type="textWrapping"/>
      </w:r>
      <w:r>
        <w:t xml:space="preserve">@inputtables/mort-hr-haqdif.txt</w:t>
      </w:r>
      <w:r>
        <w:t xml:space="preserve"> </w:t>
      </w:r>
    </w:p>
    <w:p>
      <w:pPr>
        <w:pStyle w:val="BodyText"/>
      </w:pPr>
      <w:r>
        <w:t xml:space="preserve">Notes: 95% confidence intervals are calculated using normal distributions on the log odds</w:t>
      </w:r>
      <w:r>
        <w:t xml:space="preserve"> </w:t>
      </w:r>
      <w:r>
        <w:t xml:space="preserve">and log hazard ratio scales.</w:t>
      </w:r>
    </w:p>
    <w:p>
      <w:pPr>
        <w:pStyle w:val="BodyText"/>
      </w:pPr>
      <w:r>
        <w:t xml:space="preserve">plots survival curves by gender for</w:t>
      </w:r>
      <w:r>
        <w:t xml:space="preserve"> </w:t>
      </w:r>
      <m:oMath>
        <m:r>
          <m:t>1</m:t>
        </m:r>
        <m:r>
          <m:t>,</m:t>
        </m:r>
        <m:r>
          <m:t>000</m:t>
        </m:r>
      </m:oMath>
      <w:r>
        <w:t xml:space="preserve"> </w:t>
      </w:r>
      <w:r>
        <w:t xml:space="preserve">patients with a baseline age of 55. Survival was simulated by setting the log odds ratios and log hazard ratios from equal to their point estimates. Three scenarios are considerd. In scenario one, patients do not have RA (i.e., HAQ score of 0). In the second scenario, patients have baseline HAQ score of 1 but it does not increase over time. In the third scenario, patients still have a baseline HAQ score of 1, but it increases by 0.03 per year. The third scenario, therefore, utilizes the relationship between changes and HAQ and mortality from</w:t>
      </w:r>
      <w:r>
        <w:t xml:space="preserve"> </w:t>
      </w:r>
      <w:r>
        <w:t xml:space="preserve">Michaud, Vera-Llonch, and Oster (2012)</w:t>
      </w:r>
      <w:r>
        <w:t xml:space="preserve"> </w:t>
      </w:r>
      <w:r>
        <w:t xml:space="preserve">while the second scenario does not.</w:t>
      </w:r>
    </w:p>
    <w:p>
      <w:pPr>
        <w:pStyle w:val="BodyText"/>
      </w:pPr>
      <w:r>
        <w:t xml:space="preserve">Mean survival for females without RA was 82.5 years and declined to 77.0 for females with a constant baseline HAQ of 1 and to 72.4 when HAQ increased by 0.03 per year. Mean survival for males in the first, second, and third scenario were 79.4, 73.2, and 70.1 years respectively. Overall, the figure suggests that RA increases mortality and that larger increases in HAQ over time increase mortality by even more.</w:t>
      </w:r>
    </w:p>
    <w:p>
      <w:pPr>
        <w:pStyle w:val="BodyText"/>
      </w:pPr>
      <w:r>
        <w:t xml:space="preserve">Notes: Baseline HAQ is 1 for the</w:t>
      </w:r>
      <w:r>
        <w:t xml:space="preserve"> </w:t>
      </w:r>
      <w:r>
        <w:t xml:space="preserve">“</w:t>
      </w:r>
      <w:r>
        <w:t xml:space="preserve">Constant HAQ</w:t>
      </w:r>
      <w:r>
        <w:t xml:space="preserve">”</w:t>
      </w:r>
      <w:r>
        <w:t xml:space="preserve"> </w:t>
      </w:r>
      <w:r>
        <w:t xml:space="preserve">and</w:t>
      </w:r>
      <w:r>
        <w:t xml:space="preserve"> </w:t>
      </w:r>
      <w:r>
        <w:t xml:space="preserve">“</w:t>
      </w:r>
      <w:r>
        <w:t xml:space="preserve">HAQ increase of 0.03 per year</w:t>
      </w:r>
      <w:r>
        <w:t xml:space="preserve">”</w:t>
      </w:r>
      <w:r>
        <w:t xml:space="preserve"> </w:t>
      </w:r>
      <w:r>
        <w:t xml:space="preserve">scenarios; baseline HAQ is 0 for the</w:t>
      </w:r>
      <w:r>
        <w:t xml:space="preserve"> </w:t>
      </w:r>
      <w:r>
        <w:t xml:space="preserve">“</w:t>
      </w:r>
      <w:r>
        <w:t xml:space="preserve">No RA</w:t>
      </w:r>
      <w:r>
        <w:t xml:space="preserve">”</w:t>
      </w:r>
      <w:r>
        <w:t xml:space="preserve"> </w:t>
      </w:r>
      <w:r>
        <w:t xml:space="preserve">scenario.</w:t>
      </w:r>
    </w:p>
    <w:p>
      <w:pPr>
        <w:pStyle w:val="Heading2"/>
      </w:pPr>
      <w:bookmarkStart w:id="75" w:name="cost"/>
      <w:bookmarkEnd w:id="75"/>
      <w:r>
        <w:t xml:space="preserve">Cost</w:t>
      </w:r>
    </w:p>
    <w:p>
      <w:pPr>
        <w:pStyle w:val="FirstParagraph"/>
      </w:pPr>
      <w:r>
        <w:t xml:space="preserve">An overview of drug acquisition and administration costs is presented in . Costs are a function of dose and frequency of administration, strength and dosage form, price, and infusion costs. Since infliximab dosing depend on patient weight, the costs for infliximab reported in the table average over a patient population that is 21% male. The prices in the table are based on the wholesale acquisition cost (WAC) and do not include discounts or rebates so they may be higher than actual drug costs. In the simulation, a unique discount can be used for each drug; currently the discount is assumed to range from 20% to 30%. The methodology used to calculate drug acquisition and administration costs is described in more detail in .</w:t>
      </w:r>
    </w:p>
    <w:tbl>
      <w:tblPr>
        <w:tblStyle w:val="TableNormal"/>
        <w:tblW w:type="pct" w:w="0.0"/>
        <w:tblLook/>
      </w:tblPr>
      <w:tblGrid/>
      <w:tr>
        <w:tc>
          <w:p>
            <w:pPr>
              <w:pStyle w:val="Compact"/>
              <w:jc w:val="left"/>
            </w:pPr>
            <w:r>
              <w:t xml:space="preserve">@inputtables/treat-cost.txt</w:t>
            </w:r>
            <w:r>
              <w:t xml:space="preserve"> </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Notes: Costs in the table do not include rebates or discounts, but rebates and discounts are used in the simulation. Cost for infliximab are calculated by assuming that 21% of patients are male and that the weight of men and women are 89 kg and 75 kg respectively. Tocilizumab is dosed weekly if weight is greater than 100 kg; costs for tocilizumab reported in the table are for patients weighing less than 100 kg. IV = intravenous; SC = subcutaneous; WAC = wholesale acquisition cost.</w:t>
      </w:r>
    </w:p>
    <w:p>
      <w:pPr>
        <w:pStyle w:val="BodyText"/>
      </w:pPr>
      <w:r>
        <w:t xml:space="preserve">Parameters associated with resource use are show in in . Costs related to physician visits, chest X-rays, tuberculosis tests, and outpatient follow-up are based on</w:t>
      </w:r>
      <w:r>
        <w:t xml:space="preserve"> </w:t>
      </w:r>
      <w:r>
        <w:t xml:space="preserve">L. Claxton et al. (2016)</w:t>
      </w:r>
      <w:r>
        <w:t xml:space="preserve">. The cost per hospital day and the relationship between the HAQ score and the annual number of hospital days are from</w:t>
      </w:r>
      <w:r>
        <w:t xml:space="preserve"> </w:t>
      </w:r>
      <w:r>
        <w:t xml:space="preserve">Carlson et al. (2015)</w:t>
      </w:r>
      <w:r>
        <w:t xml:space="preserve">. Cost of any serious infection are assumed to be equal to the cost of pneumonia hospitalization at $5,873, based on Medicare reimbursement rates.</w:t>
      </w:r>
      <w:r>
        <w:t xml:space="preserve"> </w:t>
      </w:r>
      <w:r>
        <w:t xml:space="preserve">F. Wolfe et al. (2005)</w:t>
      </w:r>
      <w:r>
        <w:t xml:space="preserve"> </w:t>
      </w:r>
      <w:r>
        <w:t xml:space="preserve">provide an estimate of annual income loss in relation to HAQ scores: $4,372 (95% CI: 2,078 to 6,607; 2002 dollars) change per unit HAQ change, which are inflated to 2016 dollars.</w:t>
      </w:r>
    </w:p>
    <w:p>
      <w:pPr>
        <w:pStyle w:val="BodyText"/>
      </w:pPr>
      <w:r>
        <w:t xml:space="preserve">@lcccc</w:t>
      </w:r>
      <w:r>
        <w:t xml:space="preserve"> </w:t>
      </w:r>
      <w:r>
        <w:t xml:space="preserve">&amp; &amp;</w:t>
      </w:r>
      <w:r>
        <w:br w:type="textWrapping"/>
      </w:r>
      <w:r>
        <w:t xml:space="preserve">&amp; &amp; &amp; &amp;</w:t>
      </w:r>
      <w:r>
        <w:br w:type="textWrapping"/>
      </w:r>
      <w:r>
        <w:t xml:space="preserve">Days in hospital per year</w:t>
      </w:r>
      <w:r>
        <w:br w:type="textWrapping"/>
      </w:r>
      <w:r>
        <w:t xml:space="preserve">@inputtables/hosp-days-haq.txt</w:t>
      </w:r>
      <w:r>
        <w:t xml:space="preserve"> </w:t>
      </w:r>
      <w:r>
        <w:t xml:space="preserve"> </w:t>
      </w:r>
      <w:r>
        <w:t xml:space="preserve">@inputtables/hosp-cost-perday.txt</w:t>
      </w:r>
      <w:r>
        <w:t xml:space="preserve"> </w:t>
      </w:r>
      <w:r>
        <w:t xml:space="preserve"> </w:t>
      </w:r>
      <w:r>
        <w:t xml:space="preserve">General management cost</w:t>
      </w:r>
      <w:r>
        <w:br w:type="textWrapping"/>
      </w:r>
      <w:r>
        <w:t xml:space="preserve">@inputtables/mgmt-cost.txt</w:t>
      </w:r>
      <w:r>
        <w:t xml:space="preserve"> </w:t>
      </w:r>
      <w:r>
        <w:t xml:space="preserve"> </w:t>
      </w:r>
      <w:r>
        <w:t xml:space="preserve">Productivity loss</w:t>
      </w:r>
      <w:r>
        <w:br w:type="textWrapping"/>
      </w:r>
      <w:r>
        <w:t xml:space="preserve">@inputtables/prod-loss.txt</w:t>
      </w:r>
      <w:r>
        <w:t xml:space="preserve"> </w:t>
      </w:r>
    </w:p>
    <w:p>
      <w:pPr>
        <w:pStyle w:val="BodyText"/>
      </w:pPr>
      <w:r>
        <w:t xml:space="preserve">Notes: 95% confidence intervals for hospital days per year by HAQ score and hospital cost per day are calculated by using the methods of moments to generate the parameters of the gamma distribution given a mean and standard error. The 95% confidence intervals for general management costs are based on normal distributions as assumed in</w:t>
      </w:r>
      <w:r>
        <w:t xml:space="preserve"> </w:t>
      </w:r>
      <w:r>
        <w:t xml:space="preserve">L. Claxton et al. (2016)</w:t>
      </w:r>
      <w:r>
        <w:t xml:space="preserve">. 95% confidence interval for productivity loss are calculated using a normal distribution and inflated to 2016 dollars.</w:t>
      </w:r>
    </w:p>
    <w:p>
      <w:pPr>
        <w:pStyle w:val="Heading1"/>
      </w:pPr>
      <w:bookmarkStart w:id="76" w:name="sec:sim-uncertainty"/>
      <w:bookmarkEnd w:id="76"/>
      <w:r>
        <w:t xml:space="preserve">Simulation and uncertainty analysis</w:t>
      </w:r>
    </w:p>
    <w:p>
      <w:pPr>
        <w:pStyle w:val="Heading2"/>
      </w:pPr>
      <w:bookmarkStart w:id="77" w:name="individual-patient-simulation"/>
      <w:bookmarkEnd w:id="77"/>
      <w:r>
        <w:t xml:space="preserve">Individual patient simulation</w:t>
      </w:r>
    </w:p>
    <w:p>
      <w:pPr>
        <w:pStyle w:val="FirstParagraph"/>
      </w:pPr>
      <w:r>
        <w:t xml:space="preserve">The IPS is a discrete-time simulation that simulates individual patients one at a time. Model cycles, denoted by</w:t>
      </w:r>
      <w:r>
        <w:t xml:space="preserve"> </w:t>
      </w:r>
      <m:oMath>
        <m:r>
          <m:t>t</m:t>
        </m:r>
      </m:oMath>
      <w:r>
        <w:t xml:space="preserve">, were chosen to be 6-months long to be consistent with most RCT and real-world data evidence. describes the main components of the IPS for a single patient and a single treatment. The full simulation cycles through each treatment in a treatment sequence and through each simulated patient.</w:t>
      </w:r>
    </w:p>
    <w:p>
      <w:pPr>
        <w:numPr>
          <w:numId w:val="1012"/>
          <w:ilvl w:val="0"/>
        </w:numPr>
      </w:pPr>
      <w:r>
        <w:rPr>
          <w:b/>
        </w:rPr>
        <w:t xml:space="preserve">First 6 months (</w:t>
      </w:r>
      <m:oMath>
        <m:r>
          <m:t>t</m:t>
        </m:r>
        <m:r>
          <m:t>=</m:t>
        </m:r>
        <m:r>
          <m:t>0</m:t>
        </m:r>
      </m:oMath>
      <w:r>
        <w:rPr>
          <w:b/>
        </w:rPr>
        <w:t xml:space="preserve">)</w:t>
      </w:r>
    </w:p>
    <w:p>
      <w:pPr>
        <w:numPr>
          <w:numId w:val="1013"/>
          <w:ilvl w:val="1"/>
        </w:numPr>
      </w:pPr>
      <w:r>
        <w:t xml:space="preserve">Simulate treatment switching using</w:t>
      </w:r>
      <w:r>
        <w:t xml:space="preserve"> </w:t>
      </w:r>
      <w:r>
        <w:rPr>
          <w:b/>
        </w:rPr>
        <w:t xml:space="preserve">S1-S6</w:t>
      </w:r>
      <w:r>
        <w:t xml:space="preserve">, time to serious infection</w:t>
      </w:r>
      <w:r>
        <w:t xml:space="preserve"> </w:t>
      </w:r>
      <m:oMath>
        <m:sSub>
          <m:e>
            <m:r>
              <m:t>T</m:t>
            </m:r>
          </m:e>
          <m:sub>
            <m:r>
              <m:t>s</m:t>
            </m:r>
            <m:r>
              <m:t>i</m:t>
            </m:r>
          </m:sub>
        </m:sSub>
      </m:oMath>
      <w:r>
        <w:t xml:space="preserve">, and death ().</w:t>
      </w:r>
    </w:p>
    <w:p>
      <w:pPr>
        <w:numPr>
          <w:numId w:val="1014"/>
          <w:ilvl w:val="2"/>
        </w:numPr>
      </w:pPr>
      <w:r>
        <w:rPr>
          <w:b/>
        </w:rPr>
        <w:t xml:space="preserve">If</w:t>
      </w:r>
      <w:r>
        <w:t xml:space="preserve"> </w:t>
      </w:r>
      <w:r>
        <w:rPr>
          <w:b/>
        </w:rPr>
        <w:t xml:space="preserve">S1-S6</w:t>
      </w:r>
      <w:r>
        <w:t xml:space="preserve"> </w:t>
      </w:r>
      <w:r>
        <w:t xml:space="preserve">leads to a treatment switch or if the sampled time to serious infection occurs during cycle 0 (i.e.,</w:t>
      </w:r>
      <w:r>
        <w:t xml:space="preserve"> </w:t>
      </w:r>
      <m:oMath>
        <m:sSub>
          <m:e>
            <m:r>
              <m:t>T</m:t>
            </m:r>
          </m:e>
          <m:sub>
            <m:r>
              <m:t>s</m:t>
            </m:r>
            <m:r>
              <m:t>i</m:t>
            </m:r>
          </m:sub>
        </m:sSub>
        <m:r>
          <m:t>=</m:t>
        </m:r>
        <m:r>
          <m:t>0</m:t>
        </m:r>
      </m:oMath>
      <w:r>
        <w:t xml:space="preserve">),</w:t>
      </w:r>
      <w:r>
        <w:t xml:space="preserve"> </w:t>
      </w:r>
      <w:r>
        <w:rPr>
          <w:b/>
        </w:rPr>
        <w:t xml:space="preserve">then</w:t>
      </w:r>
      <w:r>
        <w:t xml:space="preserve"> </w:t>
      </w:r>
      <w:r>
        <w:t xml:space="preserve">stop treatment. It is assumed that HAQ does not change.</w:t>
      </w:r>
      <w:r>
        <w:t xml:space="preserve"> </w:t>
      </w:r>
      <w:r>
        <w:rPr>
          <w:b/>
        </w:rPr>
        <w:t xml:space="preserve">Else</w:t>
      </w:r>
      <w:r>
        <w:t xml:space="preserve">, continue treatment. Simulate change in HAQ using</w:t>
      </w:r>
      <w:r>
        <w:t xml:space="preserve"> </w:t>
      </w:r>
      <w:r>
        <w:rPr>
          <w:b/>
        </w:rPr>
        <w:t xml:space="preserve">H1-H3</w:t>
      </w:r>
      <w:r>
        <w:t xml:space="preserve"> </w:t>
      </w:r>
      <w:r>
        <w:t xml:space="preserve">and time to treatment discontinuation</w:t>
      </w:r>
      <w:r>
        <w:t xml:space="preserve"> </w:t>
      </w:r>
      <m:oMath>
        <m:r>
          <m:t>T</m:t>
        </m:r>
      </m:oMath>
      <w:r>
        <w:t xml:space="preserve">.</w:t>
      </w:r>
    </w:p>
    <w:p>
      <w:pPr>
        <w:numPr>
          <w:numId w:val="1014"/>
          <w:ilvl w:val="2"/>
        </w:numPr>
      </w:pPr>
      <w:r>
        <w:rPr>
          <w:b/>
        </w:rPr>
        <w:t xml:space="preserve">If</w:t>
      </w:r>
      <w:r>
        <w:t xml:space="preserve"> </w:t>
      </w:r>
      <w:r>
        <w:t xml:space="preserve">patient died,</w:t>
      </w:r>
      <w:r>
        <w:t xml:space="preserve"> </w:t>
      </w:r>
      <w:r>
        <w:rPr>
          <w:b/>
        </w:rPr>
        <w:t xml:space="preserve">then</w:t>
      </w:r>
      <w:r>
        <w:t xml:space="preserve"> </w:t>
      </w:r>
      <w:r>
        <w:t xml:space="preserve">move to next patient.</w:t>
      </w:r>
    </w:p>
    <w:p>
      <w:pPr>
        <w:numPr>
          <w:numId w:val="1012"/>
          <w:ilvl w:val="0"/>
        </w:numPr>
      </w:pPr>
      <w:r>
        <w:rPr>
          <w:b/>
        </w:rPr>
        <w:t xml:space="preserve">Maintenance phase</w:t>
      </w:r>
      <w:r>
        <w:t xml:space="preserve"> </w:t>
      </w:r>
      <w:r>
        <w:t xml:space="preserve">(for</w:t>
      </w:r>
      <w:r>
        <w:t xml:space="preserve"> </w:t>
      </w:r>
      <m:oMath>
        <m:r>
          <m:t>t</m:t>
        </m:r>
        <m:r>
          <m:t>&gt;</m:t>
        </m:r>
        <m:r>
          <m:t>0</m:t>
        </m:r>
        <m:r>
          <m:rPr>
            <m:sty m:val="p"/>
          </m:rPr>
          <m:t> and </m:t>
        </m:r>
        <m:r>
          <m:t>t</m:t>
        </m:r>
        <m:r>
          <m:t>≤</m:t>
        </m:r>
        <m:r>
          <m:t>T</m:t>
        </m:r>
      </m:oMath>
      <w:r>
        <w:t xml:space="preserve">)</w:t>
      </w:r>
    </w:p>
    <w:p>
      <w:pPr>
        <w:numPr>
          <w:numId w:val="1015"/>
          <w:ilvl w:val="1"/>
        </w:numPr>
      </w:pPr>
      <w:r>
        <w:t xml:space="preserve">Simulate death and change in HAQ.</w:t>
      </w:r>
    </w:p>
    <w:p>
      <w:pPr>
        <w:numPr>
          <w:numId w:val="1015"/>
          <w:ilvl w:val="1"/>
        </w:numPr>
      </w:pPr>
      <w:r>
        <w:rPr>
          <w:b/>
        </w:rPr>
        <w:t xml:space="preserve">If</w:t>
      </w:r>
      <w:r>
        <w:t xml:space="preserve"> </w:t>
      </w:r>
      <w:r>
        <w:t xml:space="preserve">patient died,</w:t>
      </w:r>
      <w:r>
        <w:t xml:space="preserve"> </w:t>
      </w:r>
      <w:r>
        <w:rPr>
          <w:b/>
        </w:rPr>
        <w:t xml:space="preserve">then</w:t>
      </w:r>
      <w:r>
        <w:t xml:space="preserve"> </w:t>
      </w:r>
      <w:r>
        <w:t xml:space="preserve">move to next patient.</w:t>
      </w:r>
    </w:p>
    <w:p>
      <w:pPr>
        <w:numPr>
          <w:numId w:val="1015"/>
          <w:ilvl w:val="1"/>
        </w:numPr>
      </w:pPr>
      <w:r>
        <w:rPr>
          <w:b/>
        </w:rPr>
        <w:t xml:space="preserve">If</w:t>
      </w:r>
      <w:r>
        <w:t xml:space="preserve"> </w:t>
      </w:r>
      <m:oMath>
        <m:r>
          <m:t>t</m:t>
        </m:r>
        <m:r>
          <m:t>=</m:t>
        </m:r>
        <m:r>
          <m:t>T</m:t>
        </m:r>
      </m:oMath>
      <w:r>
        <w:t xml:space="preserve">,</w:t>
      </w:r>
      <w:r>
        <w:t xml:space="preserve"> </w:t>
      </w:r>
      <w:r>
        <w:rPr>
          <w:b/>
        </w:rPr>
        <w:t xml:space="preserve">then</w:t>
      </w:r>
      <w:r>
        <w:t xml:space="preserve"> </w:t>
      </w:r>
      <w:r>
        <w:t xml:space="preserve">switch treatment. Treatment switch caused by a serious infection if time to serious infection occurred during or before cycle T (i.e.,</w:t>
      </w:r>
      <w:r>
        <w:t xml:space="preserve"> </w:t>
      </w:r>
      <m:oMath>
        <m:sSub>
          <m:e>
            <m:r>
              <m:t>T</m:t>
            </m:r>
          </m:e>
          <m:sub>
            <m:r>
              <m:t>s</m:t>
            </m:r>
            <m:r>
              <m:t>i</m:t>
            </m:r>
          </m:sub>
        </m:sSub>
        <m:r>
          <m:t>≤</m:t>
        </m:r>
        <m:r>
          <m:t>T</m:t>
        </m:r>
      </m:oMath>
      <w:r>
        <w:t xml:space="preserve">).</w:t>
      </w:r>
    </w:p>
    <w:p>
      <w:pPr>
        <w:pStyle w:val="Heading2"/>
      </w:pPr>
      <w:bookmarkStart w:id="78" w:name="parameter-uncertainty"/>
      <w:bookmarkEnd w:id="78"/>
      <w:r>
        <w:t xml:space="preserve">Parameter uncertainty</w:t>
      </w:r>
    </w:p>
    <w:p>
      <w:pPr>
        <w:pStyle w:val="FirstParagraph"/>
      </w:pPr>
      <w:r>
        <w:t xml:space="preserve">Parameter uncertainty is quantified using PSA, which propagates uncertainty in the model input parameters throughout the model by randomly sampling the input parameters from their joint probability distribution</w:t>
      </w:r>
      <w:r>
        <w:t xml:space="preserve"> </w:t>
      </w:r>
      <w:r>
        <w:t xml:space="preserve">(Baio and Dawid 2015; Claxton et al. 2005)</w:t>
      </w:r>
      <w:r>
        <w:t xml:space="preserve">. Probability distributions are determined according to the distributional properties of the statistical estimates, which, in turn, depend on the statistical techniques used and the distributions of the underlying data. We, for the most part, use normal distributions for sample means, gamma distributions for right-skewed data (e.g., hospital costs), and Dirichlet distributions for multinomial data. The multivariate normal distribution is used for regression parameters estimated using frequentist techniques, provided that the variance-covariance from the statistical analysis is available. For parameters estimated using a Bayesian NMA, we fit multivariate normal distributions to the posterior distribution of the parameters generated from the Markov-Chain Monte-Carlo (MCMC) algorithm using sample means and the sample covariance matrix. When we lack evidence on a parameter, we typically assume a uniform distribution with lower and upper limits that reflect the degree of uncertainty in the parameter. The PSA parameter distributions are summarized in .</w:t>
      </w:r>
    </w:p>
    <w:p>
      <w:pPr>
        <w:pStyle w:val="BodyText"/>
      </w:pPr>
      <w:r>
        <w:t xml:space="preserve">@p</w:t>
      </w:r>
      <w:r>
        <w:t xml:space="preserve">.65</w:t>
      </w:r>
      <w:r>
        <w:t xml:space="preserve"> </w:t>
      </w:r>
      <w:r>
        <w:t xml:space="preserve">p</w:t>
      </w:r>
      <w:r>
        <w:t xml:space="preserve">.35</w:t>
      </w:r>
      <w:r>
        <w:t xml:space="preserve"> </w:t>
      </w:r>
      <w:r>
        <w:t xml:space="preserve"> </w:t>
      </w:r>
      <w:r>
        <w:t xml:space="preserve">&amp;</w:t>
      </w:r>
      <w:r>
        <w:br w:type="textWrapping"/>
      </w:r>
      <w:r>
        <w:t xml:space="preserve">Rebound factor &amp; Uniform</w:t>
      </w:r>
      <w:r>
        <w:br w:type="textWrapping"/>
      </w:r>
      <w:r>
        <w:t xml:space="preserve">NMA parameters - ACR response &amp; Multivariate normal</w:t>
      </w:r>
      <w:r>
        <w:br w:type="textWrapping"/>
      </w:r>
      <w:r>
        <w:t xml:space="preserve">NMA parameters - DAS28 &amp; Multivariate normal</w:t>
      </w:r>
      <w:r>
        <w:br w:type="textWrapping"/>
      </w:r>
      <w:r>
        <w:t xml:space="preserve">NMA parameters - HAQ &amp; Multivariate normal</w:t>
      </w:r>
      <w:r>
        <w:br w:type="textWrapping"/>
      </w:r>
      <w:r>
        <w:t xml:space="preserve">Drug acquisition and administration cost &amp; Fixed</w:t>
      </w:r>
      <w:r>
        <w:br w:type="textWrapping"/>
      </w:r>
      <w:r>
        <w:t xml:space="preserve">Survival model parameters for treatment duration during maintenance phase &amp; Multivariate normal</w:t>
      </w:r>
      <w:r>
        <w:br w:type="textWrapping"/>
      </w:r>
      <w:r>
        <w:t xml:space="preserve">US lifetable mortality rates &amp; Fixed</w:t>
      </w:r>
      <w:r>
        <w:br w:type="textWrapping"/>
      </w:r>
      <w:r>
        <w:t xml:space="preserve">Mortality probability odds ratio - baseline HAQ &amp; Normal</w:t>
      </w:r>
      <w:r>
        <w:br w:type="textWrapping"/>
      </w:r>
      <w:r>
        <w:t xml:space="preserve">Mortality probability hazard ratio - change in HAQ from baseline &amp; Normal</w:t>
      </w:r>
      <w:r>
        <w:br w:type="textWrapping"/>
      </w:r>
      <w:r>
        <w:t xml:space="preserve">ACR response to EULAR response mapping &amp; Dirichlet</w:t>
      </w:r>
      <w:r>
        <w:br w:type="textWrapping"/>
      </w:r>
      <w:r>
        <w:t xml:space="preserve">ACR response to SDAI mapping &amp; Uniform</w:t>
      </w:r>
      <w:r>
        <w:br w:type="textWrapping"/>
      </w:r>
      <w:r>
        <w:t xml:space="preserve">ACR response to CDAI mapping &amp; Uniform</w:t>
      </w:r>
      <w:r>
        <w:br w:type="textWrapping"/>
      </w:r>
      <w:r>
        <w:t xml:space="preserve">ACR response to HAQ mapping &amp; Normal</w:t>
      </w:r>
      <w:r>
        <w:br w:type="textWrapping"/>
      </w:r>
      <w:r>
        <w:t xml:space="preserve">EULAR response to HAQ mapping &amp; Normal</w:t>
      </w:r>
      <w:r>
        <w:br w:type="textWrapping"/>
      </w:r>
      <w:r>
        <w:t xml:space="preserve">Linear HAQ progression - by therapy &amp; Normal</w:t>
      </w:r>
      <w:r>
        <w:br w:type="textWrapping"/>
      </w:r>
      <w:r>
        <w:t xml:space="preserve">Linear HAQ progression - by age &amp; Normal</w:t>
      </w:r>
      <w:r>
        <w:br w:type="textWrapping"/>
      </w:r>
      <w:r>
        <w:t xml:space="preserve">Latent class growth model for HAQ progression &amp; Normal</w:t>
      </w:r>
      <w:r>
        <w:br w:type="textWrapping"/>
      </w:r>
      <w:r>
        <w:t xml:space="preserve">Utility model -</w:t>
      </w:r>
      <w:r>
        <w:t xml:space="preserve"> </w:t>
      </w:r>
      <w:r>
        <w:t xml:space="preserve">(M. H. Alava et al. 2013)</w:t>
      </w:r>
      <w:r>
        <w:t xml:space="preserve"> </w:t>
      </w:r>
      <w:r>
        <w:t xml:space="preserve">mixture model &amp; Multivariate normal</w:t>
      </w:r>
      <w:r>
        <w:br w:type="textWrapping"/>
      </w:r>
      <w:r>
        <w:t xml:space="preserve">Utility model -</w:t>
      </w:r>
      <w:r>
        <w:t xml:space="preserve"> </w:t>
      </w:r>
      <w:r>
        <w:t xml:space="preserve">A. Wailoo et al. (2006)</w:t>
      </w:r>
      <w:r>
        <w:t xml:space="preserve"> </w:t>
      </w:r>
      <w:r>
        <w:t xml:space="preserve">&amp; Normal</w:t>
      </w:r>
      <w:r>
        <w:br w:type="textWrapping"/>
      </w:r>
      <w:r>
        <w:t xml:space="preserve">Hospital costs - hospital days by HAQ &amp; Gamma</w:t>
      </w:r>
      <w:r>
        <w:br w:type="textWrapping"/>
      </w:r>
      <w:r>
        <w:t xml:space="preserve">Hospital costs - hospital costs per day &amp; Gamma</w:t>
      </w:r>
      <w:r>
        <w:br w:type="textWrapping"/>
      </w:r>
      <w:r>
        <w:t xml:space="preserve">General management cost &amp; Gamma</w:t>
      </w:r>
      <w:r>
        <w:br w:type="textWrapping"/>
      </w:r>
      <w:r>
        <w:t xml:space="preserve">Serious infection - survival parameters &amp; Normal</w:t>
      </w:r>
      <w:r>
        <w:br w:type="textWrapping"/>
      </w:r>
      <w:r>
        <w:t xml:space="preserve">Serious infection - cost per infection &amp; Uniform</w:t>
      </w:r>
      <w:r>
        <w:br w:type="textWrapping"/>
      </w:r>
      <w:r>
        <w:t xml:space="preserve">Serious infection - utility loss &amp; Uniform</w:t>
      </w:r>
      <w:r>
        <w:br w:type="textWrapping"/>
      </w:r>
    </w:p>
    <w:p>
      <w:pPr>
        <w:pStyle w:val="Heading2"/>
      </w:pPr>
      <w:bookmarkStart w:id="79" w:name="stuctural-uncertainty"/>
      <w:bookmarkEnd w:id="79"/>
      <w:r>
        <w:t xml:space="preserve">Structural uncertainty</w:t>
      </w:r>
    </w:p>
    <w:p>
      <w:pPr>
        <w:pStyle w:val="FirstParagraph"/>
      </w:pPr>
      <w:r>
        <w:t xml:space="preserve">We consider structural uncertainty due to two factors:</w:t>
      </w:r>
    </w:p>
    <w:p>
      <w:pPr>
        <w:numPr>
          <w:numId w:val="1016"/>
          <w:ilvl w:val="0"/>
        </w:numPr>
      </w:pPr>
      <w:r>
        <w:t xml:space="preserve">The relationship between health states within the model.</w:t>
      </w:r>
    </w:p>
    <w:p>
      <w:pPr>
        <w:numPr>
          <w:numId w:val="1016"/>
          <w:ilvl w:val="0"/>
        </w:numPr>
      </w:pPr>
      <w:r>
        <w:t xml:space="preserve">The statistical model used to estimate parameters.</w:t>
      </w:r>
    </w:p>
    <w:p>
      <w:pPr>
        <w:pStyle w:val="FirstParagraph"/>
      </w:pPr>
      <w:r>
        <w:t xml:space="preserve">summarizes the competing model structures, which are conditional on the perspective of the decision maker. In total, there are 12 x 2 x 7 x 2 = 336 possible model structures. The choice of model structure for the initial treatment phase (</w:t>
      </w:r>
      <w:r>
        <w:rPr>
          <w:b/>
        </w:rPr>
        <w:t xml:space="preserve">H1-H3</w:t>
      </w:r>
      <w:r>
        <w:t xml:space="preserve"> </w:t>
      </w:r>
      <w:r>
        <w:t xml:space="preserve">and</w:t>
      </w:r>
      <w:r>
        <w:t xml:space="preserve"> </w:t>
      </w:r>
      <w:r>
        <w:rPr>
          <w:b/>
        </w:rPr>
        <w:t xml:space="preserve">S1-S6</w:t>
      </w:r>
      <w:r>
        <w:t xml:space="preserve">) depends on the preferred measures of disease activity included in the model as well as whether statistical relationships should be modeled directly or indirectly. Likewise, model structures related to HAQ progression, treatment duration, and converting HAQ to utility all reflect uncertainty in the appropriate statistical model.</w:t>
      </w:r>
    </w:p>
    <w:p>
      <w:pPr>
        <w:pStyle w:val="TableCaption"/>
      </w:pPr>
      <w:r>
        <w:t xml:space="preserve">Competing model structures</w:t>
      </w:r>
    </w:p>
    <w:tbl>
      <w:tblPr>
        <w:tblStyle w:val="TableNormal"/>
        <w:tblW w:type="pct" w:w="0.0"/>
        <w:tblLook/>
        <w:tblCaption w:val="Competing model structures"/>
      </w:tblPr>
      <w:tblGrid/>
      <w:tr>
        <w:tc>
          <w:p>
            <w:pPr>
              <w:pStyle w:val="Compact"/>
              <w:jc w:val="left"/>
            </w:pPr>
            <w:r>
              <w:t xml:space="preserve">Initial effect of treatment on HAQ (</w:t>
            </w:r>
            <w:r>
              <w:rPr>
                <w:b/>
              </w:rPr>
              <w:t xml:space="preserve">H1-H3</w:t>
            </w:r>
            <w:r>
              <w:t xml:space="preserve">) and switching (</w:t>
            </w:r>
            <w:r>
              <w:rPr>
                <w:b/>
              </w:rPr>
              <w:t xml:space="preserve">S1-S6</w:t>
            </w:r>
            <w:r>
              <w:t xml:space="preserve">)</w:t>
            </w:r>
          </w:p>
        </w:tc>
        <w:tc>
          <w:p>
            <w:pPr>
              <w:pStyle w:val="Compact"/>
              <w:jc w:val="left"/>
            </w:pPr>
            <w:r>
              <w:t xml:space="preserve">12</w:t>
            </w:r>
          </w:p>
        </w:tc>
      </w:tr>
      <w:tr>
        <w:tc>
          <w:p>
            <w:pPr>
              <w:pStyle w:val="Compact"/>
              <w:jc w:val="left"/>
            </w:pPr>
            <w:r>
              <w:t xml:space="preserve">HAQ trajectory</w:t>
            </w:r>
          </w:p>
        </w:tc>
        <w:tc>
          <w:p>
            <w:pPr>
              <w:pStyle w:val="Compact"/>
              <w:jc w:val="left"/>
            </w:pPr>
            <w:r>
              <w:t xml:space="preserve">2</w:t>
            </w:r>
          </w:p>
        </w:tc>
      </w:tr>
      <w:tr>
        <w:tc>
          <w:p>
            <w:pPr>
              <w:pStyle w:val="Compact"/>
              <w:jc w:val="left"/>
            </w:pPr>
            <w:r>
              <w:t xml:space="preserve">Probability distribution for treatment duration</w:t>
            </w:r>
          </w:p>
        </w:tc>
        <w:tc>
          <w:p>
            <w:pPr>
              <w:pStyle w:val="Compact"/>
              <w:jc w:val="left"/>
            </w:pPr>
            <w:r>
              <w:t xml:space="preserve">7</w:t>
            </w:r>
          </w:p>
        </w:tc>
      </w:tr>
      <w:tr>
        <w:tc>
          <w:p>
            <w:pPr>
              <w:pStyle w:val="Compact"/>
              <w:jc w:val="left"/>
            </w:pPr>
            <w:r>
              <w:t xml:space="preserve">Utility algorithm</w:t>
            </w:r>
          </w:p>
        </w:tc>
        <w:tc>
          <w:p>
            <w:pPr>
              <w:pStyle w:val="Compact"/>
              <w:jc w:val="left"/>
            </w:pPr>
            <w:r>
              <w:t xml:space="preserve">2</w:t>
            </w:r>
          </w:p>
        </w:tc>
      </w:tr>
    </w:tbl>
    <w:p>
      <w:pPr>
        <w:pStyle w:val="Heading2"/>
      </w:pPr>
      <w:bookmarkStart w:id="80" w:name="implementation"/>
      <w:bookmarkEnd w:id="80"/>
      <w:r>
        <w:t xml:space="preserve">Implementation</w:t>
      </w:r>
    </w:p>
    <w:p>
      <w:pPr>
        <w:pStyle w:val="FirstParagraph"/>
      </w:pPr>
      <w:r>
        <w:t xml:space="preserve">We begin by describing the simulation procedure conditional on model structure, which uses PSA to capture uncertainty within but not between models. The procedure proceeds in two steps: first, model parameters are sampled from their joint probability distribution (), and second, for each parameter set, model outcomes are simulated one at a time for individual patients in the specified population ().</w:t>
      </w:r>
    </w:p>
    <w:p>
      <w:pPr>
        <w:pStyle w:val="BodyText"/>
      </w:pPr>
      <w:r>
        <w:t xml:space="preserve">Analysts who wish to expand the analysis to capture uncertainty between models can follow the approach described in</w:t>
      </w:r>
      <w:r>
        <w:t xml:space="preserve"> </w:t>
      </w:r>
      <w:r>
        <w:t xml:space="preserve">Bojke et al. (2009)</w:t>
      </w:r>
      <w:r>
        <w:t xml:space="preserve">. In particular, for each randomly sampled parameter set, each model structure (or a subset of plausible model structures) can be simulated. The distribution of simulated outcomes across parameters and models will then reflect uncertainty both within and between models.</w:t>
      </w:r>
    </w:p>
    <w:p>
      <w:pPr>
        <w:pStyle w:val="BodyText"/>
      </w:pPr>
      <w:r>
        <w:t xml:space="preserve">It’s important to note that simulation output for an individual patient captures differences in outcomes across patients due to random variation (often referred to as first order uncertainty). This information might be useful to patients since it is needed to predict the distribution of their future outcomes conditional on their characteristics, but less useful to a decision maker concerned with making treatment decisions for a population or subset of a population. Analysts wishing to use the model for CEA should therefore estimate mean outcomes by averaging over the simulated patients for each parameter set and model structure. The number of simulated patients should be sufficiently large so that mean outcomes are stable across model runs (i.e., so that first order uncertainty is eliminated).</w:t>
      </w:r>
    </w:p>
    <w:p>
      <w:pPr>
        <w:pStyle w:val="BodyText"/>
      </w:pPr>
      <w:r>
        <w:t xml:space="preserve">Although CEA is concerned with mean outcomes, that does not imply that it does not account for heterogeneity. Instead, since outcomes depend on the characteristics of each patient, model averages are a function of the population analyzed. Subgroup analyses can be used to examine differences in cost-effectiveness across subgroups by simulating patients with certain shared characteristics.</w:t>
      </w:r>
    </w:p>
    <w:p>
      <w:pPr>
        <w:pStyle w:val="BodyText"/>
      </w:pPr>
      <w:r>
        <w:t xml:space="preserve">Parameter and structural uncertainty imply decision uncertainty, or the degree to which decisions are made based on imperfect knowledge. Indeed, with the aim to maximize health outcomes for a given budget, the optimal decision with current information is to choose the policy that maximizes the expected NMB; however, due to uncertainty, the incorrect policy may be considered the most cost-effective. To characterize this uncertainty, standard summary measures including 95% credible intervals for NMBs and other model outcomes, cost-effectiveness planes, and cost-effectiveness acceptability curves, and the expected value of perfect information can be calculated from the simulated output. Since the expected value of partial perfect information is computationally costly, it can be approximated using meta-modeling techniques</w:t>
      </w:r>
      <w:r>
        <w:t xml:space="preserve"> </w:t>
      </w:r>
      <w:r>
        <w:t xml:space="preserve">(Jalal et al. 2013; Jalal, Goldhaber-Fiebert, and Kuntz 2015; Heath, Manolopoulou, and Baio 2016)</w:t>
      </w:r>
      <w:r>
        <w:t xml:space="preserve">.</w:t>
      </w:r>
    </w:p>
    <w:p>
      <w:pPr>
        <w:pStyle w:val="Heading1"/>
      </w:pPr>
      <w:bookmarkStart w:id="81" w:name="sec:validation"/>
      <w:bookmarkEnd w:id="81"/>
      <w:r>
        <w:t xml:space="preserve">Validation</w:t>
      </w:r>
    </w:p>
    <w:p>
      <w:pPr>
        <w:pStyle w:val="FirstParagraph"/>
      </w:pPr>
      <w:r>
        <w:t xml:space="preserve">We aim to validate the model using the five types of validation described by</w:t>
      </w:r>
      <w:r>
        <w:t xml:space="preserve"> </w:t>
      </w:r>
      <w:r>
        <w:t xml:space="preserve">Eddy et al. (2012)</w:t>
      </w:r>
      <w:r>
        <w:t xml:space="preserve">. Currently, we are able to use the first three validation types. First, we have checked the model for face validity by ensuring that simulated outcomes are consistent with current science and evidence. Second, we performed unit tests to verify that the individual units of code that are used to simulate the model return expected results. Third, we compared simulated results for key outcomes such as mortality, HAQ over time, and time to treatment discontinuation with real-world data and our underlying parameter values. In particular, we ran the model online under various scenarios using our R Shiny web application and checked the simulated outcomes.</w:t>
      </w:r>
    </w:p>
    <w:p>
      <w:pPr>
        <w:pStyle w:val="BodyText"/>
      </w:pPr>
      <w:r>
        <w:t xml:space="preserve">In the future, we plan to use both external validation and predictive validation to help fine tune our model. External validation will be performed by comparing outcomes simulated using our model to real-world outcomes and predictive validity will involve using our model to forecast future events and comparing our forecasted outcomes to the observed outcomes.</w:t>
      </w:r>
    </w:p>
    <w:p>
      <w:pPr>
        <w:pStyle w:val="Heading1"/>
      </w:pPr>
      <w:bookmarkStart w:id="82" w:name="sec:limitations"/>
      <w:bookmarkEnd w:id="82"/>
      <w:r>
        <w:t xml:space="preserve">Limitations and areas for improvement</w:t>
      </w:r>
    </w:p>
    <w:p>
      <w:pPr>
        <w:pStyle w:val="FirstParagraph"/>
      </w:pPr>
      <w:r>
        <w:t xml:space="preserve">The IVI-RA model is an open-source model that is meant to be updated and improved over time. We believe that there are number of potential areas for improvement.</w:t>
      </w:r>
    </w:p>
    <w:p>
      <w:pPr>
        <w:numPr>
          <w:numId w:val="1017"/>
          <w:ilvl w:val="0"/>
        </w:numPr>
      </w:pPr>
      <w:r>
        <w:rPr>
          <w:b/>
        </w:rPr>
        <w:t xml:space="preserve">Adverse events other than serious infections:</w:t>
      </w:r>
      <w:r>
        <w:t xml:space="preserve"> </w:t>
      </w:r>
      <w:r>
        <w:t xml:space="preserve">The current model does not account for side effects other than serious infections even though these are important to patients and can result in treatment switching.</w:t>
      </w:r>
    </w:p>
    <w:p>
      <w:pPr>
        <w:numPr>
          <w:numId w:val="1017"/>
          <w:ilvl w:val="0"/>
        </w:numPr>
      </w:pPr>
      <w:r>
        <w:rPr>
          <w:b/>
        </w:rPr>
        <w:t xml:space="preserve">Adverse events that vary across biologics:</w:t>
      </w:r>
      <w:r>
        <w:t xml:space="preserve"> </w:t>
      </w:r>
      <w:r>
        <w:t xml:space="preserve">The model allows the serious infection rate to differ between cDMARDs and bDMARDs but assumes that the infection rate is equal among bDMARDs. Future model versions might want to reconsider the evidence underlying this assumption.</w:t>
      </w:r>
    </w:p>
    <w:p>
      <w:pPr>
        <w:numPr>
          <w:numId w:val="1017"/>
          <w:ilvl w:val="0"/>
        </w:numPr>
      </w:pPr>
      <w:r>
        <w:rPr>
          <w:b/>
        </w:rPr>
        <w:t xml:space="preserve">Time to treatment discontinuation:</w:t>
      </w:r>
      <w:r>
        <w:t xml:space="preserve"> </w:t>
      </w:r>
      <w:r>
        <w:t xml:space="preserve">Our time to treatment discontinuation curves are based on scanned data and combine information from multiple sources. Direct analyses of databases like the CORRONA database or the National Data Bank for Rheumatic Diseases (NDB) could generate more accurate estimates of treatment duration as well the effect of treatment response or disease activity level on discontinuation rates.</w:t>
      </w:r>
    </w:p>
    <w:p>
      <w:pPr>
        <w:numPr>
          <w:numId w:val="1017"/>
          <w:ilvl w:val="0"/>
        </w:numPr>
      </w:pPr>
      <w:r>
        <w:rPr>
          <w:b/>
        </w:rPr>
        <w:t xml:space="preserve">Patient preferences:</w:t>
      </w:r>
      <w:r>
        <w:t xml:space="preserve"> </w:t>
      </w:r>
      <w:r>
        <w:t xml:space="preserve">In the current model, patient utility is a function of the HAQ score and varies according to age, gender, and unobserved patient-specific factors. In other words, utility depends on treatment (through the effect of treatment on HAQ) and the characteristics of the patient. Future iterations of the model should consider other ways that treatment influences utility and that utility varies across patients. For example, disease activity level or the number of previous therapies might help predict utility conditional on HAQ. Furthermore, surveys could be used to estimate the effect of treatment attributes such as route of administration or frequency of administration on utility. Finally, since unobserved patient-specific factors are very important predictors of utility, the model could be run for specific classes of patients within the mixture model (e.g., subgroups where HAQ has the largest effect on utility), although it might be difficult to identify these patient subgroups in a real-world setting.</w:t>
      </w:r>
    </w:p>
    <w:p>
      <w:pPr>
        <w:numPr>
          <w:numId w:val="1017"/>
          <w:ilvl w:val="0"/>
        </w:numPr>
      </w:pPr>
      <w:r>
        <w:rPr>
          <w:b/>
        </w:rPr>
        <w:t xml:space="preserve">Treatment effect modifiers:</w:t>
      </w:r>
      <w:r>
        <w:t xml:space="preserve"> </w:t>
      </w:r>
      <w:r>
        <w:t xml:space="preserve">There is currently little evidence (that we are aware of) suggesting that treatment effects vary across patients. When there is sufficient evidence in the literature related to treatment response heterogeneity, we will allow treatment response at 6 months to depend on the characteristics of the patient.</w:t>
      </w:r>
    </w:p>
    <w:p>
      <w:pPr>
        <w:numPr>
          <w:numId w:val="1017"/>
          <w:ilvl w:val="0"/>
        </w:numPr>
      </w:pPr>
      <w:r>
        <w:rPr>
          <w:b/>
        </w:rPr>
        <w:t xml:space="preserve">Treatment effects after treatment failure:</w:t>
      </w:r>
      <w:r>
        <w:t xml:space="preserve"> </w:t>
      </w:r>
      <w:r>
        <w:t xml:space="preserve">There are two main limitations in the model related to reductions in treatment response after failing a biologic; first, there are not enough RCTs to reliably estimate bDMARD-specific treatment effects for bDMARD experienced patients using a NMA, and second, treatment response likely does not only depend on whether a patient is bDMARD naive or experienced, but on the number of previous failures as well. Our current approach is to assume that treatment response is reduced for bDMARD experience patients based on evidence from</w:t>
      </w:r>
      <w:r>
        <w:t xml:space="preserve"> </w:t>
      </w:r>
      <w:r>
        <w:t xml:space="preserve">Carlson et al. (2015)</w:t>
      </w:r>
      <w:r>
        <w:t xml:space="preserve">. One possible extension is to use a Bayesian NMA approach in which the</w:t>
      </w:r>
      <w:r>
        <w:t xml:space="preserve"> </w:t>
      </w:r>
      <w:r>
        <w:t xml:space="preserve">Carlson et al. (2015)</w:t>
      </w:r>
      <w:r>
        <w:t xml:space="preserve"> </w:t>
      </w:r>
      <w:r>
        <w:t xml:space="preserve">results are used to generate priors for the bDMARD experienced group. As new RCTs become available, the posterior distributions from the Bayesian analysis would move further from the prior and closer to estimates from the trials. The estimates could be further improved by combing NMA results with real-world data and modeling reductions in treatment response as a flexible function of the number of failed biologics.</w:t>
      </w:r>
    </w:p>
    <w:p>
      <w:pPr>
        <w:numPr>
          <w:numId w:val="1017"/>
          <w:ilvl w:val="0"/>
        </w:numPr>
      </w:pPr>
      <w:r>
        <w:rPr>
          <w:b/>
        </w:rPr>
        <w:t xml:space="preserve">A LCGM for the progression of bDMARDs over time:</w:t>
      </w:r>
      <w:r>
        <w:t xml:space="preserve"> </w:t>
      </w:r>
      <w:r>
        <w:t xml:space="preserve">The LCGM can be used to model HAQ progression for patients using cDMARDs or on NBT; however, we only have estimates of constant linear progression of HAQ for patients on bDMARDs. Future studies that use non-linear mixture models to model the long-term progression of disease for patients using bDMARDs are needed.</w:t>
      </w:r>
    </w:p>
    <w:p>
      <w:pPr>
        <w:numPr>
          <w:numId w:val="1017"/>
          <w:ilvl w:val="0"/>
        </w:numPr>
      </w:pPr>
      <w:r>
        <w:rPr>
          <w:b/>
        </w:rPr>
        <w:t xml:space="preserve">The patient population:</w:t>
      </w:r>
      <w:r>
        <w:t xml:space="preserve"> </w:t>
      </w:r>
      <w:r>
        <w:t xml:space="preserve">Our population characteristics are based on summary data reported in the published literature. As a result, the sampled patient populations within the model do not account for correlations across all of the variables. Distributions estimated from patient databases like the CORRONA database or the NDB would yield more realistic patient populations.</w:t>
      </w:r>
    </w:p>
    <w:p>
      <w:pPr>
        <w:numPr>
          <w:numId w:val="1017"/>
          <w:ilvl w:val="0"/>
        </w:numPr>
      </w:pPr>
      <w:r>
        <w:rPr>
          <w:b/>
        </w:rPr>
        <w:t xml:space="preserve">Estimating the rebound effect:</w:t>
      </w:r>
      <w:r>
        <w:t xml:space="preserve"> </w:t>
      </w:r>
      <w:r>
        <w:t xml:space="preserve">One of the most important predictors of cost-effectiveness is the degree to which the HAQ score increases following treatment failure. Most models currently assume that the HAQ score increases by the same amount as the initial 6 month decline in the HAQ score, but there is little evidence to support this. Studies that attempt to quantify the rebound effect are critical.</w:t>
      </w:r>
    </w:p>
    <w:p>
      <w:pPr>
        <w:pStyle w:val="Heading1"/>
      </w:pPr>
      <w:bookmarkStart w:id="83" w:name="app:math"/>
      <w:bookmarkEnd w:id="83"/>
      <w:r>
        <w:t xml:space="preserve">Rates, probabilities, and standard errors</w:t>
      </w:r>
    </w:p>
    <w:p>
      <w:pPr>
        <w:pStyle w:val="Heading2"/>
      </w:pPr>
      <w:bookmarkStart w:id="84" w:name="app:odds-ratio-prob"/>
      <w:bookmarkEnd w:id="84"/>
      <w:r>
        <w:t xml:space="preserve">Using odds ratios to adjust probabilities</w:t>
      </w:r>
    </w:p>
    <w:p>
      <w:pPr>
        <w:pStyle w:val="FirstParagraph"/>
      </w:pPr>
      <w:r>
        <w:t xml:space="preserve">Let</w:t>
      </w:r>
      <w:r>
        <w:t xml:space="preserve"> </w:t>
      </w:r>
      <m:oMath>
        <m:sSub>
          <m:e>
            <m:r>
              <m:t>p</m:t>
            </m:r>
          </m:e>
          <m:sub>
            <m:r>
              <m:t>1</m:t>
            </m:r>
          </m:sub>
        </m:sSub>
      </m:oMath>
      <w:r>
        <w:t xml:space="preserve"> </w:t>
      </w:r>
      <w:r>
        <w:t xml:space="preserve">be a baseline probability,</w:t>
      </w:r>
      <w:r>
        <w:t xml:space="preserve"> </w:t>
      </w:r>
      <m:oMath>
        <m:r>
          <m:t>β</m:t>
        </m:r>
      </m:oMath>
      <w:r>
        <w:t xml:space="preserve"> </w:t>
      </w:r>
      <w:r>
        <w:t xml:space="preserve">be a vector of log odds ratios, and</w:t>
      </w:r>
      <w:r>
        <w:t xml:space="preserve"> </w:t>
      </w:r>
      <m:oMath>
        <m:r>
          <m:t>x</m:t>
        </m:r>
      </m:oMath>
      <w:r>
        <w:t xml:space="preserve"> </w:t>
      </w:r>
      <w:r>
        <w:t xml:space="preserve">be a vector of regressors. We apply the log odds ratios to</w:t>
      </w:r>
      <w:r>
        <w:t xml:space="preserve"> </w:t>
      </w:r>
      <m:oMath>
        <m:sSub>
          <m:e>
            <m:r>
              <m:t>p</m:t>
            </m:r>
          </m:e>
          <m:sub>
            <m:r>
              <m:t>1</m:t>
            </m:r>
          </m:sub>
        </m:sSub>
      </m:oMath>
      <w:r>
        <w:t xml:space="preserve"> </w:t>
      </w:r>
      <w:r>
        <w:t xml:space="preserve">to generate a new probability</w:t>
      </w:r>
      <w:r>
        <w:t xml:space="preserve"> </w:t>
      </w:r>
      <m:oMath>
        <m:sSub>
          <m:e>
            <m:r>
              <m:t>p</m:t>
            </m:r>
          </m:e>
          <m:sub>
            <m:r>
              <m:t>2</m:t>
            </m:r>
          </m:sub>
        </m:sSub>
      </m:oMath>
      <w:r>
        <w:t xml:space="preserve"> </w:t>
      </w:r>
      <w:r>
        <w:t xml:space="preserve">with the logistic equation,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p</m:t>
                    </m:r>
                  </m:e>
                  <m:sub>
                    <m:r>
                      <m:t>2</m:t>
                    </m:r>
                  </m:sub>
                </m:sSub>
              </m:e>
              <m:e>
                <m:r>
                  <m:t>=</m:t>
                </m:r>
                <m:f>
                  <m:fPr>
                    <m:type m:val="bar"/>
                  </m:fPr>
                  <m:num>
                    <m:r>
                      <m:t>1</m:t>
                    </m:r>
                  </m:num>
                  <m:den>
                    <m:r>
                      <m:t>1</m:t>
                    </m:r>
                    <m:r>
                      <m:t>+</m:t>
                    </m:r>
                    <m:r>
                      <m:rPr>
                        <m:sty m:val="p"/>
                      </m:rPr>
                      <m:t>exp</m:t>
                    </m:r>
                    <m:d>
                      <m:dPr>
                        <m:begChr m:val="["/>
                        <m:endChr m:val="]"/>
                        <m:grow/>
                      </m:dPr>
                      <m:e>
                        <m:r>
                          <m:t>−</m:t>
                        </m:r>
                        <m:d>
                          <m:dPr>
                            <m:begChr m:val="("/>
                            <m:endChr m:val=")"/>
                            <m:grow/>
                          </m:dPr>
                          <m:e>
                            <m:r>
                              <m:rPr>
                                <m:sty m:val="p"/>
                              </m:rPr>
                              <m:t>logit</m:t>
                            </m:r>
                            <m:r>
                              <m:t>(</m:t>
                            </m:r>
                            <m:sSub>
                              <m:e>
                                <m:r>
                                  <m:t>p</m:t>
                                </m:r>
                              </m:e>
                              <m:sub>
                                <m:r>
                                  <m:t>1</m:t>
                                </m:r>
                              </m:sub>
                            </m:sSub>
                            <m:r>
                              <m:t>)</m:t>
                            </m:r>
                            <m:r>
                              <m:t>+</m:t>
                            </m:r>
                            <m:sSup>
                              <m:e>
                                <m:r>
                                  <m:t>x</m:t>
                                </m:r>
                              </m:e>
                              <m:sup>
                                <m:r>
                                  <m:t>T</m:t>
                                </m:r>
                              </m:sup>
                            </m:sSup>
                            <m:r>
                              <m:t>β</m:t>
                            </m:r>
                          </m:e>
                        </m:d>
                      </m:e>
                    </m:d>
                  </m:den>
                </m:f>
                <m:r>
                  <m:t>,</m:t>
                </m:r>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s>
            </m:mPr>
            <m:mr>
              <m:e>
                <m:r>
                  <m:rPr>
                    <m:sty m:val="p"/>
                  </m:rPr>
                  <m:t>logit</m:t>
                </m:r>
                <m:r>
                  <m:t>(</m:t>
                </m:r>
                <m:r>
                  <m:t>p</m:t>
                </m:r>
                <m:r>
                  <m:t>)</m:t>
                </m:r>
                <m:r>
                  <m:t>=</m:t>
                </m:r>
                <m:r>
                  <m:rPr>
                    <m:sty m:val="p"/>
                  </m:rPr>
                  <m:t>log</m:t>
                </m:r>
                <m:d>
                  <m:dPr>
                    <m:begChr m:val="("/>
                    <m:endChr m:val=")"/>
                    <m:grow/>
                  </m:dPr>
                  <m:e>
                    <m:f>
                      <m:fPr>
                        <m:type m:val="bar"/>
                      </m:fPr>
                      <m:num>
                        <m:r>
                          <m:t>p</m:t>
                        </m:r>
                      </m:num>
                      <m:den>
                        <m:r>
                          <m:t>1</m:t>
                        </m:r>
                        <m:r>
                          <m:t>−</m:t>
                        </m:r>
                        <m:r>
                          <m:t>p</m:t>
                        </m:r>
                      </m:den>
                    </m:f>
                  </m:e>
                </m:d>
              </m:e>
            </m:mr>
          </m:m>
        </m:oMath>
      </m:oMathPara>
    </w:p>
    <w:p>
      <w:pPr>
        <w:pStyle w:val="Heading2"/>
      </w:pPr>
      <w:bookmarkStart w:id="85" w:name="app:rate-prob"/>
      <w:bookmarkEnd w:id="85"/>
      <w:r>
        <w:t xml:space="preserve">Converting rates and probabilities</w:t>
      </w:r>
    </w:p>
    <w:p>
      <w:pPr>
        <w:pStyle w:val="FirstParagraph"/>
      </w:pPr>
      <w:r>
        <w:t xml:space="preserve">Given a</w:t>
      </w:r>
      <w:r>
        <w:t xml:space="preserve"> </w:t>
      </w:r>
      <w:r>
        <w:rPr>
          <w:i/>
        </w:rPr>
        <w:t xml:space="preserve">constant</w:t>
      </w:r>
      <w:r>
        <w:t xml:space="preserve"> </w:t>
      </w:r>
      <w:r>
        <w:t xml:space="preserve">rate</w:t>
      </w:r>
      <w:r>
        <w:t xml:space="preserve"> </w:t>
      </w:r>
      <m:oMath>
        <m:r>
          <m:t>r</m:t>
        </m:r>
      </m:oMath>
      <w:r>
        <w:t xml:space="preserve"> </w:t>
      </w:r>
      <w:r>
        <w:t xml:space="preserve">during a given time period, we estimate the probability of an event occurring before time</w:t>
      </w:r>
      <w:r>
        <w:t xml:space="preserve"> </w:t>
      </w:r>
      <m:oMath>
        <m:r>
          <m:t>t</m:t>
        </m:r>
      </m:oMath>
      <w:r>
        <w:t xml:space="preserve"> </w:t>
      </w:r>
      <w:r>
        <w:t xml:space="preserve">using the exponential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τ</m:t>
                </m:r>
                <m:r>
                  <m:t>&lt;</m:t>
                </m:r>
                <m:r>
                  <m:t>t</m:t>
                </m:r>
                <m:r>
                  <m:t>|</m:t>
                </m:r>
                <m:r>
                  <m:t>r</m:t>
                </m:r>
                <m:r>
                  <m:t>)</m:t>
                </m:r>
              </m:e>
              <m:e>
                <m:r>
                  <m:t>=</m:t>
                </m:r>
                <m:r>
                  <m:t>1</m:t>
                </m:r>
                <m:r>
                  <m:t>−</m:t>
                </m:r>
                <m:sSup>
                  <m:e>
                    <m:r>
                      <m:t>e</m:t>
                    </m:r>
                  </m:e>
                  <m:sup>
                    <m:r>
                      <m:t>−</m:t>
                    </m:r>
                    <m:r>
                      <m:t>r</m:t>
                    </m:r>
                    <m:r>
                      <m:t>t</m:t>
                    </m:r>
                  </m:sup>
                </m:sSup>
                <m:r>
                  <m:t>.</m:t>
                </m:r>
              </m:e>
            </m:mr>
          </m:m>
        </m:oMath>
      </m:oMathPara>
    </w:p>
    <w:p>
      <w:pPr>
        <w:pStyle w:val="FirstParagraph"/>
      </w:pPr>
      <w:r>
        <w:t xml:space="preserve">Given a probability</w:t>
      </w:r>
      <w:r>
        <w:t xml:space="preserve"> </w:t>
      </w:r>
      <m:oMath>
        <m:r>
          <m:t>p</m:t>
        </m:r>
      </m:oMath>
      <w:r>
        <w:t xml:space="preserve">, the rate parameter is recovered by applying the log transformation,</w:t>
      </w:r>
    </w:p>
    <w:p>
      <w:pPr>
        <w:pStyle w:val="BodyText"/>
      </w:pPr>
      <m:oMathPara>
        <m:oMathParaPr>
          <m:jc m:val="center"/>
        </m:oMathParaPr>
        <m:oMath>
          <m:m>
            <m:mPr>
              <m:baseJc m:val="center"/>
              <m:plcHide m:val="1"/>
              <m:mcs>
                <m:mc>
                  <m:mcPr>
                    <m:mcJc m:val="right"/>
                    <m:count m:val="1"/>
                  </m:mcPr>
                </m:mc>
              </m:mcs>
            </m:mPr>
            <m:mr>
              <m:e>
                <m:r>
                  <m:t>r</m:t>
                </m:r>
                <m:r>
                  <m:t>=</m:t>
                </m:r>
                <m:f>
                  <m:fPr>
                    <m:type m:val="bar"/>
                  </m:fPr>
                  <m:num>
                    <m:r>
                      <m:t>−</m:t>
                    </m:r>
                    <m:r>
                      <m:rPr>
                        <m:sty m:val="p"/>
                      </m:rPr>
                      <m:t>ln</m:t>
                    </m:r>
                    <m:r>
                      <m:t>(</m:t>
                    </m:r>
                    <m:r>
                      <m:t>1</m:t>
                    </m:r>
                    <m:r>
                      <m:t>−</m:t>
                    </m:r>
                    <m:r>
                      <m:t>p</m:t>
                    </m:r>
                    <m:r>
                      <m:t>)</m:t>
                    </m:r>
                  </m:num>
                  <m:den>
                    <m:r>
                      <m:t>t</m:t>
                    </m:r>
                  </m:den>
                </m:f>
                <m:r>
                  <m:t>.</m:t>
                </m:r>
              </m:e>
            </m:mr>
          </m:m>
        </m:oMath>
      </m:oMathPara>
    </w:p>
    <w:p>
      <w:pPr>
        <w:pStyle w:val="Heading2"/>
      </w:pPr>
      <w:bookmarkStart w:id="86" w:name="app:ci-se"/>
      <w:bookmarkEnd w:id="86"/>
      <w:r>
        <w:t xml:space="preserve">Calculating standard errors from confidence intervals</w:t>
      </w:r>
    </w:p>
    <w:p>
      <w:pPr>
        <w:pStyle w:val="FirstParagraph"/>
      </w:pPr>
      <w:r>
        <w:t xml:space="preserve">Journal articles often report confidence intervals rather than standard errors. However, given that regression coefficients are asymptotically normally distributed, standard errors can be calculated from a confidence interval using the normal distribution. In particular, given a coefficient estimate</w:t>
      </w:r>
      <w:r>
        <w:t xml:space="preserve"> </w:t>
      </w:r>
      <m:oMath>
        <m:r>
          <m:t>β</m:t>
        </m:r>
      </m:oMath>
      <w:r>
        <w:t xml:space="preserve"> </w:t>
      </w:r>
      <w:r>
        <w:t xml:space="preserve">(e.g., a log hazard ratio, log odds ratio, or linear regression coefficient) and an upper bound</w:t>
      </w:r>
      <w:r>
        <w:t xml:space="preserve"> </w:t>
      </w:r>
      <m:oMath>
        <m:r>
          <m:t>u</m:t>
        </m:r>
      </m:oMath>
      <w:r>
        <w:t xml:space="preserve"> </w:t>
      </w:r>
      <w:r>
        <w:t xml:space="preserve">and lower bound</w:t>
      </w:r>
      <w:r>
        <w:t xml:space="preserve"> </w:t>
      </w:r>
      <m:oMath>
        <m:r>
          <m:t>l</m:t>
        </m:r>
      </m:oMath>
      <w:r>
        <w:t xml:space="preserve"> </w:t>
      </w:r>
      <w:r>
        <w:t xml:space="preserve">of a two-sided 95% confidence interval, we calculate the standard error as,</w:t>
      </w:r>
    </w:p>
    <w:p>
      <w:pPr>
        <w:pStyle w:val="BodyText"/>
      </w:pPr>
      <m:oMathPara>
        <m:oMathParaPr>
          <m:jc m:val="center"/>
        </m:oMathParaPr>
        <m:oMath>
          <m:m>
            <m:mPr>
              <m:baseJc m:val="center"/>
              <m:plcHide m:val="1"/>
              <m:mcs>
                <m:mc>
                  <m:mcPr>
                    <m:mcJc m:val="right"/>
                    <m:count m:val="1"/>
                  </m:mcPr>
                </m:mc>
              </m:mcs>
            </m:mPr>
            <m:mr>
              <m:e>
                <m:r>
                  <m:t>S</m:t>
                </m:r>
                <m:r>
                  <m:t>E</m:t>
                </m:r>
                <m:r>
                  <m:t>(</m:t>
                </m:r>
                <m:r>
                  <m:t>β</m:t>
                </m:r>
                <m:r>
                  <m:t>)</m:t>
                </m:r>
                <m:r>
                  <m:t>=</m:t>
                </m:r>
                <m:f>
                  <m:fPr>
                    <m:type m:val="bar"/>
                  </m:fPr>
                  <m:num>
                    <m:r>
                      <m:t>u</m:t>
                    </m:r>
                    <m:r>
                      <m:t>−</m:t>
                    </m:r>
                    <m:r>
                      <m:t>l</m:t>
                    </m:r>
                  </m:num>
                  <m:den>
                    <m:r>
                      <m:t>2</m:t>
                    </m:r>
                    <m:r>
                      <m:t>⋅</m:t>
                    </m:r>
                    <m:sSup>
                      <m:e>
                        <m:r>
                          <m:t>Φ</m:t>
                        </m:r>
                      </m:e>
                      <m:sup>
                        <m:r>
                          <m:t>−</m:t>
                        </m:r>
                        <m:r>
                          <m:t>1</m:t>
                        </m:r>
                      </m:sup>
                    </m:sSup>
                    <m:r>
                      <m:t>(</m:t>
                    </m:r>
                    <m:r>
                      <m:t>0.975</m:t>
                    </m:r>
                    <m:r>
                      <m:t>)</m:t>
                    </m:r>
                  </m:den>
                </m:f>
                <m:r>
                  <m:t>,</m:t>
                </m:r>
              </m:e>
            </m:mr>
          </m:m>
        </m:oMath>
      </m:oMathPara>
    </w:p>
    <w:p>
      <w:pPr>
        <w:pStyle w:val="FirstParagraph"/>
      </w:pPr>
      <w:r>
        <w:t xml:space="preserve">where</w:t>
      </w:r>
      <w:r>
        <w:t xml:space="preserve"> </w:t>
      </w:r>
      <m:oMath>
        <m:sSup>
          <m:e>
            <m:r>
              <m:t>Φ</m:t>
            </m:r>
          </m:e>
          <m:sup>
            <m:r>
              <m:t>−</m:t>
            </m:r>
            <m:r>
              <m:t>1</m:t>
            </m:r>
          </m:sup>
        </m:sSup>
        <m:r>
          <m:t>(</m:t>
        </m:r>
        <m:r>
          <m:t>p</m:t>
        </m:r>
        <m:r>
          <m:t>)</m:t>
        </m:r>
      </m:oMath>
      <w:r>
        <w:t xml:space="preserve"> </w:t>
      </w:r>
      <w:r>
        <w:t xml:space="preserve">is the quantile function of the normal distribution.</w:t>
      </w:r>
    </w:p>
    <w:p>
      <w:pPr>
        <w:pStyle w:val="Heading1"/>
      </w:pPr>
      <w:bookmarkStart w:id="87" w:name="app:population"/>
      <w:bookmarkEnd w:id="87"/>
      <w:r>
        <w:t xml:space="preserve">Heterogeneous populations</w:t>
      </w:r>
    </w:p>
    <w:p>
      <w:pPr>
        <w:pStyle w:val="FirstParagraph"/>
      </w:pPr>
      <w:r>
        <w:t xml:space="preserve">When generating heterogeneous patient populations, we sample binary variables from binomial distributions, continuous uncorrelated variables from normal distributions, and continuous correlated variables from multivariate normal distributions. Truncated distributions are used when variables are restricted to lie within certain intervals.</w:t>
      </w:r>
    </w:p>
    <w:p>
      <w:pPr>
        <w:pStyle w:val="BodyText"/>
      </w:pPr>
      <w:r>
        <w:t xml:space="preserve">In particular, the proportion of the female population is drawn from a binomial distribution while age, disease duration and the number of previous DMARDs are drawn from truncated normal distributions. Each sampled value of the number of previous DMARDs is rounded to the nearest integer. Baseline HAQ and three disease activity measures (DAS28, SDAI, and CDAI) are drawn from truncated multivariate normal distributions. The covariance matrix is calculated using the correlations reported in</w:t>
      </w:r>
      <w:r>
        <w:t xml:space="preserve"> </w:t>
      </w:r>
      <w:r>
        <w:t xml:space="preserve">Daniel Aletaha et al. (2005)</w:t>
      </w:r>
      <w:r>
        <w:t xml:space="preserve"> </w:t>
      </w:r>
      <w:r>
        <w:t xml:space="preserve">().</w:t>
      </w:r>
    </w:p>
    <w:p>
      <w:pPr>
        <w:pStyle w:val="BodyText"/>
      </w:pPr>
      <w:r>
        <w:t xml:space="preserve">We used the correlations from the routine cohort (during visit 1) rather than correlations in the inception cohort (at baseline) since the correlation between HAQ and the disease activity measures were more similar to those from the Leflunomide database</w:t>
      </w:r>
      <w:r>
        <w:t xml:space="preserve"> </w:t>
      </w:r>
      <w:r>
        <w:t xml:space="preserve">(J. Smolen et al. 2003)</w:t>
      </w:r>
      <w:r>
        <w:t xml:space="preserve">. That said, correlations between the three disease activity measures were nearly identical in each cohort. The one exception was that the correlation between SDAI and CDAI of 1 in the routine cohort seemed unreasonably high so we used the value of 0.94 from the inception cohort.</w:t>
      </w:r>
    </w:p>
    <w:p>
      <w:pPr>
        <w:pStyle w:val="BodyText"/>
      </w:pPr>
      <w:r>
        <w:t xml:space="preserve">We used this sampling procedure to simulate 1,000 patients. Summary statistics from a simulated patient cohort of size 1,000 are shown in .</w:t>
      </w:r>
    </w:p>
    <w:p>
      <w:pPr>
        <w:pStyle w:val="BodyText"/>
      </w:pPr>
      <w:r>
        <w:t xml:space="preserve">@lccc</w:t>
      </w:r>
      <w:r>
        <w:t xml:space="preserve"> </w:t>
      </w:r>
      <w:r>
        <w:t xml:space="preserve">&amp;</w:t>
      </w:r>
      <w:r>
        <w:br w:type="textWrapping"/>
      </w:r>
      <w:r>
        <w:t xml:space="preserve">&amp; &amp; &amp;</w:t>
      </w:r>
      <w:r>
        <w:br w:type="textWrapping"/>
      </w:r>
      <w:r>
        <w:t xml:space="preserve">@inputtables/pats-samp.txt</w:t>
      </w:r>
      <w:r>
        <w:t xml:space="preserve"> </w:t>
      </w:r>
    </w:p>
    <w:p>
      <w:pPr>
        <w:pStyle w:val="Heading1"/>
      </w:pPr>
      <w:bookmarkStart w:id="88" w:name="app-acr-da"/>
      <w:bookmarkEnd w:id="88"/>
      <w:r>
        <w:t xml:space="preserve">Mapping ACR response to changes in disease activity</w:t>
      </w:r>
    </w:p>
    <w:p>
      <w:pPr>
        <w:pStyle w:val="FirstParagraph"/>
      </w:pPr>
      <w:r>
        <w:t xml:space="preserve">Let</w:t>
      </w:r>
      <w:r>
        <w:t xml:space="preserve"> </w:t>
      </w:r>
      <m:oMath>
        <m:r>
          <m:t>D</m:t>
        </m:r>
        <m:r>
          <m:t>A</m:t>
        </m:r>
      </m:oMath>
      <w:r>
        <w:t xml:space="preserve"> </w:t>
      </w:r>
      <w:r>
        <w:t xml:space="preserve">denote disease activity,</w:t>
      </w:r>
      <w:r>
        <w:t xml:space="preserve"> </w:t>
      </w:r>
      <m:oMath>
        <m:sSub>
          <m:e>
            <m:r>
              <m:t>n</m:t>
            </m:r>
          </m:e>
          <m:sub>
            <m:r>
              <m:t>1</m:t>
            </m:r>
          </m:sub>
        </m:sSub>
      </m:oMath>
      <w:r>
        <w:t xml:space="preserve"> </w:t>
      </w:r>
      <w:r>
        <w:t xml:space="preserve">the number of patients with ACR 20 to &lt;50 response,</w:t>
      </w:r>
      <w:r>
        <w:t xml:space="preserve"> </w:t>
      </w:r>
      <m:oMath>
        <m:sSub>
          <m:e>
            <m:r>
              <m:t>n</m:t>
            </m:r>
          </m:e>
          <m:sub>
            <m:r>
              <m:t>2</m:t>
            </m:r>
          </m:sub>
        </m:sSub>
      </m:oMath>
      <w:r>
        <w:t xml:space="preserve"> </w:t>
      </w:r>
      <w:r>
        <w:t xml:space="preserve">the number of patients with ACR 50 to &lt;70 response,</w:t>
      </w:r>
      <w:r>
        <w:t xml:space="preserve"> </w:t>
      </w:r>
      <m:oMath>
        <m:sSub>
          <m:e>
            <m:r>
              <m:t>n</m:t>
            </m:r>
          </m:e>
          <m:sub>
            <m:r>
              <m:t>3</m:t>
            </m:r>
          </m:sub>
        </m:sSub>
      </m:oMath>
      <w:r>
        <w:t xml:space="preserve"> </w:t>
      </w:r>
      <w:r>
        <w:t xml:space="preserve">the number of patients with ACR</w:t>
      </w:r>
      <w:r>
        <w:t xml:space="preserve"> </w:t>
      </w:r>
      <m:oMath>
        <m:r>
          <m:t>≥</m:t>
        </m:r>
      </m:oMath>
      <w:r>
        <w:t xml:space="preserve">70 response, and</w:t>
      </w:r>
      <w:r>
        <w:t xml:space="preserve"> </w:t>
      </w:r>
      <m:oMath>
        <m:r>
          <m:t>N</m:t>
        </m:r>
      </m:oMath>
      <w:r>
        <w:t xml:space="preserve"> </w:t>
      </w:r>
      <w:r>
        <w:t xml:space="preserve">the number of patients with an ACR response greater than or equal to 20%. Mean changes in SDAI, CDAI, and DAS28 by overlapping ACR response categories are converted to mean changes by mutually exclusive ACR response categories as follows:</w:t>
      </w:r>
    </w:p>
    <w:p>
      <w:pPr>
        <w:numPr>
          <w:numId w:val="1018"/>
          <w:ilvl w:val="0"/>
        </w:numPr>
      </w:pPr>
      <w:r>
        <w:rPr>
          <w:b/>
        </w:rPr>
        <w:t xml:space="preserve">ACR 70</w:t>
      </w:r>
      <w:r>
        <w:t xml:space="preserve">: Mean changes by ACR</w:t>
      </w:r>
      <w:r>
        <w:t xml:space="preserve"> </w:t>
      </w:r>
      <m:oMath>
        <m:r>
          <m:t>≥</m:t>
        </m:r>
      </m:oMath>
      <w:r>
        <w:t xml:space="preserve">70 were reported directly in</w:t>
      </w:r>
      <w:r>
        <w:t xml:space="preserve"> </w:t>
      </w:r>
      <w:r>
        <w:t xml:space="preserve">D Aletaha and Smolen (2005)</w:t>
      </w:r>
      <w:r>
        <w:t xml:space="preserve">.</w:t>
      </w:r>
    </w:p>
    <w:p>
      <w:pPr>
        <w:numPr>
          <w:numId w:val="1018"/>
          <w:ilvl w:val="0"/>
        </w:numPr>
      </w:pPr>
      <w:r>
        <w:rPr>
          <w:b/>
        </w:rPr>
        <w:t xml:space="preserve">ACR 50 to &lt;70</w:t>
      </w:r>
      <w:r>
        <w:t xml:space="preserve">: Mean change in disease activity given ACR 50 to &lt;70 response is calculated by solving for</w:t>
      </w:r>
      <w:r>
        <w:t xml:space="preserve"> </w:t>
      </w:r>
      <m:oMath>
        <m:r>
          <m:rPr>
            <m:sty m:val="p"/>
            <m:scr m:val="double-struck"/>
          </m:rPr>
          <m:t>E</m:t>
        </m:r>
        <m:r>
          <m:t>[</m:t>
        </m:r>
        <m:r>
          <m:t>D</m:t>
        </m:r>
        <m:r>
          <m:t>A</m:t>
        </m:r>
        <m:r>
          <m:t>|</m:t>
        </m:r>
        <m:r>
          <m:t>50</m:t>
        </m:r>
        <m:r>
          <m:t>≤</m:t>
        </m:r>
        <m:r>
          <m:t>A</m:t>
        </m:r>
        <m:r>
          <m:t>C</m:t>
        </m:r>
        <m:r>
          <m:t>R</m:t>
        </m:r>
        <m:r>
          <m:t>&lt;</m:t>
        </m:r>
        <m:r>
          <m:t>70</m:t>
        </m:r>
        <m:r>
          <m:t>]</m:t>
        </m:r>
      </m:oMath>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r>
                  <m:t>[</m:t>
                </m:r>
                <m:r>
                  <m:t>D</m:t>
                </m:r>
                <m:r>
                  <m:t>A</m:t>
                </m:r>
                <m:r>
                  <m:t>|</m:t>
                </m:r>
                <m:r>
                  <m:t>A</m:t>
                </m:r>
                <m:r>
                  <m:t>C</m:t>
                </m:r>
                <m:r>
                  <m:t>R</m:t>
                </m:r>
                <m:r>
                  <m:t>≥</m:t>
                </m:r>
                <m:r>
                  <m:t>50</m:t>
                </m:r>
                <m:r>
                  <m:t>]</m:t>
                </m:r>
                <m:r>
                  <m:t>=</m:t>
                </m:r>
                <m:f>
                  <m:fPr>
                    <m:type m:val="bar"/>
                  </m:fPr>
                  <m:num>
                    <m:sSub>
                      <m:e>
                        <m:r>
                          <m:t>n</m:t>
                        </m:r>
                      </m:e>
                      <m:sub>
                        <m:r>
                          <m:t>2</m:t>
                        </m:r>
                      </m:sub>
                    </m:sSub>
                  </m:num>
                  <m:den>
                    <m:r>
                      <m:t>N</m:t>
                    </m:r>
                  </m:den>
                </m:f>
                <m:r>
                  <m:t>⋅</m:t>
                </m:r>
                <m:r>
                  <m:rPr>
                    <m:sty m:val="p"/>
                    <m:scr m:val="double-struck"/>
                  </m:rPr>
                  <m:t>E</m:t>
                </m:r>
                <m:r>
                  <m:t>[</m:t>
                </m:r>
                <m:r>
                  <m:t>D</m:t>
                </m:r>
                <m:r>
                  <m:t>A</m:t>
                </m:r>
                <m:r>
                  <m:t>|</m:t>
                </m:r>
                <m:r>
                  <m:t>50</m:t>
                </m:r>
                <m:r>
                  <m:t>≤</m:t>
                </m:r>
                <m:r>
                  <m:t>A</m:t>
                </m:r>
                <m:r>
                  <m:t>C</m:t>
                </m:r>
                <m:r>
                  <m:t>R</m:t>
                </m:r>
                <m:r>
                  <m:t>&lt;</m:t>
                </m:r>
                <m:r>
                  <m:t>70</m:t>
                </m:r>
                <m:r>
                  <m:t>]</m:t>
                </m:r>
                <m:r>
                  <m:t>+</m:t>
                </m:r>
                <m:f>
                  <m:fPr>
                    <m:type m:val="bar"/>
                  </m:fPr>
                  <m:num>
                    <m:sSub>
                      <m:e>
                        <m:r>
                          <m:t>n</m:t>
                        </m:r>
                      </m:e>
                      <m:sub>
                        <m:r>
                          <m:t>3</m:t>
                        </m:r>
                      </m:sub>
                    </m:sSub>
                  </m:num>
                  <m:den>
                    <m:r>
                      <m:t>N</m:t>
                    </m:r>
                  </m:den>
                </m:f>
                <m:r>
                  <m:t>⋅</m:t>
                </m:r>
                <m:r>
                  <m:rPr>
                    <m:sty m:val="p"/>
                    <m:scr m:val="double-struck"/>
                  </m:rPr>
                  <m:t>E</m:t>
                </m:r>
                <m:r>
                  <m:t>[</m:t>
                </m:r>
                <m:r>
                  <m:t>D</m:t>
                </m:r>
                <m:r>
                  <m:t>A</m:t>
                </m:r>
                <m:r>
                  <m:t>|</m:t>
                </m:r>
                <m:r>
                  <m:t>A</m:t>
                </m:r>
                <m:r>
                  <m:t>C</m:t>
                </m:r>
                <m:r>
                  <m:t>R</m:t>
                </m:r>
                <m:r>
                  <m:t>≥</m:t>
                </m:r>
                <m:r>
                  <m:t>70</m:t>
                </m:r>
                <m:r>
                  <m:t>]</m:t>
                </m:r>
                <m:r>
                  <m:t>.</m:t>
                </m:r>
              </m:e>
            </m:mr>
          </m:m>
        </m:oMath>
      </m:oMathPara>
    </w:p>
    <w:p>
      <w:pPr>
        <w:numPr>
          <w:numId w:val="1018"/>
          <w:ilvl w:val="0"/>
        </w:numPr>
      </w:pPr>
      <w:r>
        <w:t xml:space="preserve">Mean change in disease activity given ACR 20 to &lt;50 response is calculated by solving for</w:t>
      </w:r>
      <w:r>
        <w:t xml:space="preserve"> </w:t>
      </w:r>
      <m:oMath>
        <m:r>
          <m:rPr>
            <m:sty m:val="p"/>
            <m:scr m:val="double-struck"/>
          </m:rPr>
          <m:t>E</m:t>
        </m:r>
        <m:r>
          <m:t>[</m:t>
        </m:r>
        <m:r>
          <m:t>D</m:t>
        </m:r>
        <m:r>
          <m:t>A</m:t>
        </m:r>
        <m:r>
          <m:t>|</m:t>
        </m:r>
        <m:r>
          <m:t>20</m:t>
        </m:r>
        <m:r>
          <m:t>≤</m:t>
        </m:r>
        <m:r>
          <m:t>A</m:t>
        </m:r>
        <m:r>
          <m:t>C</m:t>
        </m:r>
        <m:r>
          <m:t>R</m:t>
        </m:r>
        <m:r>
          <m:t>&lt;</m:t>
        </m:r>
        <m:r>
          <m:t>50</m:t>
        </m:r>
        <m:r>
          <m:t>]</m:t>
        </m:r>
      </m:oMath>
    </w:p>
    <w:p>
      <w:pPr>
        <w:pStyle w:val="BodyText"/>
      </w:pPr>
      <m:oMathPara>
        <m:oMathParaPr>
          <m:jc m:val="center"/>
        </m:oMathParaPr>
        <m:oMath>
          <m:m>
            <m:mPr>
              <m:baseJc m:val="center"/>
              <m:plcHide m:val="1"/>
              <m:mcs>
                <m:mc>
                  <m:mcPr>
                    <m:mcJc m:val="right"/>
                    <m:count m:val="1"/>
                  </m:mcPr>
                </m:mc>
              </m:mcs>
            </m:mPr>
            <m:mr>
              <m:e>
                <m:r>
                  <m:rPr>
                    <m:sty m:val="p"/>
                    <m:scr m:val="double-struck"/>
                  </m:rPr>
                  <m:t>E</m:t>
                </m:r>
                <m:r>
                  <m:t>[</m:t>
                </m:r>
                <m:r>
                  <m:t>D</m:t>
                </m:r>
                <m:r>
                  <m:t>A</m:t>
                </m:r>
                <m:r>
                  <m:t>|</m:t>
                </m:r>
                <m:r>
                  <m:t>A</m:t>
                </m:r>
                <m:r>
                  <m:t>C</m:t>
                </m:r>
                <m:r>
                  <m:t>R</m:t>
                </m:r>
                <m:r>
                  <m:t>≥</m:t>
                </m:r>
                <m:r>
                  <m:t>20</m:t>
                </m:r>
                <m:r>
                  <m:t>]</m:t>
                </m:r>
                <m:r>
                  <m:t>=</m:t>
                </m:r>
                <m:f>
                  <m:fPr>
                    <m:type m:val="bar"/>
                  </m:fPr>
                  <m:num>
                    <m:sSub>
                      <m:e>
                        <m:r>
                          <m:t>n</m:t>
                        </m:r>
                      </m:e>
                      <m:sub>
                        <m:r>
                          <m:t>1</m:t>
                        </m:r>
                      </m:sub>
                    </m:sSub>
                  </m:num>
                  <m:den>
                    <m:r>
                      <m:t>N</m:t>
                    </m:r>
                  </m:den>
                </m:f>
                <m:r>
                  <m:t>⋅</m:t>
                </m:r>
                <m:r>
                  <m:rPr>
                    <m:sty m:val="p"/>
                    <m:scr m:val="double-struck"/>
                  </m:rPr>
                  <m:t>E</m:t>
                </m:r>
                <m:r>
                  <m:t>[</m:t>
                </m:r>
                <m:r>
                  <m:t>D</m:t>
                </m:r>
                <m:r>
                  <m:t>A</m:t>
                </m:r>
                <m:r>
                  <m:t>|</m:t>
                </m:r>
                <m:r>
                  <m:t>20</m:t>
                </m:r>
                <m:r>
                  <m:t>≤</m:t>
                </m:r>
                <m:r>
                  <m:t>A</m:t>
                </m:r>
                <m:r>
                  <m:t>C</m:t>
                </m:r>
                <m:r>
                  <m:t>R</m:t>
                </m:r>
                <m:r>
                  <m:t>&lt;</m:t>
                </m:r>
                <m:r>
                  <m:t>50</m:t>
                </m:r>
                <m:r>
                  <m:t>]</m:t>
                </m:r>
                <m:r>
                  <m:t>+</m:t>
                </m:r>
                <m:f>
                  <m:fPr>
                    <m:type m:val="bar"/>
                  </m:fPr>
                  <m:num>
                    <m:sSub>
                      <m:e>
                        <m:r>
                          <m:t>n</m:t>
                        </m:r>
                      </m:e>
                      <m:sub>
                        <m:r>
                          <m:t>2</m:t>
                        </m:r>
                      </m:sub>
                    </m:sSub>
                    <m:r>
                      <m:t>+</m:t>
                    </m:r>
                    <m:sSub>
                      <m:e>
                        <m:r>
                          <m:t>n</m:t>
                        </m:r>
                      </m:e>
                      <m:sub>
                        <m:r>
                          <m:t>3</m:t>
                        </m:r>
                      </m:sub>
                    </m:sSub>
                  </m:num>
                  <m:den>
                    <m:r>
                      <m:t>N</m:t>
                    </m:r>
                  </m:den>
                </m:f>
                <m:r>
                  <m:t>⋅</m:t>
                </m:r>
                <m:r>
                  <m:rPr>
                    <m:sty m:val="p"/>
                    <m:scr m:val="double-struck"/>
                  </m:rPr>
                  <m:t>E</m:t>
                </m:r>
                <m:r>
                  <m:t>[</m:t>
                </m:r>
                <m:r>
                  <m:t>D</m:t>
                </m:r>
                <m:r>
                  <m:t>A</m:t>
                </m:r>
                <m:r>
                  <m:t>|</m:t>
                </m:r>
                <m:r>
                  <m:t>A</m:t>
                </m:r>
                <m:r>
                  <m:t>C</m:t>
                </m:r>
                <m:r>
                  <m:t>R</m:t>
                </m:r>
                <m:r>
                  <m:t>≥</m:t>
                </m:r>
                <m:r>
                  <m:t>50</m:t>
                </m:r>
                <m:r>
                  <m:t>]</m:t>
                </m:r>
                <m:r>
                  <m:t>.</m:t>
                </m:r>
              </m:e>
            </m:mr>
          </m:m>
        </m:oMath>
      </m:oMathPara>
    </w:p>
    <w:p>
      <w:pPr>
        <w:pStyle w:val="Heading1"/>
      </w:pPr>
      <w:bookmarkStart w:id="89" w:name="app:haq-progression"/>
      <w:bookmarkEnd w:id="89"/>
      <w:r>
        <w:t xml:space="preserve">HAQ progression</w:t>
      </w:r>
    </w:p>
    <w:p>
      <w:pPr>
        <w:pStyle w:val="Heading2"/>
      </w:pPr>
      <w:bookmarkStart w:id="90" w:name="app:age-linear-haq"/>
      <w:bookmarkEnd w:id="90"/>
      <w:r>
        <w:t xml:space="preserve">Effect of age on linear HAQ progression</w:t>
      </w:r>
    </w:p>
    <w:p>
      <w:pPr>
        <w:pStyle w:val="FirstParagraph"/>
      </w:pPr>
      <w:r>
        <w:t xml:space="preserve">Michaud, Wallenstein, and Wolfe (2011)</w:t>
      </w:r>
      <w:r>
        <w:t xml:space="preserve"> </w:t>
      </w:r>
      <w:r>
        <w:t xml:space="preserve">report an overall rate of linear HAQ progression and rates for three age groups (&lt;40, 40-64,</w:t>
      </w:r>
      <w:r>
        <w:t xml:space="preserve"> </w:t>
      </w:r>
      <m:oMath>
        <m:r>
          <m:t>≥</m:t>
        </m:r>
      </m:oMath>
      <w:r>
        <w:t xml:space="preserve"> </w:t>
      </w:r>
      <w:r>
        <w:t xml:space="preserve">65). Let</w:t>
      </w:r>
      <w:r>
        <w:t xml:space="preserve"> </w:t>
      </w:r>
      <m:oMath>
        <m:r>
          <m:t>β</m:t>
        </m:r>
      </m:oMath>
      <w:r>
        <w:t xml:space="preserve"> </w:t>
      </w:r>
      <w:r>
        <w:t xml:space="preserve">be the overall rate of progression and</w:t>
      </w:r>
      <w:r>
        <w:t xml:space="preserve"> </w:t>
      </w:r>
      <m:oMath>
        <m:sSub>
          <m:e>
            <m:r>
              <m:t>β</m:t>
            </m:r>
          </m:e>
          <m:sub>
            <m:r>
              <m:t>a</m:t>
            </m:r>
          </m:sub>
        </m:sSub>
      </m:oMath>
      <w:r>
        <w:t xml:space="preserve"> </w:t>
      </w:r>
      <w:r>
        <w:t xml:space="preserve">be the rate of progression for age group</w:t>
      </w:r>
      <w:r>
        <w:t xml:space="preserve"> </w:t>
      </w:r>
      <m:oMath>
        <m:r>
          <m:t>a</m:t>
        </m:r>
      </m:oMath>
      <w:r>
        <w:t xml:space="preserve">. To estimate the effect of age on the progression rate, we calculated the difference between the overall progression rate and the age specific rate,</w:t>
      </w:r>
      <w:r>
        <w:t xml:space="preserve"> </w:t>
      </w:r>
      <m:oMath>
        <m:sSub>
          <m:e>
            <m:r>
              <m:t>δ</m:t>
            </m:r>
          </m:e>
          <m:sub>
            <m:r>
              <m:t>a</m:t>
            </m:r>
          </m:sub>
        </m:sSub>
        <m:r>
          <m:t>=</m:t>
        </m:r>
        <m:r>
          <m:t>β</m:t>
        </m:r>
        <m:r>
          <m:t>−</m:t>
        </m:r>
        <m:sSub>
          <m:e>
            <m:r>
              <m:t>β</m:t>
            </m:r>
          </m:e>
          <m:sub>
            <m:r>
              <m:t>a</m:t>
            </m:r>
          </m:sub>
        </m:sSub>
      </m:oMath>
      <w:r>
        <w:t xml:space="preserve">. We estimated the standard error of this quantity assuming no covariance between</w:t>
      </w:r>
      <w:r>
        <w:t xml:space="preserve"> </w:t>
      </w:r>
      <m:oMath>
        <m:r>
          <m:t>β</m:t>
        </m:r>
      </m:oMath>
      <w:r>
        <w:t xml:space="preserve"> </w:t>
      </w:r>
      <w:r>
        <w:t xml:space="preserve">and</w:t>
      </w:r>
      <w:r>
        <w:t xml:space="preserve"> </w:t>
      </w:r>
      <m:oMath>
        <m:sSub>
          <m:e>
            <m:r>
              <m:t>β</m:t>
            </m:r>
          </m:e>
          <m:sub>
            <m:r>
              <m:t>a</m:t>
            </m:r>
          </m:sub>
        </m:sSub>
      </m:oMath>
      <w:r>
        <w:t xml:space="preserve">,</w:t>
      </w:r>
    </w:p>
    <w:p>
      <w:pPr>
        <w:pStyle w:val="BodyText"/>
      </w:pPr>
      <m:oMathPara>
        <m:oMathParaPr>
          <m:jc m:val="center"/>
        </m:oMathParaPr>
        <m:oMath>
          <m:m>
            <m:mPr>
              <m:baseJc m:val="center"/>
              <m:plcHide m:val="1"/>
              <m:mcs>
                <m:mc>
                  <m:mcPr>
                    <m:mcJc m:val="right"/>
                    <m:count m:val="1"/>
                  </m:mcPr>
                </m:mc>
              </m:mcs>
            </m:mPr>
            <m:mr>
              <m:e>
                <m:r>
                  <m:t>S</m:t>
                </m:r>
                <m:r>
                  <m:t>E</m:t>
                </m:r>
                <m:r>
                  <m:t>(</m:t>
                </m:r>
                <m:sSub>
                  <m:e>
                    <m:r>
                      <m:t>δ</m:t>
                    </m:r>
                  </m:e>
                  <m:sub>
                    <m:r>
                      <m:t>a</m:t>
                    </m:r>
                  </m:sub>
                </m:sSub>
                <m:r>
                  <m:t>)</m:t>
                </m:r>
                <m:r>
                  <m:t>=</m:t>
                </m:r>
                <m:rad>
                  <m:radPr>
                    <m:degHide m:val="1"/>
                  </m:radPr>
                  <m:deg/>
                  <m:e>
                    <m:r>
                      <m:t>S</m:t>
                    </m:r>
                    <m:r>
                      <m:t>E</m:t>
                    </m:r>
                    <m:r>
                      <m:t>(</m:t>
                    </m:r>
                    <m:r>
                      <m:t>β</m:t>
                    </m:r>
                    <m:sSup>
                      <m:e>
                        <m:r>
                          <m:t>)</m:t>
                        </m:r>
                      </m:e>
                      <m:sup>
                        <m:r>
                          <m:t>2</m:t>
                        </m:r>
                      </m:sup>
                    </m:sSup>
                    <m:r>
                      <m:t>+</m:t>
                    </m:r>
                    <m:r>
                      <m:t>S</m:t>
                    </m:r>
                    <m:r>
                      <m:t>E</m:t>
                    </m:r>
                    <m:r>
                      <m:t>(</m:t>
                    </m:r>
                    <m:sSub>
                      <m:e>
                        <m:r>
                          <m:t>β</m:t>
                        </m:r>
                      </m:e>
                      <m:sub>
                        <m:r>
                          <m:t>a</m:t>
                        </m:r>
                      </m:sub>
                    </m:sSub>
                    <m:sSup>
                      <m:e>
                        <m:r>
                          <m:t>)</m:t>
                        </m:r>
                      </m:e>
                      <m:sup>
                        <m:r>
                          <m:t>2</m:t>
                        </m:r>
                      </m:sup>
                    </m:sSup>
                  </m:e>
                </m:rad>
                <m:r>
                  <m:t>.</m:t>
                </m:r>
              </m:e>
            </m:mr>
          </m:m>
        </m:oMath>
      </m:oMathPara>
    </w:p>
    <w:p>
      <w:pPr>
        <w:pStyle w:val="Heading2"/>
      </w:pPr>
      <w:bookmarkStart w:id="91" w:name="app:lcgm-haq"/>
      <w:bookmarkEnd w:id="91"/>
      <w:r>
        <w:t xml:space="preserve">HAQ trajectory with a latent class growth model</w:t>
      </w:r>
    </w:p>
    <w:p>
      <w:pPr>
        <w:pStyle w:val="FirstParagraph"/>
      </w:pPr>
      <w:r>
        <w:t xml:space="preserve">Norton et al. (2014)</w:t>
      </w:r>
      <w:r>
        <w:t xml:space="preserve"> </w:t>
      </w:r>
      <w:r>
        <w:t xml:space="preserve">model HAQ progression using a LCGM. The probability that individual</w:t>
      </w:r>
      <w:r>
        <w:t xml:space="preserve"> </w:t>
      </w:r>
      <m:oMath>
        <m:r>
          <m:t>i</m:t>
        </m:r>
      </m:oMath>
      <w:r>
        <w:t xml:space="preserve"> </w:t>
      </w:r>
      <w:r>
        <w:t xml:space="preserve">is a member of class</w:t>
      </w:r>
      <w:r>
        <w:t xml:space="preserve"> </w:t>
      </w:r>
      <m:oMath>
        <m:r>
          <m:t>c</m:t>
        </m:r>
      </m:oMath>
      <w:r>
        <w:t xml:space="preserve"> </w:t>
      </w:r>
      <w:r>
        <w:t xml:space="preserve">at time</w:t>
      </w:r>
      <w:r>
        <w:t xml:space="preserve"> </w:t>
      </w:r>
      <m:oMath>
        <m:r>
          <m:t>t</m:t>
        </m:r>
      </m:oMath>
      <w:r>
        <w:t xml:space="preserve"> </w:t>
      </w:r>
      <w:r>
        <w:t xml:space="preserve">is modeled using a multinomial logistic regression,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C</m:t>
                    </m:r>
                  </m:e>
                  <m:sub>
                    <m:r>
                      <m:t>i</m:t>
                    </m:r>
                    <m:r>
                      <m:t>t</m:t>
                    </m:r>
                  </m:sub>
                </m:sSub>
                <m:r>
                  <m:t>=</m:t>
                </m:r>
                <m:r>
                  <m:t>c</m:t>
                </m:r>
                <m:r>
                  <m:t>)</m:t>
                </m:r>
              </m:e>
              <m:e>
                <m:r>
                  <m:t>=</m:t>
                </m:r>
                <m:f>
                  <m:fPr>
                    <m:type m:val="bar"/>
                  </m:fPr>
                  <m:num>
                    <m:r>
                      <m:rPr>
                        <m:sty m:val="p"/>
                      </m:rPr>
                      <m:t>exp</m:t>
                    </m:r>
                    <m:r>
                      <m:t>(</m:t>
                    </m:r>
                    <m:sSubSup>
                      <m:e>
                        <m:r>
                          <m:t>w</m:t>
                        </m:r>
                      </m:e>
                      <m:sub>
                        <m:r>
                          <m:t>i</m:t>
                        </m:r>
                        <m:r>
                          <m:t>t</m:t>
                        </m:r>
                      </m:sub>
                      <m:sup>
                        <m:r>
                          <m:t>T</m:t>
                        </m:r>
                      </m:sup>
                    </m:sSubSup>
                    <m:sSub>
                      <m:e>
                        <m:r>
                          <m:t>δ</m:t>
                        </m:r>
                      </m:e>
                      <m:sub>
                        <m:r>
                          <m:t>c</m:t>
                        </m:r>
                      </m:sub>
                    </m:sSub>
                    <m:r>
                      <m:t>)</m:t>
                    </m:r>
                  </m:num>
                  <m:den>
                    <m:nary>
                      <m:naryPr>
                        <m:chr m:val="∑"/>
                        <m:limLoc m:val="undOvr"/>
                        <m:subHide m:val="0"/>
                        <m:supHide m:val="0"/>
                      </m:naryPr>
                      <m:sub>
                        <m:r>
                          <m:t>s</m:t>
                        </m:r>
                        <m:r>
                          <m:t>=</m:t>
                        </m:r>
                        <m:r>
                          <m:t>1</m:t>
                        </m:r>
                      </m:sub>
                      <m:sup>
                        <m:r>
                          <m:t>4</m:t>
                        </m:r>
                      </m:sup>
                      <m:e>
                        <m:r>
                          <m:rPr>
                            <m:sty m:val="p"/>
                          </m:rPr>
                          <m:t>exp</m:t>
                        </m:r>
                      </m:e>
                    </m:nary>
                    <m:r>
                      <m:t>(</m:t>
                    </m:r>
                    <m:sSubSup>
                      <m:e>
                        <m:r>
                          <m:t>w</m:t>
                        </m:r>
                      </m:e>
                      <m:sub>
                        <m:r>
                          <m:t>i</m:t>
                        </m:r>
                        <m:r>
                          <m:t>t</m:t>
                        </m:r>
                      </m:sub>
                      <m:sup>
                        <m:r>
                          <m:t>T</m:t>
                        </m:r>
                      </m:sup>
                    </m:sSubSup>
                    <m:sSub>
                      <m:e>
                        <m:r>
                          <m:t>δ</m:t>
                        </m:r>
                      </m:e>
                      <m:sub>
                        <m:r>
                          <m:t>s</m:t>
                        </m:r>
                      </m:sub>
                    </m:sSub>
                    <m:r>
                      <m:t>)</m:t>
                    </m:r>
                  </m:den>
                </m:f>
                <m:r>
                  <m:t>,</m:t>
                </m:r>
              </m:e>
            </m:mr>
          </m:m>
        </m:oMath>
      </m:oMathPara>
    </w:p>
    <w:p>
      <w:pPr>
        <w:pStyle w:val="FirstParagraph"/>
      </w:pPr>
      <w:r>
        <w:t xml:space="preserve">where</w:t>
      </w:r>
      <w:r>
        <w:t xml:space="preserve"> </w:t>
      </w:r>
      <m:oMath>
        <m:sSub>
          <m:e>
            <m:r>
              <m:t>δ</m:t>
            </m:r>
          </m:e>
          <m:sub>
            <m:r>
              <m:t>s</m:t>
            </m:r>
          </m:sub>
        </m:sSub>
      </m:oMath>
      <w:r>
        <w:t xml:space="preserve"> </w:t>
      </w:r>
      <w:r>
        <w:t xml:space="preserve">is the vector of regression coefficients associated with class</w:t>
      </w:r>
      <w:r>
        <w:t xml:space="preserve"> </w:t>
      </w:r>
      <m:oMath>
        <m:r>
          <m:t>s</m:t>
        </m:r>
      </m:oMath>
      <w:r>
        <w:t xml:space="preserve"> </w:t>
      </w:r>
      <w:r>
        <w:t xml:space="preserve">and</w:t>
      </w:r>
      <w:r>
        <w:t xml:space="preserve"> </w:t>
      </w:r>
      <m:oMath>
        <m:sSub>
          <m:e>
            <m:r>
              <m:t>w</m:t>
            </m:r>
          </m:e>
          <m:sub>
            <m:r>
              <m:t>i</m:t>
            </m:r>
            <m:r>
              <m:t>t</m:t>
            </m:r>
          </m:sub>
        </m:sSub>
      </m:oMath>
      <w:r>
        <w:t xml:space="preserve"> </w:t>
      </w:r>
      <w:r>
        <w:t xml:space="preserve">is the corresponding vector of regressors. The variables included in</w:t>
      </w:r>
      <w:r>
        <w:t xml:space="preserve"> </w:t>
      </w:r>
      <m:oMath>
        <m:sSub>
          <m:e>
            <m:r>
              <m:t>w</m:t>
            </m:r>
          </m:e>
          <m:sub>
            <m:r>
              <m:t>i</m:t>
            </m:r>
            <m:r>
              <m:t>t</m:t>
            </m:r>
          </m:sub>
        </m:sSub>
      </m:oMath>
      <w:r>
        <w:t xml:space="preserve"> </w:t>
      </w:r>
      <w:r>
        <w:t xml:space="preserve">are age, gender, baseline DAS28, symptom duration, rheumatoid factor, ACR criteria, and socioeconomic status. Regression coefficients for classes 2-4 relative to class 1 are shown in . Older age and female gender are especially important predictors of membership in higher risk classes; a worse DAS28 score, rheumatoid factor positivity, fulfillment of the 1987 ACR criteria, lower socioeconomic status, and longer disease duration are also predictors of membership in classes with worse HAQ progression.</w:t>
      </w:r>
    </w:p>
    <w:p>
      <w:pPr>
        <w:pStyle w:val="BodyText"/>
      </w:pPr>
      <w:r>
        <w:t xml:space="preserve">@lccc</w:t>
      </w:r>
      <w:r>
        <w:t xml:space="preserve"> </w:t>
      </w:r>
      <w:r>
        <w:t xml:space="preserve">&amp;</w:t>
      </w:r>
      <w:r>
        <w:br w:type="textWrapping"/>
      </w:r>
      <w:r>
        <w:t xml:space="preserve">&amp; &amp; &amp;</w:t>
      </w:r>
      <w:r>
        <w:br w:type="textWrapping"/>
      </w:r>
      <w:r>
        <w:br w:type="textWrapping"/>
      </w:r>
      <w:r>
        <w:t xml:space="preserve">@inputtables/lcgm-coef-class2.txt</w:t>
      </w:r>
      <w:r>
        <w:t xml:space="preserve"> </w:t>
      </w:r>
      <w:r>
        <w:br w:type="textWrapping"/>
      </w:r>
      <w:r>
        <w:br w:type="textWrapping"/>
      </w:r>
      <w:r>
        <w:t xml:space="preserve">@inputtables/lcgm-coef-class3.txt</w:t>
      </w:r>
      <w:r>
        <w:t xml:space="preserve"> </w:t>
      </w:r>
      <w:r>
        <w:br w:type="textWrapping"/>
      </w:r>
      <w:r>
        <w:br w:type="textWrapping"/>
      </w:r>
      <w:r>
        <w:t xml:space="preserve">@inputtables/lcgm-coef-class4.txt</w:t>
      </w:r>
      <w:r>
        <w:t xml:space="preserve"> </w:t>
      </w:r>
    </w:p>
    <w:p>
      <w:pPr>
        <w:pStyle w:val="BodyText"/>
      </w:pPr>
      <w:r>
        <w:t xml:space="preserve">Notes: Class 1, or the</w:t>
      </w:r>
      <w:r>
        <w:t xml:space="preserve"> </w:t>
      </w:r>
      <w:r>
        <w:t xml:space="preserve">“</w:t>
      </w:r>
      <w:r>
        <w:t xml:space="preserve">low</w:t>
      </w:r>
      <w:r>
        <w:t xml:space="preserve">”</w:t>
      </w:r>
      <w:r>
        <w:t xml:space="preserve"> </w:t>
      </w:r>
      <w:r>
        <w:t xml:space="preserve">group, is the reference category.</w:t>
      </w:r>
    </w:p>
    <w:p>
      <w:pPr>
        <w:pStyle w:val="BodyText"/>
      </w:pPr>
      <w:r>
        <w:t xml:space="preserve">The HAQ trajectory for a given class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i</m:t>
                    </m:r>
                    <m:r>
                      <m:t>t</m:t>
                    </m:r>
                    <m:r>
                      <m:t>c</m:t>
                    </m:r>
                  </m:sub>
                  <m:sup>
                    <m:r>
                      <m:t>*</m:t>
                    </m:r>
                  </m:sup>
                </m:sSubSup>
              </m:e>
              <m:e>
                <m:r>
                  <m:t>=</m:t>
                </m:r>
                <m:sSub>
                  <m:e>
                    <m:r>
                      <m:t>β</m:t>
                    </m:r>
                  </m:e>
                  <m:sub>
                    <m:r>
                      <m:t>0</m:t>
                    </m:r>
                    <m:r>
                      <m:t>c</m:t>
                    </m:r>
                  </m:sub>
                </m:sSub>
                <m:r>
                  <m:t>+</m:t>
                </m:r>
                <m:sSub>
                  <m:e>
                    <m:r>
                      <m:t>β</m:t>
                    </m:r>
                  </m:e>
                  <m:sub>
                    <m:r>
                      <m:t>1</m:t>
                    </m:r>
                    <m:r>
                      <m:t>c</m:t>
                    </m:r>
                  </m:sub>
                </m:sSub>
                <m:sSub>
                  <m:e>
                    <m:r>
                      <m:t>x</m:t>
                    </m:r>
                  </m:e>
                  <m:sub>
                    <m:r>
                      <m:t>t</m:t>
                    </m:r>
                  </m:sub>
                </m:sSub>
                <m:r>
                  <m:t>+</m:t>
                </m:r>
                <m:sSub>
                  <m:e>
                    <m:r>
                      <m:t>β</m:t>
                    </m:r>
                  </m:e>
                  <m:sub>
                    <m:r>
                      <m:t>2</m:t>
                    </m:r>
                    <m:r>
                      <m:t>c</m:t>
                    </m:r>
                  </m:sub>
                </m:sSub>
                <m:sSubSup>
                  <m:e>
                    <m:r>
                      <m:t>x</m:t>
                    </m:r>
                  </m:e>
                  <m:sub>
                    <m:r>
                      <m:t>t</m:t>
                    </m:r>
                  </m:sub>
                  <m:sup>
                    <m:r>
                      <m:t>2</m:t>
                    </m:r>
                  </m:sup>
                </m:sSubSup>
                <m:r>
                  <m:t>+</m:t>
                </m:r>
                <m:sSub>
                  <m:e>
                    <m:r>
                      <m:t>β</m:t>
                    </m:r>
                  </m:e>
                  <m:sub>
                    <m:r>
                      <m:t>3</m:t>
                    </m:r>
                    <m:r>
                      <m:t>c</m:t>
                    </m:r>
                  </m:sub>
                </m:sSub>
                <m:sSubSup>
                  <m:e>
                    <m:r>
                      <m:t>x</m:t>
                    </m:r>
                  </m:e>
                  <m:sub>
                    <m:r>
                      <m:t>t</m:t>
                    </m:r>
                  </m:sub>
                  <m:sup>
                    <m:r>
                      <m:t>3</m:t>
                    </m:r>
                  </m:sup>
                </m:sSubSup>
                <m:r>
                  <m:t>+</m:t>
                </m:r>
                <m:sSub>
                  <m:e>
                    <m:r>
                      <m:t>ϵ</m:t>
                    </m:r>
                  </m:e>
                  <m:sub>
                    <m:r>
                      <m:t>i</m:t>
                    </m:r>
                    <m:r>
                      <m:t>t</m:t>
                    </m:r>
                  </m:sub>
                </m:sSub>
              </m:e>
            </m:mr>
            <m:mr>
              <m:e>
                <m:sSub>
                  <m:e>
                    <m:r>
                      <m:t>y</m:t>
                    </m:r>
                  </m:e>
                  <m:sub>
                    <m:r>
                      <m:t>i</m:t>
                    </m:r>
                    <m:r>
                      <m:t>t</m:t>
                    </m:r>
                    <m:r>
                      <m:t>c</m:t>
                    </m:r>
                  </m:sub>
                </m:sSub>
              </m:e>
              <m:e>
                <m:r>
                  <m:t>=</m:t>
                </m:r>
                <m:d>
                  <m:dPr>
                    <m:begChr m:val="{"/>
                    <m:endChr m:val=""/>
                    <m:grow/>
                  </m:dPr>
                  <m:e>
                    <m:m>
                      <m:mPr>
                        <m:baseJc m:val="center"/>
                        <m:plcHide m:val="1"/>
                        <m:mcs>
                          <m:mc>
                            <m:mcPr>
                              <m:mcJc m:val="left"/>
                              <m:count m:val="1"/>
                            </m:mcPr>
                          </m:mc>
                          <m:mc>
                            <m:mcPr>
                              <m:mcJc m:val="left"/>
                              <m:count m:val="1"/>
                            </m:mcPr>
                          </m:mc>
                        </m:mcs>
                      </m:mPr>
                      <m:mr>
                        <m:e>
                          <m:r>
                            <m:t>0</m:t>
                          </m:r>
                        </m:e>
                        <m:e>
                          <m:r>
                            <m:rPr>
                              <m:sty m:val="p"/>
                            </m:rPr>
                            <m:t>if</m:t>
                          </m:r>
                          <m:r>
                            <m:t> </m:t>
                          </m:r>
                          <m:sSubSup>
                            <m:e>
                              <m:r>
                                <m:t>y</m:t>
                              </m:r>
                            </m:e>
                            <m:sub>
                              <m:r>
                                <m:t>i</m:t>
                              </m:r>
                              <m:r>
                                <m:t>t</m:t>
                              </m:r>
                              <m:r>
                                <m:t>c</m:t>
                              </m:r>
                            </m:sub>
                            <m:sup>
                              <m:r>
                                <m:t>*</m:t>
                              </m:r>
                            </m:sup>
                          </m:sSubSup>
                          <m:r>
                            <m:t>&lt;</m:t>
                          </m:r>
                          <m:r>
                            <m:t>0</m:t>
                          </m:r>
                        </m:e>
                      </m:mr>
                      <m:mr>
                        <m:e>
                          <m:sSubSup>
                            <m:e>
                              <m:r>
                                <m:t>y</m:t>
                              </m:r>
                            </m:e>
                            <m:sub>
                              <m:r>
                                <m:t>i</m:t>
                              </m:r>
                              <m:r>
                                <m:t>t</m:t>
                              </m:r>
                              <m:r>
                                <m:t>c</m:t>
                              </m:r>
                            </m:sub>
                            <m:sup>
                              <m:r>
                                <m:t>*</m:t>
                              </m:r>
                            </m:sup>
                          </m:sSubSup>
                        </m:e>
                        <m:e>
                          <m:r>
                            <m:rPr>
                              <m:sty m:val="p"/>
                            </m:rPr>
                            <m:t>if</m:t>
                          </m:r>
                          <m:r>
                            <m:t> </m:t>
                          </m:r>
                          <m:r>
                            <m:t>0</m:t>
                          </m:r>
                          <m:r>
                            <m:t>≤</m:t>
                          </m:r>
                          <m:sSubSup>
                            <m:e>
                              <m:r>
                                <m:t>y</m:t>
                              </m:r>
                            </m:e>
                            <m:sub>
                              <m:r>
                                <m:t>i</m:t>
                              </m:r>
                              <m:r>
                                <m:t>t</m:t>
                              </m:r>
                              <m:r>
                                <m:t>c</m:t>
                              </m:r>
                            </m:sub>
                            <m:sup>
                              <m:r>
                                <m:t>*</m:t>
                              </m:r>
                            </m:sup>
                          </m:sSubSup>
                          <m:r>
                            <m:t>≤</m:t>
                          </m:r>
                          <m:r>
                            <m:t>3</m:t>
                          </m:r>
                        </m:e>
                      </m:mr>
                      <m:mr>
                        <m:e>
                          <m:r>
                            <m:t>3</m:t>
                          </m:r>
                        </m:e>
                        <m:e>
                          <m:r>
                            <m:rPr>
                              <m:sty m:val="p"/>
                            </m:rPr>
                            <m:t>if</m:t>
                          </m:r>
                          <m:r>
                            <m:t> </m:t>
                          </m:r>
                          <m:sSubSup>
                            <m:e>
                              <m:r>
                                <m:t>y</m:t>
                              </m:r>
                            </m:e>
                            <m:sub>
                              <m:r>
                                <m:t>i</m:t>
                              </m:r>
                              <m:r>
                                <m:t>t</m:t>
                              </m:r>
                              <m:r>
                                <m:t>c</m:t>
                              </m:r>
                            </m:sub>
                            <m:sup>
                              <m:r>
                                <m:t>*</m:t>
                              </m:r>
                            </m:sup>
                          </m:sSubSup>
                          <m:r>
                            <m:t>&gt;</m:t>
                          </m:r>
                          <m:r>
                            <m:t>3</m:t>
                          </m:r>
                          <m:r>
                            <m:t>,</m:t>
                          </m:r>
                        </m:e>
                      </m:mr>
                    </m:m>
                  </m:e>
                </m:d>
              </m:e>
            </m:mr>
          </m:m>
        </m:oMath>
      </m:oMathPara>
    </w:p>
    <w:p>
      <w:pPr>
        <w:pStyle w:val="FirstParagraph"/>
      </w:pPr>
      <w:r>
        <w:t xml:space="preserve">where</w:t>
      </w:r>
      <w:r>
        <w:t xml:space="preserve"> </w:t>
      </w:r>
      <m:oMath>
        <m:sSub>
          <m:e>
            <m:r>
              <m:t>y</m:t>
            </m:r>
          </m:e>
          <m:sub>
            <m:r>
              <m:t>i</m:t>
            </m:r>
            <m:r>
              <m:t>t</m:t>
            </m:r>
            <m:r>
              <m:t>c</m:t>
            </m:r>
          </m:sub>
        </m:sSub>
      </m:oMath>
      <w:r>
        <w:t xml:space="preserve"> </w:t>
      </w:r>
      <w:r>
        <w:t xml:space="preserve">is the HAQ score,</w:t>
      </w:r>
      <w:r>
        <w:t xml:space="preserve"> </w:t>
      </w:r>
      <m:oMath>
        <m:sSub>
          <m:e>
            <m:r>
              <m:t>x</m:t>
            </m:r>
          </m:e>
          <m:sub>
            <m:r>
              <m:t>t</m:t>
            </m:r>
          </m:sub>
        </m:sSub>
      </m:oMath>
      <w:r>
        <w:t xml:space="preserve"> </w:t>
      </w:r>
      <w:r>
        <w:t xml:space="preserve">is a variable that is a function of time, the</w:t>
      </w:r>
      <w:r>
        <w:t xml:space="preserve"> </w:t>
      </w:r>
      <m:oMath>
        <m:sSub>
          <m:e>
            <m:r>
              <m:t>β</m:t>
            </m:r>
          </m:e>
          <m:sub>
            <m:r>
              <m:t>j</m:t>
            </m:r>
            <m:r>
              <m:t>c</m:t>
            </m:r>
          </m:sub>
        </m:sSub>
      </m:oMath>
      <w:r>
        <w:t xml:space="preserve"> </w:t>
      </w:r>
      <w:r>
        <w:t xml:space="preserve">are polynomial regression coefficients for members of class c, and</w:t>
      </w:r>
      <w:r>
        <w:t xml:space="preserve"> </w:t>
      </w:r>
      <m:oMath>
        <m:sSub>
          <m:e>
            <m:r>
              <m:t>ϵ</m:t>
            </m:r>
          </m:e>
          <m:sub>
            <m:r>
              <m:t>i</m:t>
            </m:r>
            <m:r>
              <m:t>t</m:t>
            </m:r>
          </m:sub>
        </m:sSub>
      </m:oMath>
      <w:r>
        <w:t xml:space="preserve"> </w:t>
      </w:r>
      <w:r>
        <w:t xml:space="preserve">is an error term.</w:t>
      </w:r>
    </w:p>
    <w:p>
      <w:pPr>
        <w:pStyle w:val="BodyText"/>
      </w:pPr>
      <w:r>
        <w:t xml:space="preserve">Sam Norton generously provided us with statistical estimates of the 4 class LCGM used in</w:t>
      </w:r>
      <w:r>
        <w:t xml:space="preserve"> </w:t>
      </w:r>
      <w:r>
        <w:t xml:space="preserve">Norton et al. (2014)</w:t>
      </w:r>
      <w:r>
        <w:t xml:space="preserve"> </w:t>
      </w:r>
      <w:r>
        <w:t xml:space="preserve">from</w:t>
      </w:r>
      <w:r>
        <w:t xml:space="preserve"> </w:t>
      </w:r>
      <w:hyperlink r:id="rId92">
        <w:r>
          <w:rPr>
            <w:rStyle w:val="Hyperlink"/>
          </w:rPr>
          <w:t xml:space="preserve">MPlus</w:t>
        </w:r>
      </w:hyperlink>
      <w:r>
        <w:t xml:space="preserve">. Like</w:t>
      </w:r>
      <w:r>
        <w:t xml:space="preserve"> </w:t>
      </w:r>
      <w:r>
        <w:t xml:space="preserve">M. Stevenson et al. (2016)</w:t>
      </w:r>
      <w:r>
        <w:t xml:space="preserve">, we noted that the coefficient estimates the MPlus resulted in large fluctuations in the predicted HAQ scores, likely because three decimal places was not precise enough for the cubic term in . We consequently used the coefficient estimates to predict the probability of class membership—which are less likely to be influenced by the number of reported decimal places—but estimated using the observed HAQ values reported in Figure 2 in</w:t>
      </w:r>
      <w:r>
        <w:t xml:space="preserve"> </w:t>
      </w:r>
      <w:r>
        <w:t xml:space="preserve">Norton et al. (2014)</w:t>
      </w:r>
      <w:r>
        <w:t xml:space="preserve">. However, since standard errors were artificially high using grouped data, we standard errors in were based on those reported in the original paper. Moreover, since we are only interested in the HAQ trajectory following the HAQ decline during the initial treatment phase, we limited our analysis to HAQ values from year 2 and onwards. Using the post year 2 data, we estimated using separate linear regressions with cubic polynomials for each class (). Like</w:t>
      </w:r>
      <w:r>
        <w:t xml:space="preserve"> </w:t>
      </w:r>
      <w:r>
        <w:t xml:space="preserve">Norton et al. (2014)</w:t>
      </w:r>
      <w:r>
        <w:t xml:space="preserve">, we set</w:t>
      </w:r>
      <w:r>
        <w:t xml:space="preserve"> </w:t>
      </w:r>
      <m:oMath>
        <m:sSub>
          <m:e>
            <m:r>
              <m:t>x</m:t>
            </m:r>
          </m:e>
          <m:sub>
            <m:r>
              <m:t>t</m:t>
            </m:r>
          </m:sub>
        </m:sSub>
      </m:oMath>
      <w:r>
        <w:t xml:space="preserve"> </w:t>
      </w:r>
      <w:r>
        <w:t xml:space="preserve">equal to a reciprocal transformation of time,</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t</m:t>
                    </m:r>
                  </m:sub>
                </m:sSub>
              </m:e>
              <m:e>
                <m:r>
                  <m:t>=</m:t>
                </m:r>
                <m:r>
                  <m:t>1</m:t>
                </m:r>
                <m:r>
                  <m:t>−</m:t>
                </m:r>
                <m:f>
                  <m:fPr>
                    <m:type m:val="bar"/>
                  </m:fPr>
                  <m:num>
                    <m:r>
                      <m:t>1</m:t>
                    </m:r>
                  </m:num>
                  <m:den>
                    <m:r>
                      <m:t>t</m:t>
                    </m:r>
                    <m:r>
                      <m:t>+</m:t>
                    </m:r>
                    <m:r>
                      <m:t>1</m:t>
                    </m:r>
                  </m:den>
                </m:f>
              </m:e>
            </m:mr>
          </m:m>
        </m:oMath>
      </m:oMathPara>
    </w:p>
    <w:p>
      <w:pPr>
        <w:pStyle w:val="FirstParagraph"/>
      </w:pPr>
      <w:r>
        <w:t xml:space="preserve">@lccc</w:t>
      </w:r>
      <w:r>
        <w:t xml:space="preserve"> </w:t>
      </w:r>
      <w:r>
        <w:t xml:space="preserve">&amp; &amp;</w:t>
      </w:r>
      <w:r>
        <w:br w:type="textWrapping"/>
      </w:r>
      <w:r>
        <w:br w:type="textWrapping"/>
      </w:r>
      <w:r>
        <w:t xml:space="preserve">@inputtables/lcgm-coef-growth-class1.txt</w:t>
      </w:r>
      <w:r>
        <w:t xml:space="preserve"> </w:t>
      </w:r>
      <w:r>
        <w:br w:type="textWrapping"/>
      </w:r>
      <w:r>
        <w:br w:type="textWrapping"/>
      </w:r>
      <w:r>
        <w:t xml:space="preserve">@inputtables/lcgm-coef-growth-class2.txt</w:t>
      </w:r>
      <w:r>
        <w:t xml:space="preserve"> </w:t>
      </w:r>
      <w:r>
        <w:br w:type="textWrapping"/>
      </w:r>
      <w:r>
        <w:br w:type="textWrapping"/>
      </w:r>
      <w:r>
        <w:t xml:space="preserve">@inputtables/lcgm-coef-growth-class3.txt</w:t>
      </w:r>
      <w:r>
        <w:t xml:space="preserve"> </w:t>
      </w:r>
      <w:r>
        <w:br w:type="textWrapping"/>
      </w:r>
      <w:r>
        <w:br w:type="textWrapping"/>
      </w:r>
      <w:r>
        <w:t xml:space="preserve">@inputtables/lcgm-coef-growth-class4.txt</w:t>
      </w:r>
      <w:r>
        <w:t xml:space="preserve"> </w:t>
      </w:r>
    </w:p>
    <w:p>
      <w:pPr>
        <w:pStyle w:val="BodyText"/>
      </w:pPr>
      <w:r>
        <w:t xml:space="preserve">Notes: Class 1, or the</w:t>
      </w:r>
      <w:r>
        <w:t xml:space="preserve"> </w:t>
      </w:r>
      <w:r>
        <w:t xml:space="preserve">“</w:t>
      </w:r>
      <w:r>
        <w:t xml:space="preserve">low</w:t>
      </w:r>
      <w:r>
        <w:t xml:space="preserve">”</w:t>
      </w:r>
      <w:r>
        <w:t xml:space="preserve"> </w:t>
      </w:r>
      <w:r>
        <w:t xml:space="preserve">group, is the reference category.</w:t>
      </w:r>
    </w:p>
    <w:p>
      <w:pPr>
        <w:pStyle w:val="BodyText"/>
      </w:pPr>
      <w:r>
        <w:t xml:space="preserve">In the simulation model, we simulate the HAQ score at 6 months as a function of the baseline HAQ score and the change in HAQ during the initial treatment phase. Since the</w:t>
      </w:r>
      <w:r>
        <w:t xml:space="preserve"> </w:t>
      </w:r>
      <w:r>
        <w:t xml:space="preserve">Norton et al. (2014)</w:t>
      </w:r>
      <w:r>
        <w:t xml:space="preserve"> </w:t>
      </w:r>
      <w:r>
        <w:t xml:space="preserve">model is not conditional on the HAQ score in the previous period, we use it to predict changes in HAQ rather than the level of the HAQ score. More precisely, for a patient in a given class, we model the change in HAQ as,</w:t>
      </w:r>
    </w:p>
    <w:p>
      <w:pPr>
        <w:pStyle w:val="BodyText"/>
      </w:pPr>
      <m:oMathPara>
        <m:oMathParaPr>
          <m:jc m:val="center"/>
        </m:oMathParaPr>
        <m:oMath>
          <m:m>
            <m:mPr>
              <m:baseJc m:val="center"/>
              <m:plcHide m:val="1"/>
              <m:mcs>
                <m:mc>
                  <m:mcPr>
                    <m:mcJc m:val="right"/>
                    <m:count m:val="1"/>
                  </m:mcPr>
                </m:mc>
                <m:mc>
                  <m:mcPr>
                    <m:mcJc m:val="left"/>
                    <m:count m:val="1"/>
                  </m:mcPr>
                </m:mc>
              </m:mcs>
            </m:mPr>
            <m:mr>
              <m:e>
                <m:r>
                  <m:t>Δ</m:t>
                </m:r>
                <m:sSubSup>
                  <m:e>
                    <m:r>
                      <m:t>y</m:t>
                    </m:r>
                  </m:e>
                  <m:sub>
                    <m:r>
                      <m:t>i</m:t>
                    </m:r>
                    <m:r>
                      <m:t>t</m:t>
                    </m:r>
                    <m:r>
                      <m:t>c</m:t>
                    </m:r>
                  </m:sub>
                  <m:sup>
                    <m:r>
                      <m:t>*</m:t>
                    </m:r>
                  </m:sup>
                </m:sSubSup>
              </m:e>
              <m:e>
                <m:r>
                  <m:t>=</m:t>
                </m:r>
                <m:sSubSup>
                  <m:e>
                    <m:r>
                      <m:t>y</m:t>
                    </m:r>
                  </m:e>
                  <m:sub>
                    <m:r>
                      <m:t>i</m:t>
                    </m:r>
                    <m:r>
                      <m:t>,</m:t>
                    </m:r>
                    <m:r>
                      <m:t>t</m:t>
                    </m:r>
                    <m:r>
                      <m:t>,</m:t>
                    </m:r>
                    <m:r>
                      <m:t>c</m:t>
                    </m:r>
                  </m:sub>
                  <m:sup>
                    <m:r>
                      <m:t>*</m:t>
                    </m:r>
                  </m:sup>
                </m:sSubSup>
                <m:r>
                  <m:t>−</m:t>
                </m:r>
                <m:sSubSup>
                  <m:e>
                    <m:r>
                      <m:t>y</m:t>
                    </m:r>
                  </m:e>
                  <m:sub>
                    <m:r>
                      <m:t>i</m:t>
                    </m:r>
                    <m:r>
                      <m:t>,</m:t>
                    </m:r>
                    <m:r>
                      <m:t>t</m:t>
                    </m:r>
                    <m:r>
                      <m:t>−</m:t>
                    </m:r>
                    <m:r>
                      <m:t>1</m:t>
                    </m:r>
                    <m:r>
                      <m:t>,</m:t>
                    </m:r>
                    <m:r>
                      <m:t>c</m:t>
                    </m:r>
                  </m:sub>
                  <m:sup>
                    <m:r>
                      <m:t>*</m:t>
                    </m:r>
                  </m:sup>
                </m:sSubSup>
              </m:e>
            </m:mr>
            <m:mr>
              <m:e/>
              <m:e>
                <m:r>
                  <m:t>=</m:t>
                </m:r>
                <m:sSub>
                  <m:e>
                    <m:r>
                      <m:t>β</m:t>
                    </m:r>
                  </m:e>
                  <m:sub>
                    <m:r>
                      <m:t>1</m:t>
                    </m:r>
                    <m:r>
                      <m:t>c</m:t>
                    </m:r>
                  </m:sub>
                </m:sSub>
                <m:r>
                  <m:t>(</m:t>
                </m:r>
                <m:sSub>
                  <m:e>
                    <m:r>
                      <m:t>x</m:t>
                    </m:r>
                  </m:e>
                  <m:sub>
                    <m:r>
                      <m:t>t</m:t>
                    </m:r>
                  </m:sub>
                </m:sSub>
                <m:r>
                  <m:t>−</m:t>
                </m:r>
                <m:sSub>
                  <m:e>
                    <m:r>
                      <m:t>x</m:t>
                    </m:r>
                  </m:e>
                  <m:sub>
                    <m:r>
                      <m:t>t</m:t>
                    </m:r>
                    <m:r>
                      <m:t>−</m:t>
                    </m:r>
                    <m:r>
                      <m:t>1</m:t>
                    </m:r>
                  </m:sub>
                </m:sSub>
                <m:r>
                  <m:t>)</m:t>
                </m:r>
                <m:r>
                  <m:t>+</m:t>
                </m:r>
                <m:sSub>
                  <m:e>
                    <m:r>
                      <m:t>β</m:t>
                    </m:r>
                  </m:e>
                  <m:sub>
                    <m:r>
                      <m:t>2</m:t>
                    </m:r>
                    <m:r>
                      <m:t>c</m:t>
                    </m:r>
                  </m:sub>
                </m:sSub>
                <m:r>
                  <m:t>(</m:t>
                </m:r>
                <m:sSubSup>
                  <m:e>
                    <m:r>
                      <m:t>x</m:t>
                    </m:r>
                  </m:e>
                  <m:sub>
                    <m:r>
                      <m:t>t</m:t>
                    </m:r>
                  </m:sub>
                  <m:sup>
                    <m:r>
                      <m:t>2</m:t>
                    </m:r>
                  </m:sup>
                </m:sSubSup>
                <m:r>
                  <m:t>−</m:t>
                </m:r>
                <m:sSubSup>
                  <m:e>
                    <m:r>
                      <m:t>x</m:t>
                    </m:r>
                  </m:e>
                  <m:sub>
                    <m:r>
                      <m:t>t</m:t>
                    </m:r>
                    <m:r>
                      <m:t>−</m:t>
                    </m:r>
                    <m:r>
                      <m:t>1</m:t>
                    </m:r>
                  </m:sub>
                  <m:sup>
                    <m:r>
                      <m:t>2</m:t>
                    </m:r>
                  </m:sup>
                </m:sSubSup>
                <m:r>
                  <m:t>)</m:t>
                </m:r>
                <m:r>
                  <m:t>+</m:t>
                </m:r>
                <m:sSub>
                  <m:e>
                    <m:r>
                      <m:t>β</m:t>
                    </m:r>
                  </m:e>
                  <m:sub>
                    <m:r>
                      <m:t>3</m:t>
                    </m:r>
                    <m:r>
                      <m:t>c</m:t>
                    </m:r>
                  </m:sub>
                </m:sSub>
                <m:r>
                  <m:t>(</m:t>
                </m:r>
                <m:sSubSup>
                  <m:e>
                    <m:r>
                      <m:t>x</m:t>
                    </m:r>
                  </m:e>
                  <m:sub>
                    <m:r>
                      <m:t>t</m:t>
                    </m:r>
                  </m:sub>
                  <m:sup>
                    <m:r>
                      <m:t>3</m:t>
                    </m:r>
                  </m:sup>
                </m:sSubSup>
                <m:r>
                  <m:t>−</m:t>
                </m:r>
                <m:sSubSup>
                  <m:e>
                    <m:r>
                      <m:t>x</m:t>
                    </m:r>
                  </m:e>
                  <m:sub>
                    <m:r>
                      <m:t>t</m:t>
                    </m:r>
                    <m:r>
                      <m:t>−</m:t>
                    </m:r>
                    <m:r>
                      <m:t>1</m:t>
                    </m:r>
                  </m:sub>
                  <m:sup>
                    <m:r>
                      <m:t>3</m:t>
                    </m:r>
                  </m:sup>
                </m:sSubSup>
                <m:r>
                  <m:t>)</m:t>
                </m:r>
                <m:r>
                  <m:t>+</m:t>
                </m:r>
                <m:r>
                  <m:t>(</m:t>
                </m:r>
                <m:sSub>
                  <m:e>
                    <m:r>
                      <m:t>ϵ</m:t>
                    </m:r>
                  </m:e>
                  <m:sub>
                    <m:r>
                      <m:t>i</m:t>
                    </m:r>
                    <m:r>
                      <m:t>,</m:t>
                    </m:r>
                    <m:r>
                      <m:t>t</m:t>
                    </m:r>
                  </m:sub>
                </m:sSub>
                <m:r>
                  <m:t>−</m:t>
                </m:r>
                <m:sSub>
                  <m:e>
                    <m:r>
                      <m:t>ϵ</m:t>
                    </m:r>
                  </m:e>
                  <m:sub>
                    <m:r>
                      <m:t>i</m:t>
                    </m:r>
                    <m:r>
                      <m:t>,</m:t>
                    </m:r>
                    <m:r>
                      <m:t>t</m:t>
                    </m:r>
                    <m:r>
                      <m:t>−</m:t>
                    </m:r>
                    <m:r>
                      <m:t>1</m:t>
                    </m:r>
                  </m:sub>
                </m:sSub>
                <m:r>
                  <m:t>)</m:t>
                </m:r>
                <m:r>
                  <m:t>.</m:t>
                </m:r>
              </m:e>
            </m:mr>
          </m:m>
        </m:oMath>
      </m:oMathPara>
    </w:p>
    <w:p>
      <w:pPr>
        <w:pStyle w:val="FirstParagraph"/>
      </w:pPr>
      <w:r>
        <w:t xml:space="preserve">Since was estimated on aggregated data, we did not have reliable estimates of</w:t>
      </w:r>
      <w:r>
        <w:t xml:space="preserve"> </w:t>
      </w:r>
      <m:oMath>
        <m:sSub>
          <m:e>
            <m:r>
              <m:t>ϵ</m:t>
            </m:r>
          </m:e>
          <m:sub>
            <m:r>
              <m:t>i</m:t>
            </m:r>
            <m:r>
              <m:t>t</m:t>
            </m:r>
          </m:sub>
        </m:sSub>
      </m:oMath>
      <w:r>
        <w:t xml:space="preserve">. We consequently set</w:t>
      </w:r>
      <w:r>
        <w:t xml:space="preserve"> </w:t>
      </w:r>
      <m:oMath>
        <m:sSub>
          <m:e>
            <m:r>
              <m:t>ϵ</m:t>
            </m:r>
          </m:e>
          <m:sub>
            <m:r>
              <m:t>i</m:t>
            </m:r>
            <m:r>
              <m:t>,</m:t>
            </m:r>
            <m:r>
              <m:t>t</m:t>
            </m:r>
          </m:sub>
        </m:sSub>
        <m:r>
          <m:t>−</m:t>
        </m:r>
        <m:sSub>
          <m:e>
            <m:r>
              <m:t>ϵ</m:t>
            </m:r>
          </m:e>
          <m:sub>
            <m:r>
              <m:t>i</m:t>
            </m:r>
            <m:r>
              <m:t>,</m:t>
            </m:r>
            <m:r>
              <m:t>t</m:t>
            </m:r>
            <m:r>
              <m:t>−</m:t>
            </m:r>
            <m:r>
              <m:t>1</m:t>
            </m:r>
          </m:sub>
        </m:sSub>
      </m:oMath>
      <w:r>
        <w:t xml:space="preserve"> </w:t>
      </w:r>
      <w:r>
        <w:t xml:space="preserve">equal to 0, which implies that we are generating a mean response rather than a predicted response. In other words, we are not simulating the random variation associated with each individual, but are still accurately simulating mean outcomes across populations or subpopulations.</w:t>
      </w:r>
    </w:p>
    <w:p>
      <w:pPr>
        <w:pStyle w:val="Heading1"/>
      </w:pPr>
      <w:bookmarkStart w:id="93" w:name="ssec:simulating-death"/>
      <w:bookmarkEnd w:id="93"/>
      <w:r>
        <w:t xml:space="preserve">Simulating death</w:t>
      </w:r>
    </w:p>
    <w:p>
      <w:pPr>
        <w:pStyle w:val="FirstParagraph"/>
      </w:pPr>
      <w:r>
        <w:t xml:space="preserve">Death is simulated for each patient during each model cycle based on age, gender, baseline HAQ, and change in HAQ from baseline. A 0/1 death indicator is randomly drawn using the following procedure:</w:t>
      </w:r>
    </w:p>
    <w:p>
      <w:pPr>
        <w:numPr>
          <w:numId w:val="1019"/>
          <w:ilvl w:val="0"/>
        </w:numPr>
      </w:pPr>
      <w:r>
        <w:t xml:space="preserve">Find</w:t>
      </w:r>
      <w:r>
        <w:t xml:space="preserve"> </w:t>
      </w:r>
      <m:oMath>
        <m:sSub>
          <m:e>
            <m:r>
              <m:t>q</m:t>
            </m:r>
          </m:e>
          <m:sub>
            <m:r>
              <m:t>x</m:t>
            </m:r>
            <m:r>
              <m:t>g</m:t>
            </m:r>
          </m:sub>
        </m:sSub>
      </m:oMath>
      <w:r>
        <w:t xml:space="preserve">, the probability that a patient of gender</w:t>
      </w:r>
      <w:r>
        <w:t xml:space="preserve"> </w:t>
      </w:r>
      <m:oMath>
        <m:r>
          <m:t>g</m:t>
        </m:r>
      </m:oMath>
      <w:r>
        <w:t xml:space="preserve"> </w:t>
      </w:r>
      <w:r>
        <w:t xml:space="preserve">and age</w:t>
      </w:r>
      <w:r>
        <w:t xml:space="preserve"> </w:t>
      </w:r>
      <m:oMath>
        <m:r>
          <m:t>x</m:t>
        </m:r>
      </m:oMath>
      <w:r>
        <w:t xml:space="preserve"> </w:t>
      </w:r>
      <w:r>
        <w:t xml:space="preserve">will die before age</w:t>
      </w:r>
      <w:r>
        <w:t xml:space="preserve"> </w:t>
      </w:r>
      <m:oMath>
        <m:r>
          <m:t>x</m:t>
        </m:r>
        <m:r>
          <m:t>+</m:t>
        </m:r>
        <m:r>
          <m:t>1</m:t>
        </m:r>
      </m:oMath>
      <w:r>
        <w:t xml:space="preserve">, from lifetables.</w:t>
      </w:r>
    </w:p>
    <w:p>
      <w:pPr>
        <w:numPr>
          <w:numId w:val="1019"/>
          <w:ilvl w:val="0"/>
        </w:numPr>
      </w:pPr>
      <w:r>
        <w:t xml:space="preserve">As described in , adjust</w:t>
      </w:r>
      <w:r>
        <w:t xml:space="preserve"> </w:t>
      </w:r>
      <m:oMath>
        <m:sSub>
          <m:e>
            <m:r>
              <m:t>q</m:t>
            </m:r>
          </m:e>
          <m:sub>
            <m:r>
              <m:t>g</m:t>
            </m:r>
            <m:r>
              <m:t>x</m:t>
            </m:r>
          </m:sub>
        </m:sSub>
      </m:oMath>
      <w:r>
        <w:t xml:space="preserve"> </w:t>
      </w:r>
      <w:r>
        <w:t xml:space="preserve">using the effect of a change in baseline HAQ on the odds of mortality,</w:t>
      </w:r>
      <w:r>
        <w:t xml:space="preserve"> </w:t>
      </w:r>
      <m:oMath>
        <m:r>
          <m:t>O</m:t>
        </m:r>
        <m:r>
          <m:t>R</m:t>
        </m:r>
      </m:oMath>
      <w:r>
        <w:t xml:space="preserve">,</w:t>
      </w:r>
    </w:p>
    <w:p>
      <w:pPr>
        <w:pStyle w:val="BodyText"/>
      </w:pPr>
      <m:oMathPara>
        <m:oMathParaPr>
          <m:jc m:val="center"/>
        </m:oMathParaPr>
        <m:oMath>
          <m:m>
            <m:mPr>
              <m:baseJc m:val="center"/>
              <m:plcHide m:val="1"/>
              <m:mcs>
                <m:mc>
                  <m:mcPr>
                    <m:mcJc m:val="right"/>
                    <m:count m:val="1"/>
                  </m:mcPr>
                </m:mc>
              </m:mcs>
            </m:mPr>
            <m:mr>
              <m:e>
                <m:sSub>
                  <m:e>
                    <m:r>
                      <m:t>p</m:t>
                    </m:r>
                  </m:e>
                  <m:sub>
                    <m:r>
                      <m:t>m</m:t>
                    </m:r>
                  </m:sub>
                </m:sSub>
                <m:r>
                  <m:t>=</m:t>
                </m:r>
                <m:f>
                  <m:fPr>
                    <m:type m:val="bar"/>
                  </m:fPr>
                  <m:num>
                    <m:r>
                      <m:t>1</m:t>
                    </m:r>
                  </m:num>
                  <m:den>
                    <m:r>
                      <m:t>1</m:t>
                    </m:r>
                    <m:r>
                      <m:t>+</m:t>
                    </m:r>
                    <m:r>
                      <m:rPr>
                        <m:sty m:val="p"/>
                      </m:rPr>
                      <m:t>exp</m:t>
                    </m:r>
                    <m:d>
                      <m:dPr>
                        <m:begChr m:val="["/>
                        <m:endChr m:val="]"/>
                        <m:grow/>
                      </m:dPr>
                      <m:e>
                        <m:r>
                          <m:t>−</m:t>
                        </m:r>
                        <m:r>
                          <m:t>(</m:t>
                        </m:r>
                        <m:r>
                          <m:rPr>
                            <m:sty m:val="p"/>
                          </m:rPr>
                          <m:t>logit</m:t>
                        </m:r>
                        <m:r>
                          <m:t>(</m:t>
                        </m:r>
                        <m:sSub>
                          <m:e>
                            <m:r>
                              <m:t>q</m:t>
                            </m:r>
                          </m:e>
                          <m:sub>
                            <m:r>
                              <m:t>x</m:t>
                            </m:r>
                          </m:sub>
                        </m:sSub>
                        <m:r>
                          <m:t>)</m:t>
                        </m:r>
                        <m:r>
                          <m:t>+</m:t>
                        </m:r>
                        <m:r>
                          <m:rPr>
                            <m:sty m:val="p"/>
                          </m:rPr>
                          <m:t>log</m:t>
                        </m:r>
                        <m:r>
                          <m:t>(</m:t>
                        </m:r>
                        <m:r>
                          <m:t>O</m:t>
                        </m:r>
                        <m:r>
                          <m:t>R</m:t>
                        </m:r>
                        <m:r>
                          <m:t>)</m:t>
                        </m:r>
                        <m:r>
                          <m:t>⋅</m:t>
                        </m:r>
                        <m:r>
                          <m:t>H</m:t>
                        </m:r>
                        <m:r>
                          <m:t>A</m:t>
                        </m:r>
                        <m:r>
                          <m:t>Q</m:t>
                        </m:r>
                        <m:r>
                          <m:t>)</m:t>
                        </m:r>
                      </m:e>
                    </m:d>
                  </m:den>
                </m:f>
                <m:r>
                  <m:t>.</m:t>
                </m:r>
              </m:e>
            </m:mr>
          </m:m>
        </m:oMath>
      </m:oMathPara>
    </w:p>
    <w:p>
      <w:pPr>
        <w:numPr>
          <w:numId w:val="1019"/>
          <w:ilvl w:val="0"/>
        </w:numPr>
      </w:pPr>
      <w:r>
        <w:t xml:space="preserve">Following , convert the mortality probability,</w:t>
      </w:r>
      <w:r>
        <w:t xml:space="preserve"> </w:t>
      </w:r>
      <m:oMath>
        <m:sSub>
          <m:e>
            <m:r>
              <m:t>p</m:t>
            </m:r>
          </m:e>
          <m:sub>
            <m:r>
              <m:t>m</m:t>
            </m:r>
          </m:sub>
        </m:sSub>
      </m:oMath>
      <w:r>
        <w:t xml:space="preserve">, into a mortality rate,</w:t>
      </w:r>
      <w:r>
        <w:t xml:space="preserve"> </w:t>
      </w:r>
      <m:oMath>
        <m:sSub>
          <m:e>
            <m:r>
              <m:t>r</m:t>
            </m:r>
          </m:e>
          <m:sub>
            <m:r>
              <m:t>m</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m</m:t>
                    </m:r>
                  </m:sub>
                </m:sSub>
              </m:e>
              <m:e>
                <m:r>
                  <m:t>=</m:t>
                </m:r>
                <m:r>
                  <m:t>−</m:t>
                </m:r>
                <m:r>
                  <m:t>l</m:t>
                </m:r>
                <m:r>
                  <m:t>o</m:t>
                </m:r>
                <m:r>
                  <m:t>g</m:t>
                </m:r>
                <m:r>
                  <m:t>(</m:t>
                </m:r>
                <m:r>
                  <m:t>1</m:t>
                </m:r>
                <m:r>
                  <m:t>−</m:t>
                </m:r>
                <m:sSub>
                  <m:e>
                    <m:r>
                      <m:t>p</m:t>
                    </m:r>
                  </m:e>
                  <m:sub>
                    <m:r>
                      <m:t>m</m:t>
                    </m:r>
                  </m:sub>
                </m:sSub>
                <m:r>
                  <m:t>)</m:t>
                </m:r>
                <m:r>
                  <m:t>.</m:t>
                </m:r>
              </m:e>
            </m:mr>
          </m:m>
        </m:oMath>
      </m:oMathPara>
    </w:p>
    <w:p>
      <w:pPr>
        <w:numPr>
          <w:numId w:val="1019"/>
          <w:ilvl w:val="0"/>
        </w:numPr>
      </w:pPr>
      <w:r>
        <w:t xml:space="preserve">Adjust the mortality rate,</w:t>
      </w:r>
      <w:r>
        <w:t xml:space="preserve"> </w:t>
      </w:r>
      <m:oMath>
        <m:sSub>
          <m:e>
            <m:r>
              <m:t>r</m:t>
            </m:r>
          </m:e>
          <m:sub>
            <m:r>
              <m:t>m</m:t>
            </m:r>
          </m:sub>
        </m:sSub>
      </m:oMath>
      <w:r>
        <w:t xml:space="preserve">, using the estimated log hazard ratio of mortality,</w:t>
      </w:r>
      <w:r>
        <w:t xml:space="preserve"> </w:t>
      </w:r>
      <m:oMath>
        <m:r>
          <m:t>H</m:t>
        </m:r>
        <m:r>
          <m:t>R</m:t>
        </m:r>
      </m:oMath>
      <w:r>
        <w:t xml:space="preserve">, of a change in HAQ from baseline,</w:t>
      </w:r>
      <w:r>
        <w:t xml:space="preserve"> </w:t>
      </w:r>
      <m:oMath>
        <m:r>
          <m:t>Δ</m:t>
        </m:r>
      </m:oMath>
      <w:r>
        <w:t xml:space="preserve"> </w:t>
      </w:r>
      <w:r>
        <w:t xml:space="preserve">HAQ.</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m</m:t>
                    </m:r>
                  </m:sub>
                </m:sSub>
              </m:e>
              <m:e>
                <m:r>
                  <m:t>=</m:t>
                </m:r>
                <m:sSub>
                  <m:e>
                    <m:r>
                      <m:t>r</m:t>
                    </m:r>
                  </m:e>
                  <m:sub>
                    <m:r>
                      <m:t>m</m:t>
                    </m:r>
                  </m:sub>
                </m:sSub>
                <m:r>
                  <m:t>⋅</m:t>
                </m:r>
                <m:r>
                  <m:rPr>
                    <m:sty m:val="p"/>
                  </m:rPr>
                  <m:t>exp</m:t>
                </m:r>
                <m:r>
                  <m:t>[</m:t>
                </m:r>
                <m:r>
                  <m:rPr>
                    <m:sty m:val="p"/>
                  </m:rPr>
                  <m:t>log</m:t>
                </m:r>
                <m:r>
                  <m:t>(</m:t>
                </m:r>
                <m:r>
                  <m:t>H</m:t>
                </m:r>
                <m:r>
                  <m:t>R</m:t>
                </m:r>
                <m:r>
                  <m:t>)</m:t>
                </m:r>
                <m:r>
                  <m:t>⋅</m:t>
                </m:r>
                <m:r>
                  <m:t>Δ</m:t>
                </m:r>
                <m:r>
                  <m:t>H</m:t>
                </m:r>
                <m:r>
                  <m:t>A</m:t>
                </m:r>
                <m:r>
                  <m:t>Q</m:t>
                </m:r>
                <m:r>
                  <m:t>]</m:t>
                </m:r>
              </m:e>
            </m:mr>
          </m:m>
        </m:oMath>
      </m:oMathPara>
    </w:p>
    <w:p>
      <w:pPr>
        <w:numPr>
          <w:numId w:val="1019"/>
          <w:ilvl w:val="0"/>
        </w:numPr>
      </w:pPr>
      <w:r>
        <w:t xml:space="preserve">Following , convert the mortality rate into a probability given a 6-month cycle length,</w:t>
      </w:r>
    </w:p>
    <w:p>
      <w:pPr>
        <w:pStyle w:val="BodyText"/>
      </w:pPr>
      <m:oMathPara>
        <m:oMathParaPr>
          <m:jc m:val="center"/>
        </m:oMathParaPr>
        <m:oMath>
          <m:m>
            <m:mPr>
              <m:baseJc m:val="center"/>
              <m:plcHide m:val="1"/>
              <m:mcs>
                <m:mc>
                  <m:mcPr>
                    <m:mcJc m:val="right"/>
                    <m:count m:val="1"/>
                  </m:mcPr>
                </m:mc>
              </m:mcs>
            </m:mPr>
            <m:mr>
              <m:e>
                <m:sSub>
                  <m:e>
                    <m:r>
                      <m:t>p</m:t>
                    </m:r>
                  </m:e>
                  <m:sub>
                    <m:r>
                      <m:t>m</m:t>
                    </m:r>
                  </m:sub>
                </m:sSub>
                <m:r>
                  <m:t>=</m:t>
                </m:r>
                <m:r>
                  <m:t>1</m:t>
                </m:r>
                <m:r>
                  <m:t>−</m:t>
                </m:r>
                <m:r>
                  <m:rPr>
                    <m:sty m:val="p"/>
                  </m:rPr>
                  <m:t>exp</m:t>
                </m:r>
                <m:r>
                  <m:t>[</m:t>
                </m:r>
                <m:r>
                  <m:t>−</m:t>
                </m:r>
                <m:sSub>
                  <m:e>
                    <m:r>
                      <m:t>r</m:t>
                    </m:r>
                  </m:e>
                  <m:sub>
                    <m:r>
                      <m:t>m</m:t>
                    </m:r>
                  </m:sub>
                </m:sSub>
                <m:r>
                  <m:t>*</m:t>
                </m:r>
                <m:r>
                  <m:t>(</m:t>
                </m:r>
                <m:r>
                  <m:t>6</m:t>
                </m:r>
                <m:r>
                  <m:t>/</m:t>
                </m:r>
                <m:r>
                  <m:t>12</m:t>
                </m:r>
                <m:r>
                  <m:t>)</m:t>
                </m:r>
                <m:r>
                  <m:t>]</m:t>
                </m:r>
                <m:r>
                  <m:t>.</m:t>
                </m:r>
              </m:e>
            </m:mr>
          </m:m>
        </m:oMath>
      </m:oMathPara>
    </w:p>
    <w:p>
      <w:pPr>
        <w:numPr>
          <w:numId w:val="1019"/>
          <w:ilvl w:val="0"/>
        </w:numPr>
      </w:pPr>
      <w:r>
        <w:t xml:space="preserve">Randomly draw a 0/1 death indicator,</w:t>
      </w:r>
      <w:r>
        <w:t xml:space="preserve"> </w:t>
      </w:r>
      <m:oMath>
        <m:r>
          <m:t>d</m:t>
        </m:r>
      </m:oMath>
      <w:r>
        <w:t xml:space="preserve">, given the probability of death,</w:t>
      </w:r>
      <w:r>
        <w:t xml:space="preserve"> </w:t>
      </w:r>
      <m:oMath>
        <m:sSub>
          <m:e>
            <m:r>
              <m:t>p</m:t>
            </m:r>
          </m:e>
          <m:sub>
            <m:r>
              <m:t>m</m:t>
            </m:r>
          </m:sub>
        </m:sSub>
      </m:oMath>
      <w:r>
        <w:t xml:space="preserve">,</w:t>
      </w:r>
    </w:p>
    <w:p>
      <w:pPr>
        <w:pStyle w:val="BodyText"/>
      </w:pPr>
      <m:oMathPara>
        <m:oMathParaPr>
          <m:jc m:val="center"/>
        </m:oMathParaPr>
        <m:oMath>
          <m:m>
            <m:mPr>
              <m:baseJc m:val="center"/>
              <m:plcHide m:val="1"/>
              <m:mcs>
                <m:mc>
                  <m:mcPr>
                    <m:mcJc m:val="right"/>
                    <m:count m:val="1"/>
                  </m:mcPr>
                </m:mc>
              </m:mcs>
            </m:mPr>
            <m:mr>
              <m:e>
                <m:r>
                  <m:t>d</m:t>
                </m:r>
                <m:r>
                  <m:t>∼</m:t>
                </m:r>
                <m:r>
                  <m:rPr>
                    <m:sty m:val="p"/>
                  </m:rPr>
                  <m:t>Bin</m:t>
                </m:r>
                <m:r>
                  <m:t>(</m:t>
                </m:r>
                <m:r>
                  <m:t>1</m:t>
                </m:r>
                <m:r>
                  <m:t>,</m:t>
                </m:r>
                <m:sSub>
                  <m:e>
                    <m:r>
                      <m:t>p</m:t>
                    </m:r>
                  </m:e>
                  <m:sub>
                    <m:r>
                      <m:t>m</m:t>
                    </m:r>
                  </m:sub>
                </m:sSub>
                <m:r>
                  <m:t>)</m:t>
                </m:r>
                <m:r>
                  <m:t>.</m:t>
                </m:r>
              </m:e>
            </m:mr>
          </m:m>
        </m:oMath>
      </m:oMathPara>
    </w:p>
    <w:p>
      <w:pPr>
        <w:pStyle w:val="Heading1"/>
      </w:pPr>
      <w:bookmarkStart w:id="94" w:name="app:sim-utility-mixture"/>
      <w:bookmarkEnd w:id="94"/>
      <w:r>
        <w:t xml:space="preserve">Simulating utility with a mixture model</w:t>
      </w:r>
    </w:p>
    <w:p>
      <w:pPr>
        <w:pStyle w:val="FirstParagraph"/>
      </w:pPr>
      <w:r>
        <w:t xml:space="preserve">The mixture model estimated by</w:t>
      </w:r>
      <w:r>
        <w:t xml:space="preserve"> </w:t>
      </w:r>
      <w:r>
        <w:t xml:space="preserve">M. H. Alava et al. (2013)</w:t>
      </w:r>
      <w:r>
        <w:t xml:space="preserve"> </w:t>
      </w:r>
      <w:r>
        <w:t xml:space="preserve">simulates utility in two stages. In the first stage, we sampled pain for a given individual in a particular model cycle based on the HAQ score. In the second stage, we simulated utility as a function of HAQ, pain and age/sex.</w:t>
      </w:r>
    </w:p>
    <w:p>
      <w:pPr>
        <w:pStyle w:val="Heading2"/>
      </w:pPr>
      <w:bookmarkStart w:id="95" w:name="simulating-pain"/>
      <w:bookmarkEnd w:id="95"/>
      <w:r>
        <w:t xml:space="preserve">Simulating pain</w:t>
      </w:r>
    </w:p>
    <w:p>
      <w:pPr>
        <w:pStyle w:val="FirstParagraph"/>
      </w:pPr>
      <w:r>
        <w:t xml:space="preserve">To simulate pain from HAQ, we used the summary statistics for pain and HAQ reported in</w:t>
      </w:r>
      <w:r>
        <w:t xml:space="preserve"> </w:t>
      </w:r>
      <w:r>
        <w:t xml:space="preserve">Sarzi-Puttini et al. (2002)</w:t>
      </w:r>
      <w:r>
        <w:t xml:space="preserve">. Pain was measured with the visual analog scale (VAS) with mean</w:t>
      </w:r>
      <w:r>
        <w:t xml:space="preserve"> </w:t>
      </w:r>
      <m:oMath>
        <m:sSub>
          <m:e>
            <m:r>
              <m:t>μ</m:t>
            </m:r>
          </m:e>
          <m:sub>
            <m:r>
              <m:t>p</m:t>
            </m:r>
            <m:r>
              <m:t>a</m:t>
            </m:r>
            <m:r>
              <m:t>i</m:t>
            </m:r>
            <m:r>
              <m:t>n</m:t>
            </m:r>
          </m:sub>
        </m:sSub>
        <m:r>
          <m:t>=</m:t>
        </m:r>
      </m:oMath>
      <w:r>
        <w:t xml:space="preserve"> </w:t>
      </w:r>
      <w:r>
        <w:t xml:space="preserve">61.65 and standard deviation</w:t>
      </w:r>
      <w:r>
        <w:t xml:space="preserve"> </w:t>
      </w:r>
      <m:oMath>
        <m:sSub>
          <m:e>
            <m:r>
              <m:t>σ</m:t>
            </m:r>
          </m:e>
          <m:sub>
            <m:r>
              <m:t>p</m:t>
            </m:r>
            <m:r>
              <m:t>a</m:t>
            </m:r>
            <m:r>
              <m:t>i</m:t>
            </m:r>
            <m:r>
              <m:t>n</m:t>
            </m:r>
          </m:sub>
        </m:sSub>
        <m:r>
          <m:t>=</m:t>
        </m:r>
      </m:oMath>
      <w:r>
        <w:t xml:space="preserve"> </w:t>
      </w:r>
      <w:r>
        <w:t xml:space="preserve">19.10, while HAQ was reported to have mean</w:t>
      </w:r>
      <w:r>
        <w:t xml:space="preserve"> </w:t>
      </w:r>
      <m:oMath>
        <m:sSub>
          <m:e>
            <m:r>
              <m:t>μ</m:t>
            </m:r>
          </m:e>
          <m:sub>
            <m:r>
              <m:t>h</m:t>
            </m:r>
            <m:r>
              <m:t>a</m:t>
            </m:r>
            <m:r>
              <m:t>q</m:t>
            </m:r>
          </m:sub>
        </m:sSub>
        <m:r>
          <m:t>=</m:t>
        </m:r>
      </m:oMath>
      <w:r>
        <w:t xml:space="preserve"> </w:t>
      </w:r>
      <w:r>
        <w:t xml:space="preserve">1.39 and standard deviation</w:t>
      </w:r>
      <w:r>
        <w:t xml:space="preserve"> </w:t>
      </w:r>
      <m:oMath>
        <m:sSub>
          <m:e>
            <m:r>
              <m:t>σ</m:t>
            </m:r>
          </m:e>
          <m:sub>
            <m:r>
              <m:t>h</m:t>
            </m:r>
            <m:r>
              <m:t>a</m:t>
            </m:r>
            <m:r>
              <m:t>q</m:t>
            </m:r>
          </m:sub>
        </m:sSub>
        <m:r>
          <m:t>=</m:t>
        </m:r>
      </m:oMath>
      <w:r>
        <w:t xml:space="preserve"> </w:t>
      </w:r>
      <w:r>
        <w:t xml:space="preserve">0.59.</w:t>
      </w:r>
    </w:p>
    <w:p>
      <w:pPr>
        <w:pStyle w:val="BodyText"/>
      </w:pPr>
      <w:r>
        <w:t xml:space="preserve">We then estimated the correlation between pain and HAQ by digitally scanning the curve depicting the (linear) relationship between pain and HAQ (Figure 114) shown in</w:t>
      </w:r>
      <w:r>
        <w:t xml:space="preserve"> </w:t>
      </w:r>
      <w:r>
        <w:t xml:space="preserve">M. Stevenson et al. (2016)</w:t>
      </w:r>
      <w:r>
        <w:t xml:space="preserve">. Using the scanned data, we regressed pain on HAQ using simple ordinary least squares (OLS). The correlation between pain and HAQ, estimated as</w:t>
      </w:r>
      <w:r>
        <w:t xml:space="preserve"> </w:t>
      </w:r>
      <m:oMath>
        <m:r>
          <m:t>ρ</m:t>
        </m:r>
        <m:r>
          <m:t>=</m:t>
        </m:r>
      </m:oMath>
      <w:r>
        <w:t xml:space="preserve"> </w:t>
      </w:r>
      <w:r>
        <w:t xml:space="preserve">0.52, was calculated by rearranging the OLS estimate for the slope,</w:t>
      </w:r>
      <w:r>
        <w:t xml:space="preserve"> </w:t>
      </w:r>
      <m:oMath>
        <m:r>
          <m:t>β</m:t>
        </m:r>
      </m:oMath>
      <w:r>
        <w:t xml:space="preserve">, of the regression model,</w:t>
      </w:r>
    </w:p>
    <w:p>
      <w:pPr>
        <w:pStyle w:val="BodyText"/>
      </w:pPr>
      <m:oMathPara>
        <m:oMathParaPr>
          <m:jc m:val="center"/>
        </m:oMathParaPr>
        <m:oMath>
          <m:m>
            <m:mPr>
              <m:baseJc m:val="center"/>
              <m:plcHide m:val="1"/>
              <m:mcs>
                <m:mc>
                  <m:mcPr>
                    <m:mcJc m:val="right"/>
                    <m:count m:val="1"/>
                  </m:mcPr>
                </m:mc>
              </m:mcs>
            </m:mPr>
            <m:mr>
              <m:e>
                <m:r>
                  <m:t>ρ</m:t>
                </m:r>
                <m:r>
                  <m:t>=</m:t>
                </m:r>
                <m:r>
                  <m:t>β</m:t>
                </m:r>
                <m:r>
                  <m:t>⋅</m:t>
                </m:r>
                <m:f>
                  <m:fPr>
                    <m:type m:val="bar"/>
                  </m:fPr>
                  <m:num>
                    <m:sSub>
                      <m:e>
                        <m:r>
                          <m:t>σ</m:t>
                        </m:r>
                      </m:e>
                      <m:sub>
                        <m:r>
                          <m:t>h</m:t>
                        </m:r>
                        <m:r>
                          <m:t>a</m:t>
                        </m:r>
                        <m:r>
                          <m:t>q</m:t>
                        </m:r>
                      </m:sub>
                    </m:sSub>
                  </m:num>
                  <m:den>
                    <m:sSub>
                      <m:e>
                        <m:r>
                          <m:t>σ</m:t>
                        </m:r>
                      </m:e>
                      <m:sub>
                        <m:r>
                          <m:t>p</m:t>
                        </m:r>
                        <m:r>
                          <m:t>a</m:t>
                        </m:r>
                        <m:r>
                          <m:t>i</m:t>
                        </m:r>
                        <m:r>
                          <m:t>n</m:t>
                        </m:r>
                      </m:sub>
                    </m:sSub>
                  </m:den>
                </m:f>
                <m:r>
                  <m:t>.</m:t>
                </m:r>
              </m:e>
            </m:mr>
          </m:m>
        </m:oMath>
      </m:oMathPara>
    </w:p>
    <w:p>
      <w:pPr>
        <w:pStyle w:val="FirstParagraph"/>
      </w:pPr>
      <w:r>
        <w:t xml:space="preserve">Pain was simulated using these parameters by assuming that pain was normally distributed conditional on HAQ,</w:t>
      </w:r>
    </w:p>
    <w:p>
      <w:pPr>
        <w:pStyle w:val="BodyText"/>
      </w:pPr>
      <m:oMathPara>
        <m:oMathParaPr>
          <m:jc m:val="center"/>
        </m:oMathParaPr>
        <m:oMath>
          <m:m>
            <m:mPr>
              <m:baseJc m:val="center"/>
              <m:plcHide m:val="1"/>
              <m:mcs>
                <m:mc>
                  <m:mcPr>
                    <m:mcJc m:val="right"/>
                    <m:count m:val="1"/>
                  </m:mcPr>
                </m:mc>
              </m:mcs>
            </m:mPr>
            <m:mr>
              <m:e>
                <m:r>
                  <m:t>p</m:t>
                </m:r>
                <m:r>
                  <m:t>a</m:t>
                </m:r>
                <m:r>
                  <m:t>i</m:t>
                </m:r>
                <m:r>
                  <m:t>n</m:t>
                </m:r>
                <m:r>
                  <m:t>|</m:t>
                </m:r>
                <m:r>
                  <m:t>h</m:t>
                </m:r>
                <m:r>
                  <m:t>a</m:t>
                </m:r>
                <m:r>
                  <m:t>q</m:t>
                </m:r>
                <m:r>
                  <m:t>=</m:t>
                </m:r>
                <m:r>
                  <m:t>h</m:t>
                </m:r>
                <m:r>
                  <m:t>∼</m:t>
                </m:r>
                <m:r>
                  <m:t>N</m:t>
                </m:r>
                <m:d>
                  <m:dPr>
                    <m:begChr m:val="("/>
                    <m:endChr m:val=")"/>
                    <m:grow/>
                  </m:dPr>
                  <m:e>
                    <m:sSub>
                      <m:e>
                        <m:r>
                          <m:t>μ</m:t>
                        </m:r>
                      </m:e>
                      <m:sub>
                        <m:r>
                          <m:t>p</m:t>
                        </m:r>
                        <m:r>
                          <m:t>a</m:t>
                        </m:r>
                        <m:r>
                          <m:t>i</m:t>
                        </m:r>
                        <m:r>
                          <m:t>n</m:t>
                        </m:r>
                      </m:sub>
                    </m:sSub>
                    <m:r>
                      <m:t>+</m:t>
                    </m:r>
                    <m:r>
                      <m:t>ρ</m:t>
                    </m:r>
                    <m:f>
                      <m:fPr>
                        <m:type m:val="bar"/>
                      </m:fPr>
                      <m:num>
                        <m:sSub>
                          <m:e>
                            <m:r>
                              <m:t>σ</m:t>
                            </m:r>
                          </m:e>
                          <m:sub>
                            <m:r>
                              <m:t>p</m:t>
                            </m:r>
                            <m:r>
                              <m:t>a</m:t>
                            </m:r>
                            <m:r>
                              <m:t>i</m:t>
                            </m:r>
                            <m:r>
                              <m:t>n</m:t>
                            </m:r>
                          </m:sub>
                        </m:sSub>
                      </m:num>
                      <m:den>
                        <m:sSub>
                          <m:e>
                            <m:r>
                              <m:t>σ</m:t>
                            </m:r>
                          </m:e>
                          <m:sub>
                            <m:r>
                              <m:t>h</m:t>
                            </m:r>
                            <m:r>
                              <m:t>a</m:t>
                            </m:r>
                            <m:r>
                              <m:t>q</m:t>
                            </m:r>
                          </m:sub>
                        </m:sSub>
                      </m:den>
                    </m:f>
                    <m:r>
                      <m:t>(</m:t>
                    </m:r>
                    <m:r>
                      <m:t>h</m:t>
                    </m:r>
                    <m:r>
                      <m:t>−</m:t>
                    </m:r>
                    <m:sSub>
                      <m:e>
                        <m:r>
                          <m:t>μ</m:t>
                        </m:r>
                      </m:e>
                      <m:sub>
                        <m:r>
                          <m:t>h</m:t>
                        </m:r>
                        <m:r>
                          <m:t>a</m:t>
                        </m:r>
                        <m:r>
                          <m:t>q</m:t>
                        </m:r>
                      </m:sub>
                    </m:sSub>
                    <m:r>
                      <m:t>)</m:t>
                    </m:r>
                    <m:r>
                      <m:t>,</m:t>
                    </m:r>
                    <m:sSubSup>
                      <m:e>
                        <m:r>
                          <m:t>σ</m:t>
                        </m:r>
                      </m:e>
                      <m:sub>
                        <m:r>
                          <m:t>p</m:t>
                        </m:r>
                        <m:r>
                          <m:t>a</m:t>
                        </m:r>
                        <m:r>
                          <m:t>i</m:t>
                        </m:r>
                        <m:r>
                          <m:t>n</m:t>
                        </m:r>
                      </m:sub>
                      <m:sup>
                        <m:r>
                          <m:t>2</m:t>
                        </m:r>
                      </m:sup>
                    </m:sSubSup>
                    <m:r>
                      <m:t>(</m:t>
                    </m:r>
                    <m:r>
                      <m:t>1</m:t>
                    </m:r>
                    <m:r>
                      <m:t>−</m:t>
                    </m:r>
                    <m:sSup>
                      <m:e>
                        <m:r>
                          <m:t>ρ</m:t>
                        </m:r>
                      </m:e>
                      <m:sup>
                        <m:r>
                          <m:t>2</m:t>
                        </m:r>
                      </m:sup>
                    </m:sSup>
                    <m:r>
                      <m:t>)</m:t>
                    </m:r>
                  </m:e>
                </m:d>
                <m:r>
                  <m:t>.</m:t>
                </m:r>
              </m:e>
            </m:mr>
          </m:m>
        </m:oMath>
      </m:oMathPara>
    </w:p>
    <w:p>
      <w:pPr>
        <w:pStyle w:val="FirstParagraph"/>
      </w:pPr>
      <w:r>
        <w:t xml:space="preserve">However, since the VAS is constrained to lie between 0 and 100, pain was drawn from a truncated normal distribution with a lower limit of 0 and an upper limit of 100.</w:t>
      </w:r>
    </w:p>
    <w:p>
      <w:pPr>
        <w:pStyle w:val="Heading2"/>
      </w:pPr>
      <w:bookmarkStart w:id="96" w:name="simulating-utility"/>
      <w:bookmarkEnd w:id="96"/>
      <w:r>
        <w:t xml:space="preserve">Simulating utility</w:t>
      </w:r>
    </w:p>
    <w:p>
      <w:pPr>
        <w:pStyle w:val="FirstParagraph"/>
      </w:pPr>
      <w:r>
        <w:t xml:space="preserve">After simulating pain, we simulated utility with a mixture model. Within each class</w:t>
      </w:r>
      <w:r>
        <w:t xml:space="preserve"> </w:t>
      </w:r>
      <m:oMath>
        <m:r>
          <m:t>c</m:t>
        </m:r>
      </m:oMath>
      <w:r>
        <w:t xml:space="preserve">, the HAQ score for patient</w:t>
      </w:r>
      <w:r>
        <w:t xml:space="preserve"> </w:t>
      </w:r>
      <m:oMath>
        <m:r>
          <m:t>i</m:t>
        </m:r>
      </m:oMath>
      <w:r>
        <w:t xml:space="preserve"> </w:t>
      </w:r>
      <w:r>
        <w:t xml:space="preserve">in period</w:t>
      </w:r>
      <w:r>
        <w:t xml:space="preserve"> </w:t>
      </w:r>
      <m:oMath>
        <m:r>
          <m:t>t</m:t>
        </m:r>
      </m:oMath>
      <w:r>
        <w:t xml:space="preserve"> </w:t>
      </w:r>
      <w:r>
        <w:t xml:space="preserve">was modeled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t</m:t>
                    </m:r>
                    <m:r>
                      <m:t>|</m:t>
                    </m:r>
                    <m:sSub>
                      <m:e>
                        <m:r>
                          <m:t>C</m:t>
                        </m:r>
                      </m:e>
                      <m:sub>
                        <m:r>
                          <m:t>i</m:t>
                        </m:r>
                        <m:r>
                          <m:t>t</m:t>
                        </m:r>
                      </m:sub>
                    </m:sSub>
                  </m:sub>
                </m:sSub>
              </m:e>
              <m:e>
                <m:r>
                  <m:t>=</m:t>
                </m:r>
                <m:d>
                  <m:dPr>
                    <m:begChr m:val="{"/>
                    <m:endChr m:val=""/>
                    <m:grow/>
                  </m:dPr>
                  <m:e>
                    <m:m>
                      <m:mPr>
                        <m:baseJc m:val="center"/>
                        <m:plcHide m:val="1"/>
                        <m:mcs>
                          <m:mc>
                            <m:mcPr>
                              <m:mcJc m:val="left"/>
                              <m:count m:val="1"/>
                            </m:mcPr>
                          </m:mc>
                          <m:mc>
                            <m:mcPr>
                              <m:mcJc m:val="left"/>
                              <m:count m:val="1"/>
                            </m:mcPr>
                          </m:mc>
                        </m:mcs>
                      </m:mPr>
                      <m:mr>
                        <m:e>
                          <m:r>
                            <m:t>1</m:t>
                          </m:r>
                        </m:e>
                        <m:e>
                          <m:r>
                            <m:rPr>
                              <m:sty m:val="p"/>
                            </m:rPr>
                            <m:t>if</m:t>
                          </m:r>
                          <m:r>
                            <m:t> </m:t>
                          </m:r>
                          <m:sSubSup>
                            <m:e>
                              <m:r>
                                <m:t>y</m:t>
                              </m:r>
                            </m:e>
                            <m:sub>
                              <m:r>
                                <m:t>i</m:t>
                              </m:r>
                              <m:r>
                                <m:t>t</m:t>
                              </m:r>
                              <m:r>
                                <m:t>|</m:t>
                              </m:r>
                              <m:sSub>
                                <m:e>
                                  <m:r>
                                    <m:t>C</m:t>
                                  </m:r>
                                </m:e>
                                <m:sub>
                                  <m:r>
                                    <m:t>i</m:t>
                                  </m:r>
                                  <m:r>
                                    <m:t>t</m:t>
                                  </m:r>
                                </m:sub>
                              </m:sSub>
                            </m:sub>
                            <m:sup>
                              <m:r>
                                <m:t>*</m:t>
                              </m:r>
                            </m:sup>
                          </m:sSubSup>
                          <m:r>
                            <m:t>&gt;</m:t>
                          </m:r>
                          <m:r>
                            <m:t>0.883</m:t>
                          </m:r>
                        </m:e>
                      </m:mr>
                      <m:mr>
                        <m:e>
                          <m:sSubSup>
                            <m:e>
                              <m:r>
                                <m:t>y</m:t>
                              </m:r>
                            </m:e>
                            <m:sub>
                              <m:r>
                                <m:t>i</m:t>
                              </m:r>
                              <m:r>
                                <m:t>t</m:t>
                              </m:r>
                              <m:r>
                                <m:t>|</m:t>
                              </m:r>
                              <m:sSub>
                                <m:e>
                                  <m:r>
                                    <m:t>C</m:t>
                                  </m:r>
                                </m:e>
                                <m:sub>
                                  <m:r>
                                    <m:t>i</m:t>
                                  </m:r>
                                  <m:r>
                                    <m:t>t</m:t>
                                  </m:r>
                                </m:sub>
                              </m:sSub>
                            </m:sub>
                            <m:sup>
                              <m:r>
                                <m:t>*</m:t>
                              </m:r>
                            </m:sup>
                          </m:sSubSup>
                        </m:e>
                        <m:e>
                          <m:r>
                            <m:rPr>
                              <m:sty m:val="p"/>
                            </m:rPr>
                            <m:t>otherwise</m:t>
                          </m:r>
                        </m:e>
                      </m:mr>
                    </m:m>
                  </m:e>
                </m:d>
              </m:e>
            </m:mr>
            <m:mr>
              <m:e>
                <m:sSubSup>
                  <m:e>
                    <m:r>
                      <m:t>y</m:t>
                    </m:r>
                  </m:e>
                  <m:sub>
                    <m:r>
                      <m:t>i</m:t>
                    </m:r>
                    <m:r>
                      <m:t>t</m:t>
                    </m:r>
                    <m:r>
                      <m:t>|</m:t>
                    </m:r>
                    <m:sSub>
                      <m:e>
                        <m:r>
                          <m:t>C</m:t>
                        </m:r>
                      </m:e>
                      <m:sub>
                        <m:r>
                          <m:t>i</m:t>
                        </m:r>
                        <m:r>
                          <m:t>t</m:t>
                        </m:r>
                      </m:sub>
                    </m:sSub>
                  </m:sub>
                  <m:sup>
                    <m:r>
                      <m:t>*</m:t>
                    </m:r>
                  </m:sup>
                </m:sSubSup>
              </m:e>
              <m:e>
                <m:r>
                  <m:t>=</m:t>
                </m:r>
                <m:sSub>
                  <m:e>
                    <m:r>
                      <m:t>α</m:t>
                    </m:r>
                  </m:e>
                  <m:sub>
                    <m:r>
                      <m:t>i</m:t>
                    </m:r>
                    <m:r>
                      <m:t>c</m:t>
                    </m:r>
                  </m:sub>
                </m:sSub>
                <m:r>
                  <m:t>+</m:t>
                </m:r>
                <m:sSubSup>
                  <m:e>
                    <m:r>
                      <m:t>x</m:t>
                    </m:r>
                  </m:e>
                  <m:sub>
                    <m:r>
                      <m:t>i</m:t>
                    </m:r>
                    <m:r>
                      <m:t>t</m:t>
                    </m:r>
                  </m:sub>
                  <m:sup>
                    <m:r>
                      <m:t>T</m:t>
                    </m:r>
                  </m:sup>
                </m:sSubSup>
                <m:sSub>
                  <m:e>
                    <m:r>
                      <m:t>β</m:t>
                    </m:r>
                  </m:e>
                  <m:sub>
                    <m:r>
                      <m:t>c</m:t>
                    </m:r>
                  </m:sub>
                </m:sSub>
                <m:r>
                  <m:t>+</m:t>
                </m:r>
                <m:sSub>
                  <m:e>
                    <m:r>
                      <m:t>ϵ</m:t>
                    </m:r>
                  </m:e>
                  <m:sub>
                    <m:r>
                      <m:t>i</m:t>
                    </m:r>
                    <m:r>
                      <m:t>t</m:t>
                    </m:r>
                  </m:sub>
                </m:sSub>
              </m:e>
            </m:mr>
            <m:mr>
              <m:e>
                <m:sSub>
                  <m:e>
                    <m:r>
                      <m:t>α</m:t>
                    </m:r>
                  </m:e>
                  <m:sub>
                    <m:r>
                      <m:t>i</m:t>
                    </m:r>
                    <m:r>
                      <m:t>c</m:t>
                    </m:r>
                  </m:sub>
                </m:sSub>
              </m:e>
              <m:e>
                <m:r>
                  <m:t>=</m:t>
                </m:r>
                <m:sSub>
                  <m:e>
                    <m:r>
                      <m:t>γ</m:t>
                    </m:r>
                  </m:e>
                  <m:sub>
                    <m:r>
                      <m:t>c</m:t>
                    </m:r>
                  </m:sub>
                </m:sSub>
                <m:r>
                  <m:t>+</m:t>
                </m:r>
                <m:sSubSup>
                  <m:e>
                    <m:r>
                      <m:t>z</m:t>
                    </m:r>
                  </m:e>
                  <m:sub>
                    <m:r>
                      <m:t>i</m:t>
                    </m:r>
                  </m:sub>
                  <m:sup>
                    <m:r>
                      <m:t>T</m:t>
                    </m:r>
                  </m:sup>
                </m:sSubSup>
                <m:r>
                  <m:t>κ</m:t>
                </m:r>
                <m:r>
                  <m:t>+</m:t>
                </m:r>
                <m:sSub>
                  <m:e>
                    <m:r>
                      <m:t>μ</m:t>
                    </m:r>
                  </m:e>
                  <m:sub>
                    <m:r>
                      <m:t>i</m:t>
                    </m:r>
                  </m:sub>
                </m:sSub>
                <m:r>
                  <m:t>,</m:t>
                </m:r>
              </m:e>
            </m:mr>
          </m:m>
        </m:oMath>
      </m:oMathPara>
    </w:p>
    <w:p>
      <w:pPr>
        <w:pStyle w:val="FirstParagraph"/>
      </w:pPr>
      <w:r>
        <w:t xml:space="preserve">where</w:t>
      </w:r>
      <w:r>
        <w:t xml:space="preserve"> </w:t>
      </w:r>
      <m:oMath>
        <m:sSub>
          <m:e>
            <m:r>
              <m:t>ϵ</m:t>
            </m:r>
          </m:e>
          <m:sub>
            <m:r>
              <m:t>i</m:t>
            </m:r>
            <m:r>
              <m:t>t</m:t>
            </m:r>
          </m:sub>
        </m:sSub>
      </m:oMath>
      <w:r>
        <w:t xml:space="preserve"> </w:t>
      </w:r>
      <w:r>
        <w:t xml:space="preserve">is a random error term and</w:t>
      </w:r>
      <w:r>
        <w:t xml:space="preserve"> </w:t>
      </w:r>
      <m:oMath>
        <m:sSub>
          <m:e>
            <m:r>
              <m:t>β</m:t>
            </m:r>
          </m:e>
          <m:sub>
            <m:r>
              <m:t>c</m:t>
            </m:r>
          </m:sub>
        </m:sSub>
      </m:oMath>
      <w:r>
        <w:t xml:space="preserve"> </w:t>
      </w:r>
      <w:r>
        <w:t xml:space="preserve">is a vector of regression coefficients corresponding to the vector of variables</w:t>
      </w:r>
      <w:r>
        <w:t xml:space="preserve"> </w:t>
      </w:r>
      <m:oMath>
        <m:sSub>
          <m:e>
            <m:r>
              <m:t>x</m:t>
            </m:r>
          </m:e>
          <m:sub>
            <m:r>
              <m:t>i</m:t>
            </m:r>
            <m:r>
              <m:t>t</m:t>
            </m:r>
          </m:sub>
        </m:sSub>
      </m:oMath>
      <w:r>
        <w:t xml:space="preserve">.</w:t>
      </w:r>
      <w:r>
        <w:t xml:space="preserve"> </w:t>
      </w:r>
      <m:oMath>
        <m:sSub>
          <m:e>
            <m:r>
              <m:t>α</m:t>
            </m:r>
          </m:e>
          <m:sub>
            <m:r>
              <m:t>i</m:t>
            </m:r>
            <m:r>
              <m:t>c</m:t>
            </m:r>
          </m:sub>
        </m:sSub>
      </m:oMath>
      <w:r>
        <w:t xml:space="preserve"> </w:t>
      </w:r>
      <w:r>
        <w:t xml:space="preserve">is a random intercept for individual</w:t>
      </w:r>
      <w:r>
        <w:t xml:space="preserve"> </w:t>
      </w:r>
      <m:oMath>
        <m:r>
          <m:t>i</m:t>
        </m:r>
      </m:oMath>
      <w:r>
        <w:t xml:space="preserve"> </w:t>
      </w:r>
      <w:r>
        <w:t xml:space="preserve">and class</w:t>
      </w:r>
      <w:r>
        <w:t xml:space="preserve"> </w:t>
      </w:r>
      <m:oMath>
        <m:r>
          <m:t>c</m:t>
        </m:r>
      </m:oMath>
      <w:r>
        <w:t xml:space="preserve"> </w:t>
      </w:r>
      <w:r>
        <w:t xml:space="preserve">that is predicted by a class-specific intercept,</w:t>
      </w:r>
      <w:r>
        <w:t xml:space="preserve"> </w:t>
      </w:r>
      <m:oMath>
        <m:sSub>
          <m:e>
            <m:r>
              <m:t>γ</m:t>
            </m:r>
          </m:e>
          <m:sub>
            <m:r>
              <m:t>c</m:t>
            </m:r>
          </m:sub>
        </m:sSub>
      </m:oMath>
      <w:r>
        <w:t xml:space="preserve">, a vector of individual-specific variables</w:t>
      </w:r>
      <w:r>
        <w:t xml:space="preserve"> </w:t>
      </w:r>
      <m:oMath>
        <m:sSub>
          <m:e>
            <m:r>
              <m:t>z</m:t>
            </m:r>
          </m:e>
          <m:sub>
            <m:r>
              <m:t>i</m:t>
            </m:r>
          </m:sub>
        </m:sSub>
      </m:oMath>
      <w:r>
        <w:t xml:space="preserve">, a coefficient vector</w:t>
      </w:r>
      <w:r>
        <w:t xml:space="preserve"> </w:t>
      </w:r>
      <m:oMath>
        <m:r>
          <m:t>κ</m:t>
        </m:r>
      </m:oMath>
      <w:r>
        <w:t xml:space="preserve">, and an error term,</w:t>
      </w:r>
      <w:r>
        <w:t xml:space="preserve"> </w:t>
      </w:r>
      <m:oMath>
        <m:sSub>
          <m:e>
            <m:r>
              <m:t>μ</m:t>
            </m:r>
          </m:e>
          <m:sub>
            <m:r>
              <m:t>i</m:t>
            </m:r>
          </m:sub>
        </m:sSub>
      </m:oMath>
      <w:r>
        <w:t xml:space="preserve">. Variables included in</w:t>
      </w:r>
      <w:r>
        <w:t xml:space="preserve"> </w:t>
      </w:r>
      <m:oMath>
        <m:sSub>
          <m:e>
            <m:r>
              <m:t>x</m:t>
            </m:r>
          </m:e>
          <m:sub>
            <m:r>
              <m:t>i</m:t>
            </m:r>
            <m:r>
              <m:t>t</m:t>
            </m:r>
          </m:sub>
        </m:sSub>
      </m:oMath>
      <w:r>
        <w:t xml:space="preserve"> </w:t>
      </w:r>
      <w:r>
        <w:t xml:space="preserve">are</w:t>
      </w:r>
      <w:r>
        <w:t xml:space="preserve"> </w:t>
      </w:r>
      <m:oMath>
        <m:r>
          <m:t>H</m:t>
        </m:r>
        <m:r>
          <m:t>A</m:t>
        </m:r>
        <m:r>
          <m:t>Q</m:t>
        </m:r>
      </m:oMath>
      <w:r>
        <w:t xml:space="preserve">,</w:t>
      </w:r>
      <w:r>
        <w:t xml:space="preserve"> </w:t>
      </w:r>
      <m:oMath>
        <m:r>
          <m:t>H</m:t>
        </m:r>
        <m:r>
          <m:t>A</m:t>
        </m:r>
        <m:sSup>
          <m:e>
            <m:r>
              <m:t>Q</m:t>
            </m:r>
          </m:e>
          <m:sup>
            <m:r>
              <m:t>2</m:t>
            </m:r>
          </m:sup>
        </m:sSup>
      </m:oMath>
      <w:r>
        <w:t xml:space="preserve">,</w:t>
      </w:r>
      <w:r>
        <w:t xml:space="preserve"> </w:t>
      </w:r>
      <m:oMath>
        <m:r>
          <m:t>P</m:t>
        </m:r>
        <m:r>
          <m:t>a</m:t>
        </m:r>
        <m:r>
          <m:t>i</m:t>
        </m:r>
        <m:r>
          <m:t>n</m:t>
        </m:r>
        <m:r>
          <m:t>/</m:t>
        </m:r>
        <m:r>
          <m:t>100</m:t>
        </m:r>
      </m:oMath>
      <w:r>
        <w:t xml:space="preserve">,</w:t>
      </w:r>
      <w:r>
        <w:t xml:space="preserve"> </w:t>
      </w:r>
      <m:oMath>
        <m:r>
          <m:t>A</m:t>
        </m:r>
        <m:r>
          <m:t>g</m:t>
        </m:r>
        <m:r>
          <m:t>e</m:t>
        </m:r>
        <m:r>
          <m:t>/</m:t>
        </m:r>
        <m:r>
          <m:t>10</m:t>
        </m:r>
      </m:oMath>
      <w:r>
        <w:t xml:space="preserve">, and</w:t>
      </w:r>
      <w:r>
        <w:t xml:space="preserve"> </w:t>
      </w:r>
      <m:oMath>
        <m:r>
          <m:t>A</m:t>
        </m:r>
        <m:r>
          <m:t>g</m:t>
        </m:r>
        <m:r>
          <m:t>e</m:t>
        </m:r>
        <m:r>
          <m:t>/</m:t>
        </m:r>
        <m:r>
          <m:t>100</m:t>
        </m:r>
      </m:oMath>
      <w:r>
        <w:t xml:space="preserve">;</w:t>
      </w:r>
      <w:r>
        <w:t xml:space="preserve"> </w:t>
      </w:r>
      <m:oMath>
        <m:sSub>
          <m:e>
            <m:r>
              <m:t>z</m:t>
            </m:r>
          </m:e>
          <m:sub>
            <m:r>
              <m:t>i</m:t>
            </m:r>
          </m:sub>
        </m:sSub>
      </m:oMath>
      <w:r>
        <w:t xml:space="preserve"> </w:t>
      </w:r>
      <w:r>
        <w:t xml:space="preserve">contains a single indicator variable,</w:t>
      </w:r>
      <w:r>
        <w:t xml:space="preserve"> </w:t>
      </w:r>
      <m:oMath>
        <m:r>
          <m:t>M</m:t>
        </m:r>
        <m:r>
          <m:t>a</m:t>
        </m:r>
        <m:r>
          <m:t>l</m:t>
        </m:r>
        <m:r>
          <m:t>e</m:t>
        </m:r>
      </m:oMath>
      <w:r>
        <w:t xml:space="preserve">, equal to 1 if the patient is male and 0 if female.</w:t>
      </w:r>
    </w:p>
    <w:p>
      <w:pPr>
        <w:pStyle w:val="BodyText"/>
      </w:pPr>
      <w:r>
        <w:t xml:space="preserve">The probability of class membership was modeled using a multinomial logit model,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C</m:t>
                    </m:r>
                  </m:e>
                  <m:sub>
                    <m:r>
                      <m:t>i</m:t>
                    </m:r>
                    <m:r>
                      <m:t>t</m:t>
                    </m:r>
                  </m:sub>
                </m:sSub>
                <m:r>
                  <m:t>=</m:t>
                </m:r>
                <m:r>
                  <m:t>c</m:t>
                </m:r>
                <m:r>
                  <m:t>)</m:t>
                </m:r>
              </m:e>
              <m:e>
                <m:r>
                  <m:t>=</m:t>
                </m:r>
                <m:f>
                  <m:fPr>
                    <m:type m:val="bar"/>
                  </m:fPr>
                  <m:num>
                    <m:r>
                      <m:rPr>
                        <m:sty m:val="p"/>
                      </m:rPr>
                      <m:t>exp</m:t>
                    </m:r>
                    <m:r>
                      <m:t>(</m:t>
                    </m:r>
                    <m:sSubSup>
                      <m:e>
                        <m:r>
                          <m:t>w</m:t>
                        </m:r>
                      </m:e>
                      <m:sub>
                        <m:r>
                          <m:t>i</m:t>
                        </m:r>
                        <m:r>
                          <m:t>t</m:t>
                        </m:r>
                      </m:sub>
                      <m:sup>
                        <m:r>
                          <m:t>T</m:t>
                        </m:r>
                      </m:sup>
                    </m:sSubSup>
                    <m:sSub>
                      <m:e>
                        <m:r>
                          <m:t>δ</m:t>
                        </m:r>
                      </m:e>
                      <m:sub>
                        <m:r>
                          <m:t>c</m:t>
                        </m:r>
                      </m:sub>
                    </m:sSub>
                    <m:r>
                      <m:t>)</m:t>
                    </m:r>
                  </m:num>
                  <m:den>
                    <m:nary>
                      <m:naryPr>
                        <m:chr m:val="∑"/>
                        <m:limLoc m:val="undOvr"/>
                        <m:subHide m:val="0"/>
                        <m:supHide m:val="0"/>
                      </m:naryPr>
                      <m:sub>
                        <m:r>
                          <m:t>s</m:t>
                        </m:r>
                        <m:r>
                          <m:t>=</m:t>
                        </m:r>
                        <m:r>
                          <m:t>1</m:t>
                        </m:r>
                      </m:sub>
                      <m:sup>
                        <m:r>
                          <m:t>4</m:t>
                        </m:r>
                      </m:sup>
                      <m:e>
                        <m:r>
                          <m:rPr>
                            <m:sty m:val="p"/>
                          </m:rPr>
                          <m:t>exp</m:t>
                        </m:r>
                      </m:e>
                    </m:nary>
                    <m:r>
                      <m:t>(</m:t>
                    </m:r>
                    <m:sSubSup>
                      <m:e>
                        <m:r>
                          <m:t>w</m:t>
                        </m:r>
                      </m:e>
                      <m:sub>
                        <m:r>
                          <m:t>i</m:t>
                        </m:r>
                        <m:r>
                          <m:t>t</m:t>
                        </m:r>
                      </m:sub>
                      <m:sup>
                        <m:r>
                          <m:t>T</m:t>
                        </m:r>
                      </m:sup>
                    </m:sSubSup>
                    <m:sSub>
                      <m:e>
                        <m:r>
                          <m:t>δ</m:t>
                        </m:r>
                      </m:e>
                      <m:sub>
                        <m:r>
                          <m:t>s</m:t>
                        </m:r>
                      </m:sub>
                    </m:sSub>
                    <m:r>
                      <m:t>)</m:t>
                    </m:r>
                  </m:den>
                </m:f>
                <m:r>
                  <m:t>,</m:t>
                </m:r>
              </m:e>
            </m:mr>
          </m:m>
        </m:oMath>
      </m:oMathPara>
    </w:p>
    <w:p>
      <w:pPr>
        <w:pStyle w:val="FirstParagraph"/>
      </w:pPr>
      <w:r>
        <w:t xml:space="preserve">where there are four possible classes and</w:t>
      </w:r>
      <w:r>
        <w:t xml:space="preserve"> </w:t>
      </w:r>
      <m:oMath>
        <m:sSub>
          <m:e>
            <m:r>
              <m:t>δ</m:t>
            </m:r>
          </m:e>
          <m:sub>
            <m:r>
              <m:t>c</m:t>
            </m:r>
          </m:sub>
        </m:sSub>
      </m:oMath>
      <w:r>
        <w:t xml:space="preserve"> </w:t>
      </w:r>
      <w:r>
        <w:t xml:space="preserve">is a vector of coefficients corresponding to the vector of variables,</w:t>
      </w:r>
      <w:r>
        <w:t xml:space="preserve"> </w:t>
      </w:r>
      <m:oMath>
        <m:sSub>
          <m:e>
            <m:r>
              <m:t>w</m:t>
            </m:r>
          </m:e>
          <m:sub>
            <m:r>
              <m:t>i</m:t>
            </m:r>
            <m:r>
              <m:t>t</m:t>
            </m:r>
          </m:sub>
        </m:sSub>
      </m:oMath>
      <w:r>
        <w:t xml:space="preserve"> </w:t>
      </w:r>
      <w:r>
        <w:t xml:space="preserve">(which includes an intercept). Variables included in</w:t>
      </w:r>
      <w:r>
        <w:t xml:space="preserve"> </w:t>
      </w:r>
      <m:oMath>
        <m:sSub>
          <m:e>
            <m:r>
              <m:t>w</m:t>
            </m:r>
          </m:e>
          <m:sub>
            <m:r>
              <m:t>i</m:t>
            </m:r>
            <m:r>
              <m:t>t</m:t>
            </m:r>
          </m:sub>
        </m:sSub>
      </m:oMath>
      <w:r>
        <w:t xml:space="preserve"> </w:t>
      </w:r>
      <w:r>
        <w:t xml:space="preserve">other than the intercept are</w:t>
      </w:r>
      <w:r>
        <w:t xml:space="preserve"> </w:t>
      </w:r>
      <m:oMath>
        <m:r>
          <m:t>H</m:t>
        </m:r>
        <m:r>
          <m:t>A</m:t>
        </m:r>
        <m:r>
          <m:t>Q</m:t>
        </m:r>
      </m:oMath>
      <w:r>
        <w:t xml:space="preserve">,</w:t>
      </w:r>
      <w:r>
        <w:t xml:space="preserve"> </w:t>
      </w:r>
      <m:oMath>
        <m:r>
          <m:t>P</m:t>
        </m:r>
        <m:r>
          <m:t>a</m:t>
        </m:r>
        <m:r>
          <m:t>i</m:t>
        </m:r>
        <m:r>
          <m:t>n</m:t>
        </m:r>
        <m:r>
          <m:t>/</m:t>
        </m:r>
        <m:r>
          <m:t>100</m:t>
        </m:r>
      </m:oMath>
      <w:r>
        <w:t xml:space="preserve">, and</w:t>
      </w:r>
      <w:r>
        <w:t xml:space="preserve"> </w:t>
      </w:r>
      <m:oMath>
        <m:r>
          <m:t>P</m:t>
        </m:r>
        <m:r>
          <m:t>a</m:t>
        </m:r>
        <m:r>
          <m:t>i</m:t>
        </m:r>
        <m:r>
          <m:t>n</m:t>
        </m:r>
        <m:r>
          <m:t>/</m:t>
        </m:r>
        <m:sSup>
          <m:e>
            <m:r>
              <m:t>100</m:t>
            </m:r>
          </m:e>
          <m:sup>
            <m:r>
              <m:t>2</m:t>
            </m:r>
          </m:sup>
        </m:sSup>
      </m:oMath>
      <w:r>
        <w:t xml:space="preserve">.</w:t>
      </w:r>
    </w:p>
    <w:p>
      <w:pPr>
        <w:pStyle w:val="BodyText"/>
      </w:pPr>
      <w:r>
        <w:t xml:space="preserve">We sampled from the mixture model as follows.</w:t>
      </w:r>
    </w:p>
    <w:p>
      <w:pPr>
        <w:numPr>
          <w:numId w:val="1020"/>
          <w:ilvl w:val="0"/>
        </w:numPr>
      </w:pPr>
      <w:r>
        <w:t xml:space="preserve">For each individual</w:t>
      </w:r>
      <w:r>
        <w:t xml:space="preserve"> </w:t>
      </w:r>
      <m:oMath>
        <m:r>
          <m:t>i</m:t>
        </m:r>
      </m:oMath>
      <w:r>
        <w:t xml:space="preserve">, sample the error term,</w:t>
      </w:r>
      <w:r>
        <w:t xml:space="preserve"> </w:t>
      </w:r>
      <m:oMath>
        <m:sSub>
          <m:e>
            <m:r>
              <m:t>μ</m:t>
            </m:r>
          </m:e>
          <m:sub>
            <m:r>
              <m:t>i</m:t>
            </m:r>
          </m:sub>
        </m:sSub>
        <m:r>
          <m:t>∼</m:t>
        </m:r>
        <m:r>
          <m:t>N</m:t>
        </m:r>
        <m:r>
          <m:t>(</m:t>
        </m:r>
        <m:r>
          <m:t>0</m:t>
        </m:r>
        <m:r>
          <m:t>,</m:t>
        </m:r>
        <m:sSubSup>
          <m:e>
            <m:r>
              <m:t>σ</m:t>
            </m:r>
          </m:e>
          <m:sub>
            <m:r>
              <m:t>μ</m:t>
            </m:r>
          </m:sub>
          <m:sup>
            <m:r>
              <m:t>2</m:t>
            </m:r>
          </m:sup>
        </m:sSubSup>
        <m:r>
          <m:t>)</m:t>
        </m:r>
      </m:oMath>
      <w:r>
        <w:t xml:space="preserve">.</w:t>
      </w:r>
    </w:p>
    <w:p>
      <w:pPr>
        <w:numPr>
          <w:numId w:val="1020"/>
          <w:ilvl w:val="0"/>
        </w:numPr>
      </w:pPr>
      <w:r>
        <w:t xml:space="preserve">For each individual</w:t>
      </w:r>
      <w:r>
        <w:t xml:space="preserve"> </w:t>
      </w:r>
      <m:oMath>
        <m:r>
          <m:t>i</m:t>
        </m:r>
      </m:oMath>
      <w:r>
        <w:t xml:space="preserve"> </w:t>
      </w:r>
      <w:r>
        <w:t xml:space="preserve">and time-period</w:t>
      </w:r>
      <w:r>
        <w:t xml:space="preserve"> </w:t>
      </w:r>
      <m:oMath>
        <m:r>
          <m:t>t</m:t>
        </m:r>
      </m:oMath>
      <w:r>
        <w:t xml:space="preserve">:</w:t>
      </w:r>
    </w:p>
    <w:p>
      <w:pPr>
        <w:numPr>
          <w:numId w:val="1021"/>
          <w:ilvl w:val="1"/>
        </w:numPr>
      </w:pPr>
      <w:r>
        <w:t xml:space="preserve">Sample class membership conditional on</w:t>
      </w:r>
      <w:r>
        <w:t xml:space="preserve"> </w:t>
      </w:r>
      <m:oMath>
        <m:sSub>
          <m:e>
            <m:r>
              <m:t>w</m:t>
            </m:r>
          </m:e>
          <m:sub>
            <m:r>
              <m:t>i</m:t>
            </m:r>
            <m:r>
              <m:t>t</m:t>
            </m:r>
          </m:sub>
        </m:sSub>
      </m:oMath>
      <w:r>
        <w:t xml:space="preserve">; that is, sample</w:t>
      </w:r>
      <w:r>
        <w:t xml:space="preserve"> </w:t>
      </w:r>
      <m:oMath>
        <m:sSub>
          <m:e>
            <m:r>
              <m:t>C</m:t>
            </m:r>
          </m:e>
          <m:sub>
            <m:r>
              <m:t>i</m:t>
            </m:r>
            <m:r>
              <m:t>t</m:t>
            </m:r>
          </m:sub>
        </m:sSub>
        <m:r>
          <m:t>∼</m:t>
        </m:r>
        <m:r>
          <m:rPr>
            <m:sty m:val="p"/>
          </m:rPr>
          <m:t>Cat</m:t>
        </m:r>
        <m:r>
          <m:t>(</m:t>
        </m:r>
        <m:sSub>
          <m:e>
            <m:r>
              <m:t>p</m:t>
            </m:r>
          </m:e>
          <m:sub>
            <m:r>
              <m:t>1</m:t>
            </m:r>
          </m:sub>
        </m:sSub>
        <m:r>
          <m:t>,</m:t>
        </m:r>
        <m:sSub>
          <m:e>
            <m:r>
              <m:t>p</m:t>
            </m:r>
          </m:e>
          <m:sub>
            <m:r>
              <m:t>2</m:t>
            </m:r>
          </m:sub>
        </m:sSub>
        <m:r>
          <m:t>,</m:t>
        </m:r>
        <m:sSub>
          <m:e>
            <m:r>
              <m:t>p</m:t>
            </m:r>
          </m:e>
          <m:sub>
            <m:r>
              <m:t>3</m:t>
            </m:r>
          </m:sub>
        </m:sSub>
        <m:r>
          <m:t>,</m:t>
        </m:r>
        <m:sSub>
          <m:e>
            <m:r>
              <m:t>p</m:t>
            </m:r>
          </m:e>
          <m:sub>
            <m:r>
              <m:t>4</m:t>
            </m:r>
          </m:sub>
        </m:sSub>
        <m:r>
          <m:t>)</m:t>
        </m:r>
      </m:oMath>
      <w:r>
        <w:t xml:space="preserve"> </w:t>
      </w:r>
      <w:r>
        <w:t xml:space="preserve">where</w:t>
      </w:r>
      <w:r>
        <w:t xml:space="preserve"> </w:t>
      </w:r>
      <m:oMath>
        <m:sSub>
          <m:e>
            <m:r>
              <m:t>p</m:t>
            </m:r>
          </m:e>
          <m:sub>
            <m:r>
              <m:t>c</m:t>
            </m:r>
          </m:sub>
        </m:sSub>
      </m:oMath>
      <w:r>
        <w:t xml:space="preserve"> </w:t>
      </w:r>
      <w:r>
        <w:t xml:space="preserve">is the probability of being in class</w:t>
      </w:r>
      <w:r>
        <w:t xml:space="preserve"> </w:t>
      </w:r>
      <m:oMath>
        <m:r>
          <m:t>c</m:t>
        </m:r>
      </m:oMath>
      <w:r>
        <w:t xml:space="preserve">.</w:t>
      </w:r>
    </w:p>
    <w:p>
      <w:pPr>
        <w:numPr>
          <w:numId w:val="1021"/>
          <w:ilvl w:val="1"/>
        </w:numPr>
      </w:pPr>
      <w:r>
        <w:t xml:space="preserve">Predict the intercept</w:t>
      </w:r>
      <w:r>
        <w:t xml:space="preserve"> </w:t>
      </w:r>
      <m:oMath>
        <m:sSub>
          <m:e>
            <m:r>
              <m:t>α</m:t>
            </m:r>
          </m:e>
          <m:sub>
            <m:r>
              <m:t>i</m:t>
            </m:r>
            <m:r>
              <m:t>c</m:t>
            </m:r>
          </m:sub>
        </m:sSub>
      </m:oMath>
      <w:r>
        <w:t xml:space="preserve">.</w:t>
      </w:r>
    </w:p>
    <w:p>
      <w:pPr>
        <w:numPr>
          <w:numId w:val="1021"/>
          <w:ilvl w:val="1"/>
        </w:numPr>
      </w:pPr>
      <w:r>
        <w:t xml:space="preserve">Sample the error term,</w:t>
      </w:r>
      <w:r>
        <w:t xml:space="preserve"> </w:t>
      </w:r>
      <m:oMath>
        <m:sSub>
          <m:e>
            <m:r>
              <m:t>ϵ</m:t>
            </m:r>
          </m:e>
          <m:sub>
            <m:r>
              <m:t>i</m:t>
            </m:r>
            <m:r>
              <m:t>t</m:t>
            </m:r>
          </m:sub>
        </m:sSub>
        <m:r>
          <m:t>∼</m:t>
        </m:r>
        <m:r>
          <m:t>N</m:t>
        </m:r>
        <m:r>
          <m:t>(</m:t>
        </m:r>
        <m:r>
          <m:t>0</m:t>
        </m:r>
        <m:r>
          <m:t>,</m:t>
        </m:r>
        <m:sSubSup>
          <m:e>
            <m:r>
              <m:t>σ</m:t>
            </m:r>
          </m:e>
          <m:sub>
            <m:r>
              <m:t>ϵ</m:t>
            </m:r>
          </m:sub>
          <m:sup>
            <m:r>
              <m:t>2</m:t>
            </m:r>
          </m:sup>
        </m:sSubSup>
        <m:r>
          <m:t>)</m:t>
        </m:r>
      </m:oMath>
      <w:r>
        <w:t xml:space="preserve">.</w:t>
      </w:r>
    </w:p>
    <w:p>
      <w:pPr>
        <w:numPr>
          <w:numId w:val="1021"/>
          <w:ilvl w:val="1"/>
        </w:numPr>
      </w:pPr>
      <w:r>
        <w:t xml:space="preserve">Predict the HAQ score,</w:t>
      </w:r>
      <w:r>
        <w:t xml:space="preserve"> </w:t>
      </w:r>
      <m:oMath>
        <m:sSub>
          <m:e>
            <m:r>
              <m:t>y</m:t>
            </m:r>
          </m:e>
          <m:sub>
            <m:r>
              <m:t>i</m:t>
            </m:r>
            <m:r>
              <m:t>t</m:t>
            </m:r>
          </m:sub>
        </m:sSub>
      </m:oMath>
      <w:r>
        <w:t xml:space="preserve">.</w:t>
      </w:r>
    </w:p>
    <w:p>
      <w:pPr>
        <w:pStyle w:val="Heading1"/>
      </w:pPr>
      <w:bookmarkStart w:id="97" w:name="app:treat-cost"/>
      <w:bookmarkEnd w:id="97"/>
      <w:r>
        <w:t xml:space="preserve">Drug acquisition and administration costs</w:t>
      </w:r>
    </w:p>
    <w:p>
      <w:pPr>
        <w:pStyle w:val="FirstParagraph"/>
      </w:pPr>
      <w:r>
        <w:t xml:space="preserve">Drug acquisition and administration costs are calculated separately during the initial treatment phase and the maintenance phase since dosing typically differs. Costs are separated into acquisition costs and infusion costs. Infusion costs are calculated by multiplying the number of doses in a 6 month period by the cost of an infusion and acquisition costs are calculated as,</w:t>
      </w:r>
    </w:p>
    <w:p>
      <w:pPr>
        <w:pStyle w:val="BodyText"/>
      </w:pPr>
      <m:oMathPara>
        <m:oMathParaPr>
          <m:jc m:val="center"/>
        </m:oMathParaPr>
        <m:oMath>
          <m:m>
            <m:mPr>
              <m:baseJc m:val="center"/>
              <m:plcHide m:val="1"/>
              <m:mcs>
                <m:mc>
                  <m:mcPr>
                    <m:mcJc m:val="right"/>
                    <m:count m:val="1"/>
                  </m:mcPr>
                </m:mc>
              </m:mcs>
            </m:mPr>
            <m:mr>
              <m:e>
                <m:r>
                  <m:t>c</m:t>
                </m:r>
                <m:r>
                  <m:t>o</m:t>
                </m:r>
                <m:r>
                  <m:t>s</m:t>
                </m:r>
                <m:r>
                  <m:t>t</m:t>
                </m:r>
                <m:r>
                  <m:t>=</m:t>
                </m:r>
                <m:d>
                  <m:dPr>
                    <m:begChr m:val="⌈"/>
                    <m:endChr m:val="⌉"/>
                    <m:grow/>
                  </m:dPr>
                  <m:e>
                    <m:f>
                      <m:fPr>
                        <m:type m:val="bar"/>
                      </m:fPr>
                      <m:num>
                        <m:r>
                          <m:t>d</m:t>
                        </m:r>
                        <m:r>
                          <m:t>o</m:t>
                        </m:r>
                        <m:r>
                          <m:t>s</m:t>
                        </m:r>
                        <m:sSub>
                          <m:e>
                            <m:r>
                              <m:t>e</m:t>
                            </m:r>
                          </m:e>
                          <m:sub>
                            <m:r>
                              <m:t>a</m:t>
                            </m:r>
                            <m:r>
                              <m:t>m</m:t>
                            </m:r>
                            <m:r>
                              <m:t>t</m:t>
                            </m:r>
                          </m:sub>
                        </m:sSub>
                      </m:num>
                      <m:den>
                        <m:r>
                          <m:t>s</m:t>
                        </m:r>
                        <m:r>
                          <m:t>t</m:t>
                        </m:r>
                        <m:r>
                          <m:t>r</m:t>
                        </m:r>
                        <m:r>
                          <m:t>e</m:t>
                        </m:r>
                        <m:r>
                          <m:t>n</m:t>
                        </m:r>
                        <m:r>
                          <m:t>g</m:t>
                        </m:r>
                        <m:r>
                          <m:t>t</m:t>
                        </m:r>
                        <m:sSub>
                          <m:e>
                            <m:r>
                              <m:t>h</m:t>
                            </m:r>
                          </m:e>
                          <m:sub>
                            <m:r>
                              <m:t>a</m:t>
                            </m:r>
                            <m:r>
                              <m:t>m</m:t>
                            </m:r>
                            <m:r>
                              <m:t>t</m:t>
                            </m:r>
                          </m:sub>
                        </m:sSub>
                      </m:den>
                    </m:f>
                  </m:e>
                </m:d>
                <m:r>
                  <m:t>⋅</m:t>
                </m:r>
                <m:r>
                  <m:t>d</m:t>
                </m:r>
                <m:r>
                  <m:t>o</m:t>
                </m:r>
                <m:r>
                  <m:t>s</m:t>
                </m:r>
                <m:r>
                  <m:t>e</m:t>
                </m:r>
                <m:sSub>
                  <m:e>
                    <m:r>
                      <m:t>s</m:t>
                    </m:r>
                  </m:e>
                  <m:sub>
                    <m:r>
                      <m:t>n</m:t>
                    </m:r>
                    <m:r>
                      <m:t>u</m:t>
                    </m:r>
                    <m:r>
                      <m:t>m</m:t>
                    </m:r>
                  </m:sub>
                </m:sSub>
                <m:r>
                  <m:t>⋅</m:t>
                </m:r>
                <m:r>
                  <m:t>W</m:t>
                </m:r>
                <m:r>
                  <m:t>A</m:t>
                </m:r>
                <m:r>
                  <m:t>C</m:t>
                </m:r>
                <m:r>
                  <m:t>,</m:t>
                </m:r>
              </m:e>
            </m:mr>
          </m:m>
        </m:oMath>
      </m:oMathPara>
    </w:p>
    <w:p>
      <w:pPr>
        <w:pStyle w:val="FirstParagraph"/>
      </w:pPr>
      <w:r>
        <w:t xml:space="preserve">where</w:t>
      </w:r>
      <w:r>
        <w:t xml:space="preserve"> </w:t>
      </w:r>
      <m:oMath>
        <m:r>
          <m:t>⌈</m:t>
        </m:r>
        <m:r>
          <m:t>⋅</m:t>
        </m:r>
        <m:r>
          <m:t>⌉</m:t>
        </m:r>
      </m:oMath>
      <w:r>
        <w:t xml:space="preserve"> </w:t>
      </w:r>
      <w:r>
        <w:t xml:space="preserve">is the ceiling function and implies that products cannot be reused after opening,</w:t>
      </w:r>
      <w:r>
        <w:t xml:space="preserve"> </w:t>
      </w:r>
      <m:oMath>
        <m:r>
          <m:t>d</m:t>
        </m:r>
        <m:r>
          <m:t>o</m:t>
        </m:r>
        <m:r>
          <m:t>s</m:t>
        </m:r>
        <m:sSub>
          <m:e>
            <m:r>
              <m:t>e</m:t>
            </m:r>
          </m:e>
          <m:sub>
            <m:r>
              <m:t>a</m:t>
            </m:r>
            <m:r>
              <m:t>m</m:t>
            </m:r>
            <m:r>
              <m:t>t</m:t>
            </m:r>
          </m:sub>
        </m:sSub>
      </m:oMath>
      <w:r>
        <w:t xml:space="preserve"> </w:t>
      </w:r>
      <w:r>
        <w:t xml:space="preserve">is the recommended dose of the drug,</w:t>
      </w:r>
      <w:r>
        <w:t xml:space="preserve"> </w:t>
      </w:r>
      <m:oMath>
        <m:r>
          <m:t>s</m:t>
        </m:r>
        <m:r>
          <m:t>t</m:t>
        </m:r>
        <m:r>
          <m:t>r</m:t>
        </m:r>
        <m:r>
          <m:t>e</m:t>
        </m:r>
        <m:r>
          <m:t>n</m:t>
        </m:r>
        <m:r>
          <m:t>g</m:t>
        </m:r>
        <m:r>
          <m:t>t</m:t>
        </m:r>
        <m:sSub>
          <m:e>
            <m:r>
              <m:t>h</m:t>
            </m:r>
          </m:e>
          <m:sub>
            <m:r>
              <m:t>a</m:t>
            </m:r>
            <m:r>
              <m:t>m</m:t>
            </m:r>
            <m:r>
              <m:t>t</m:t>
            </m:r>
          </m:sub>
        </m:sSub>
      </m:oMath>
      <w:r>
        <w:t xml:space="preserve"> </w:t>
      </w:r>
      <w:r>
        <w:t xml:space="preserve">is the strength of the drug,</w:t>
      </w:r>
      <w:r>
        <w:t xml:space="preserve"> </w:t>
      </w:r>
      <m:oMath>
        <m:r>
          <m:t>d</m:t>
        </m:r>
        <m:r>
          <m:t>o</m:t>
        </m:r>
        <m:r>
          <m:t>s</m:t>
        </m:r>
        <m:r>
          <m:t>e</m:t>
        </m:r>
        <m:sSub>
          <m:e>
            <m:r>
              <m:t>s</m:t>
            </m:r>
          </m:e>
          <m:sub>
            <m:r>
              <m:t>n</m:t>
            </m:r>
            <m:r>
              <m:t>u</m:t>
            </m:r>
            <m:r>
              <m:t>m</m:t>
            </m:r>
          </m:sub>
        </m:sSub>
      </m:oMath>
      <w:r>
        <w:t xml:space="preserve"> </w:t>
      </w:r>
      <w:r>
        <w:t xml:space="preserve">is the number of doses in a 6 month period, and</w:t>
      </w:r>
      <w:r>
        <w:t xml:space="preserve"> </w:t>
      </w:r>
      <m:oMath>
        <m:r>
          <m:t>W</m:t>
        </m:r>
        <m:r>
          <m:t>A</m:t>
        </m:r>
        <m:r>
          <m:t>C</m:t>
        </m:r>
      </m:oMath>
      <w:r>
        <w:t xml:space="preserve"> </w:t>
      </w:r>
      <w:r>
        <w:t xml:space="preserve">is the WAC. For example, as shown in , both the strength and the dose of adalimumab are 50 mg, so costs for the initial 6 month period are calculated by multiplying the number of doses (13) by the WAC ($).</w:t>
      </w:r>
    </w:p>
    <w:p>
      <w:pPr>
        <w:pStyle w:val="BodyText"/>
      </w:pPr>
      <w:r>
        <w:t xml:space="preserve">When dosing depends on weight, costs are calculated separately for each patient in the simulation. In particular, costs are calculated as,</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s</m:t>
                </m:r>
                <m:r>
                  <m:t>t</m:t>
                </m:r>
              </m:e>
              <m:e>
                <m:r>
                  <m:t>=</m:t>
                </m:r>
                <m:r>
                  <m:t>⌈</m:t>
                </m:r>
                <m:r>
                  <m:t>w</m:t>
                </m:r>
                <m:r>
                  <m:t>e</m:t>
                </m:r>
                <m:r>
                  <m:t>i</m:t>
                </m:r>
                <m:r>
                  <m:t>g</m:t>
                </m:r>
                <m:r>
                  <m:t>h</m:t>
                </m:r>
                <m:r>
                  <m:t>t</m:t>
                </m:r>
                <m:r>
                  <m:t>⋅</m:t>
                </m:r>
                <m:r>
                  <m:t>d</m:t>
                </m:r>
                <m:r>
                  <m:t>o</m:t>
                </m:r>
                <m:r>
                  <m:t>s</m:t>
                </m:r>
                <m:sSub>
                  <m:e>
                    <m:r>
                      <m:t>e</m:t>
                    </m:r>
                  </m:e>
                  <m:sub>
                    <m:r>
                      <m:t>a</m:t>
                    </m:r>
                    <m:r>
                      <m:t>m</m:t>
                    </m:r>
                    <m:r>
                      <m:t>t</m:t>
                    </m:r>
                  </m:sub>
                </m:sSub>
                <m:r>
                  <m:t>/</m:t>
                </m:r>
                <m:r>
                  <m:t>s</m:t>
                </m:r>
                <m:r>
                  <m:t>t</m:t>
                </m:r>
                <m:r>
                  <m:t>r</m:t>
                </m:r>
                <m:r>
                  <m:t>e</m:t>
                </m:r>
                <m:r>
                  <m:t>n</m:t>
                </m:r>
                <m:r>
                  <m:t>g</m:t>
                </m:r>
                <m:r>
                  <m:t>t</m:t>
                </m:r>
                <m:sSub>
                  <m:e>
                    <m:r>
                      <m:t>h</m:t>
                    </m:r>
                  </m:e>
                  <m:sub>
                    <m:r>
                      <m:t>a</m:t>
                    </m:r>
                    <m:r>
                      <m:t>m</m:t>
                    </m:r>
                    <m:r>
                      <m:t>t</m:t>
                    </m:r>
                  </m:sub>
                </m:sSub>
                <m:r>
                  <m:t>⌉</m:t>
                </m:r>
                <m:r>
                  <m:t>⋅</m:t>
                </m:r>
                <m:r>
                  <m:t>d</m:t>
                </m:r>
                <m:r>
                  <m:t>o</m:t>
                </m:r>
                <m:r>
                  <m:t>s</m:t>
                </m:r>
                <m:r>
                  <m:t>e</m:t>
                </m:r>
                <m:sSub>
                  <m:e>
                    <m:r>
                      <m:t>s</m:t>
                    </m:r>
                  </m:e>
                  <m:sub>
                    <m:r>
                      <m:t>n</m:t>
                    </m:r>
                    <m:r>
                      <m:t>u</m:t>
                    </m:r>
                    <m:r>
                      <m:t>m</m:t>
                    </m:r>
                  </m:sub>
                </m:sSub>
                <m:r>
                  <m:t>⋅</m:t>
                </m:r>
                <m:r>
                  <m:t>W</m:t>
                </m:r>
                <m:r>
                  <m:t>A</m:t>
                </m:r>
                <m:r>
                  <m:t>C</m:t>
                </m:r>
                <m:r>
                  <m:t>,</m:t>
                </m:r>
              </m:e>
            </m:mr>
          </m:m>
        </m:oMath>
      </m:oMathPara>
    </w:p>
    <w:p>
      <w:pPr>
        <w:pStyle w:val="FirstParagraph"/>
      </w:pPr>
      <w:r>
        <w:t xml:space="preserve">where</w:t>
      </w:r>
      <w:r>
        <w:t xml:space="preserve"> </w:t>
      </w:r>
      <m:oMath>
        <m:r>
          <m:t>w</m:t>
        </m:r>
        <m:r>
          <m:t>e</m:t>
        </m:r>
        <m:r>
          <m:t>i</m:t>
        </m:r>
        <m:r>
          <m:t>g</m:t>
        </m:r>
        <m:r>
          <m:t>h</m:t>
        </m:r>
        <m:r>
          <m:t>t</m:t>
        </m:r>
      </m:oMath>
      <w:r>
        <w:t xml:space="preserve"> </w:t>
      </w:r>
      <w:r>
        <w:t xml:space="preserve">is patient weight,</w:t>
      </w:r>
      <w:r>
        <w:t xml:space="preserve"> </w:t>
      </w:r>
      <m:oMath>
        <m:r>
          <m:t>d</m:t>
        </m:r>
        <m:r>
          <m:t>o</m:t>
        </m:r>
        <m:r>
          <m:t>s</m:t>
        </m:r>
        <m:sSub>
          <m:e>
            <m:r>
              <m:t>e</m:t>
            </m:r>
          </m:e>
          <m:sub>
            <m:r>
              <m:t>a</m:t>
            </m:r>
            <m:r>
              <m:t>m</m:t>
            </m:r>
            <m:r>
              <m:t>t</m:t>
            </m:r>
          </m:sub>
        </m:sSub>
      </m:oMath>
      <w:r>
        <w:t xml:space="preserve"> </w:t>
      </w:r>
      <w:r>
        <w:t xml:space="preserve">is the dose per weight, and</w:t>
      </w:r>
      <w:r>
        <w:t xml:space="preserve"> </w:t>
      </w:r>
      <m:oMath>
        <m:r>
          <m:t>s</m:t>
        </m:r>
        <m:r>
          <m:t>t</m:t>
        </m:r>
        <m:r>
          <m:t>r</m:t>
        </m:r>
        <m:r>
          <m:t>e</m:t>
        </m:r>
        <m:r>
          <m:t>n</m:t>
        </m:r>
        <m:r>
          <m:t>g</m:t>
        </m:r>
        <m:r>
          <m:t>t</m:t>
        </m:r>
        <m:sSub>
          <m:e>
            <m:r>
              <m:t>h</m:t>
            </m:r>
          </m:e>
          <m:sub>
            <m:r>
              <m:t>a</m:t>
            </m:r>
            <m:r>
              <m:t>m</m:t>
            </m:r>
            <m:r>
              <m:t>t</m:t>
            </m:r>
          </m:sub>
        </m:sSub>
      </m:oMath>
      <w:r>
        <w:t xml:space="preserve">,</w:t>
      </w:r>
      <w:r>
        <w:t xml:space="preserve"> </w:t>
      </w:r>
      <m:oMath>
        <m:r>
          <m:t>W</m:t>
        </m:r>
        <m:r>
          <m:t>A</m:t>
        </m:r>
        <m:r>
          <m:t>C</m:t>
        </m:r>
      </m:oMath>
      <w:r>
        <w:t xml:space="preserve">, and</w:t>
      </w:r>
      <w:r>
        <w:t xml:space="preserve"> </w:t>
      </w:r>
      <m:oMath>
        <m:r>
          <m:t>d</m:t>
        </m:r>
        <m:r>
          <m:t>o</m:t>
        </m:r>
        <m:r>
          <m:t>s</m:t>
        </m:r>
        <m:r>
          <m:t>e</m:t>
        </m:r>
        <m:sSub>
          <m:e>
            <m:r>
              <m:t>s</m:t>
            </m:r>
          </m:e>
          <m:sub>
            <m:r>
              <m:t>n</m:t>
            </m:r>
            <m:r>
              <m:t>u</m:t>
            </m:r>
            <m:r>
              <m:t>m</m:t>
            </m:r>
          </m:sub>
        </m:sSub>
      </m:oMath>
      <w:r>
        <w:t xml:space="preserve"> </w:t>
      </w:r>
      <w:r>
        <w:t xml:space="preserve">are defined in the same way as in the non-weight based scenario. To illustrate, the acquisition cost for infliximab after the first 6 months is calculated by multiplying each patient’s weight by the dose (6 mg/kg) and dividing by the size of a vial (100 mg), and then multiplying by the number of doses (8.67) and the WAC ($).</w:t>
      </w:r>
    </w:p>
    <w:p>
      <w:pPr>
        <w:pStyle w:val="Heading1"/>
      </w:pPr>
      <w:bookmarkStart w:id="98" w:name="appendix:NMA"/>
      <w:bookmarkEnd w:id="98"/>
      <w:r>
        <w:t xml:space="preserve">Network Meta-Analysis</w:t>
      </w:r>
    </w:p>
    <w:p>
      <w:pPr>
        <w:pStyle w:val="Heading2"/>
      </w:pPr>
      <w:bookmarkStart w:id="99" w:name="systematic-literature-review"/>
      <w:bookmarkEnd w:id="99"/>
      <w:r>
        <w:t xml:space="preserve">Systematic literature review</w:t>
      </w:r>
    </w:p>
    <w:p>
      <w:pPr>
        <w:pStyle w:val="FirstParagraph"/>
      </w:pPr>
      <w:r>
        <w:rPr>
          <w:b/>
        </w:rPr>
        <w:t xml:space="preserve">Population</w:t>
      </w:r>
    </w:p>
    <w:p>
      <w:pPr>
        <w:numPr>
          <w:numId w:val="1022"/>
          <w:ilvl w:val="0"/>
        </w:numPr>
      </w:pPr>
      <w:r>
        <w:t xml:space="preserve">Adult (&gt;18 years) patients with moderate to severe RA who have had inadequate response to cDMARDs</w:t>
      </w:r>
    </w:p>
    <w:p>
      <w:pPr>
        <w:pStyle w:val="FirstParagraph"/>
      </w:pPr>
      <w:r>
        <w:rPr>
          <w:b/>
        </w:rPr>
        <w:t xml:space="preserve">Interventions and comparators</w:t>
      </w:r>
    </w:p>
    <w:p>
      <w:pPr>
        <w:numPr>
          <w:numId w:val="1023"/>
          <w:ilvl w:val="0"/>
        </w:numPr>
      </w:pPr>
      <w:r>
        <w:t xml:space="preserve">Biologics as monotherapy or in combination with cDMARDs (adalimumab, certolizumab pegol, etanercept, golimumab, infliximab, abatacept, rituximab, tocilizumab, sarilumab, tofacitinib)</w:t>
      </w:r>
    </w:p>
    <w:p>
      <w:pPr>
        <w:numPr>
          <w:numId w:val="1023"/>
          <w:ilvl w:val="0"/>
        </w:numPr>
      </w:pPr>
      <w:r>
        <w:t xml:space="preserve">cDMARDs alone or in combination (MTX, HCQ, SSZ or LEF)</w:t>
      </w:r>
    </w:p>
    <w:p>
      <w:pPr>
        <w:pStyle w:val="FirstParagraph"/>
      </w:pPr>
      <w:r>
        <w:rPr>
          <w:b/>
        </w:rPr>
        <w:t xml:space="preserve">Outcomes</w:t>
      </w:r>
    </w:p>
    <w:p>
      <w:pPr>
        <w:numPr>
          <w:numId w:val="1024"/>
          <w:ilvl w:val="0"/>
        </w:numPr>
      </w:pPr>
      <w:r>
        <w:t xml:space="preserve">ACR20/ACR50/ACR70</w:t>
      </w:r>
    </w:p>
    <w:p>
      <w:pPr>
        <w:numPr>
          <w:numId w:val="1024"/>
          <w:ilvl w:val="0"/>
        </w:numPr>
      </w:pPr>
      <w:r>
        <w:t xml:space="preserve">DAS28</w:t>
      </w:r>
    </w:p>
    <w:p>
      <w:pPr>
        <w:numPr>
          <w:numId w:val="1024"/>
          <w:ilvl w:val="0"/>
        </w:numPr>
      </w:pPr>
      <w:r>
        <w:t xml:space="preserve">HAQ-DI score</w:t>
      </w:r>
    </w:p>
    <w:p>
      <w:pPr>
        <w:pStyle w:val="FirstParagraph"/>
      </w:pPr>
      <w:r>
        <w:rPr>
          <w:b/>
        </w:rPr>
        <w:t xml:space="preserve">Study design</w:t>
      </w:r>
    </w:p>
    <w:p>
      <w:pPr>
        <w:numPr>
          <w:numId w:val="1025"/>
          <w:ilvl w:val="0"/>
        </w:numPr>
      </w:pPr>
      <w:r>
        <w:t xml:space="preserve">Randomized controlled trials</w:t>
      </w:r>
    </w:p>
    <w:p>
      <w:pPr>
        <w:pStyle w:val="FirstParagraph"/>
      </w:pPr>
      <w:r>
        <w:rPr>
          <w:b/>
        </w:rPr>
        <w:t xml:space="preserve">Other</w:t>
      </w:r>
    </w:p>
    <w:p>
      <w:pPr>
        <w:numPr>
          <w:numId w:val="1026"/>
          <w:ilvl w:val="0"/>
        </w:numPr>
      </w:pPr>
      <w:r>
        <w:t xml:space="preserve">Studies published in English</w:t>
      </w:r>
    </w:p>
    <w:p>
      <w:pPr>
        <w:numPr>
          <w:numId w:val="1026"/>
          <w:ilvl w:val="0"/>
        </w:numPr>
      </w:pPr>
      <w:r>
        <w:t xml:space="preserve">Primary study available as full text published manuscript only; no study available as a conference abstract only was included.</w:t>
      </w:r>
    </w:p>
    <w:p>
      <w:pPr>
        <w:pStyle w:val="Heading2"/>
      </w:pPr>
      <w:bookmarkStart w:id="100" w:name="criteria-for-studies-to-be-selected-from-the-systematic-literature-review-and-included-in-the-nma"/>
      <w:bookmarkEnd w:id="100"/>
      <w:r>
        <w:t xml:space="preserve">Criteria for studies to be selected from the systematic literature review and included in the NMA</w:t>
      </w:r>
    </w:p>
    <w:p>
      <w:pPr>
        <w:pStyle w:val="FirstParagraph"/>
      </w:pPr>
      <w:r>
        <w:t xml:space="preserve">The following criteria were used to select relevant studies to be included in the NMA:</w:t>
      </w:r>
    </w:p>
    <w:p>
      <w:pPr>
        <w:pStyle w:val="BodyText"/>
      </w:pPr>
      <w:r>
        <w:rPr>
          <w:b/>
        </w:rPr>
        <w:t xml:space="preserve">Population</w:t>
      </w:r>
    </w:p>
    <w:p>
      <w:pPr>
        <w:numPr>
          <w:numId w:val="1027"/>
          <w:ilvl w:val="0"/>
        </w:numPr>
      </w:pPr>
      <w:r>
        <w:t xml:space="preserve">Adult (&gt;18 years) patients with moderate to severe RA who have had inadequate response to cDMARDs and are bDMARD-naive</w:t>
      </w:r>
    </w:p>
    <w:p>
      <w:pPr>
        <w:pStyle w:val="FirstParagraph"/>
      </w:pPr>
      <w:r>
        <w:rPr>
          <w:b/>
        </w:rPr>
        <w:t xml:space="preserve">Interventions</w:t>
      </w:r>
    </w:p>
    <w:p>
      <w:pPr>
        <w:numPr>
          <w:numId w:val="1028"/>
          <w:ilvl w:val="0"/>
        </w:numPr>
      </w:pPr>
      <w:r>
        <w:t xml:space="preserve">Biologics as monotherapy or in combination with cDMARDs (adalimumab, certolizumab pegol, etanercept, golimumab, infliximab, abatacept, rituximab, tocilizumab, sarilumab, tofacitinib)</w:t>
      </w:r>
    </w:p>
    <w:p>
      <w:pPr>
        <w:pStyle w:val="FirstParagraph"/>
      </w:pPr>
      <w:r>
        <w:rPr>
          <w:b/>
        </w:rPr>
        <w:t xml:space="preserve">Comparators</w:t>
      </w:r>
    </w:p>
    <w:p>
      <w:pPr>
        <w:numPr>
          <w:numId w:val="1029"/>
          <w:ilvl w:val="0"/>
        </w:numPr>
      </w:pPr>
      <w:r>
        <w:t xml:space="preserve">cDMARDs</w:t>
      </w:r>
    </w:p>
    <w:p>
      <w:pPr>
        <w:numPr>
          <w:numId w:val="1029"/>
          <w:ilvl w:val="0"/>
        </w:numPr>
      </w:pPr>
      <w:r>
        <w:t xml:space="preserve">Any active comparator that allows for an indirect comparison between the bDMARDs of interest</w:t>
      </w:r>
    </w:p>
    <w:p>
      <w:pPr>
        <w:pStyle w:val="FirstParagraph"/>
      </w:pPr>
      <w:r>
        <w:rPr>
          <w:b/>
        </w:rPr>
        <w:t xml:space="preserve">Outcomes</w:t>
      </w:r>
    </w:p>
    <w:p>
      <w:pPr>
        <w:numPr>
          <w:numId w:val="1030"/>
          <w:ilvl w:val="0"/>
        </w:numPr>
      </w:pPr>
      <w:r>
        <w:t xml:space="preserve">ACR20/ACR50/ACR70 at 6 months follow-up</w:t>
      </w:r>
    </w:p>
    <w:p>
      <w:pPr>
        <w:numPr>
          <w:numId w:val="1030"/>
          <w:ilvl w:val="0"/>
        </w:numPr>
      </w:pPr>
      <w:r>
        <w:t xml:space="preserve">Change in DAS28 from baseline at 6 months follow-up</w:t>
      </w:r>
    </w:p>
    <w:p>
      <w:pPr>
        <w:numPr>
          <w:numId w:val="1030"/>
          <w:ilvl w:val="0"/>
        </w:numPr>
      </w:pPr>
      <w:r>
        <w:t xml:space="preserve">Change in HAQ-DI score from baseline at 6 months follow-up</w:t>
      </w:r>
    </w:p>
    <w:p>
      <w:pPr>
        <w:pStyle w:val="Heading2"/>
      </w:pPr>
      <w:bookmarkStart w:id="101" w:name="identified-evidence-base"/>
      <w:bookmarkEnd w:id="101"/>
      <w:r>
        <w:t xml:space="preserve">Identified evidence base</w:t>
      </w:r>
    </w:p>
    <w:p>
      <w:pPr>
        <w:pStyle w:val="FirstParagraph"/>
      </w:pPr>
      <w:r>
        <w:t xml:space="preserve">The evidence network and inclusion criteria to go here.</w:t>
      </w:r>
    </w:p>
    <w:p>
      <w:pPr>
        <w:pStyle w:val="Heading2"/>
      </w:pPr>
      <w:bookmarkStart w:id="102" w:name="app:nma-statistical-models"/>
      <w:bookmarkEnd w:id="102"/>
      <w:r>
        <w:t xml:space="preserve">Statistical models for network-meta analysis</w:t>
      </w:r>
    </w:p>
    <w:p>
      <w:pPr>
        <w:pStyle w:val="Heading3"/>
      </w:pPr>
      <w:bookmarkStart w:id="103" w:name="acr-response"/>
      <w:bookmarkEnd w:id="103"/>
      <w:r>
        <w:t xml:space="preserve">ACR response</w:t>
      </w:r>
    </w:p>
    <w:p>
      <w:pPr>
        <w:pStyle w:val="FirstParagraph"/>
      </w:pPr>
      <w:r>
        <w:t xml:space="preserve">ACR response, 6 month change in HAQ from baseline, and 6 month change in DAS28 from baseline were estimated using a Bayesian (random effects) network meta-analysis approach. The four mutually exclusive ACR response categories were estimated using a ordered probit model appropriate for ordered categorical data</w:t>
      </w:r>
      <w:r>
        <w:t xml:space="preserve"> </w:t>
      </w:r>
      <w:r>
        <w:t xml:space="preserve">(Dias et al. 2013)</w:t>
      </w:r>
      <w:r>
        <w:t xml:space="preserve">. The model assumes that there is an underlying continuous variable (ACR20/50/70) categorized by specifying different cutoffs corresponding to the point at which an individual moves from one category to the next in each trial. The advantage of this approach over an analysis that considers ACR categories separately is that all possible outcomes are analyzed simultaneously based on the same randomized controlled trials, allowing for consistent estimates by category.</w:t>
      </w:r>
    </w:p>
    <w:p>
      <w:pPr>
        <w:pStyle w:val="BodyText"/>
      </w:pPr>
      <w:r>
        <w:t xml:space="preserve">More specifically, let</w:t>
      </w:r>
      <w:r>
        <w:t xml:space="preserve"> </w:t>
      </w:r>
      <m:oMath>
        <m:sSub>
          <m:e>
            <m:r>
              <m:t>r</m:t>
            </m:r>
          </m:e>
          <m:sub>
            <m:r>
              <m:t>j</m:t>
            </m:r>
            <m:r>
              <m:t>k</m:t>
            </m:r>
            <m:r>
              <m:t>l</m:t>
            </m:r>
          </m:sub>
        </m:sSub>
      </m:oMath>
      <w:r>
        <w:t xml:space="preserve"> </w:t>
      </w:r>
      <w:r>
        <w:t xml:space="preserve">be the number of patients in trial</w:t>
      </w:r>
      <w:r>
        <w:t xml:space="preserve"> </w:t>
      </w:r>
      <m:oMath>
        <m:r>
          <m:t>j</m:t>
        </m:r>
      </m:oMath>
      <w:r>
        <w:t xml:space="preserve"> </w:t>
      </w:r>
      <w:r>
        <w:t xml:space="preserve">for treatment</w:t>
      </w:r>
      <w:r>
        <w:t xml:space="preserve"> </w:t>
      </w:r>
      <m:oMath>
        <m:r>
          <m:t>k</m:t>
        </m:r>
      </m:oMath>
      <w:r>
        <w:t xml:space="preserve"> </w:t>
      </w:r>
      <w:r>
        <w:t xml:space="preserve">in the mutually exclusive category</w:t>
      </w:r>
      <w:r>
        <w:t xml:space="preserve"> </w:t>
      </w:r>
      <m:oMath>
        <m:r>
          <m:t>l</m:t>
        </m:r>
        <m:r>
          <m:t>=</m:t>
        </m:r>
        <m:r>
          <m:t>1</m:t>
        </m:r>
        <m:r>
          <m:t>,</m:t>
        </m:r>
        <m:r>
          <m:t>2</m:t>
        </m:r>
        <m:r>
          <m:t>,</m:t>
        </m:r>
        <m:r>
          <m:t>3</m:t>
        </m:r>
        <m:r>
          <m:t>,</m:t>
        </m:r>
        <m:r>
          <m:t>4</m:t>
        </m:r>
      </m:oMath>
      <w:r>
        <w:t xml:space="preserve">. The model can be written as,</w:t>
      </w:r>
    </w:p>
    <w:p>
      <w:pPr>
        <w:pStyle w:val="BodyText"/>
      </w:pPr>
      <m:oMathPara>
        <m:oMathParaPr>
          <m:jc m:val="center"/>
        </m:oMathParaPr>
        <m:oMath>
          <m:m>
            <m:mPr>
              <m:baseJc m:val="center"/>
              <m:plcHide m:val="1"/>
              <m:mcs>
                <m:mc>
                  <m:mcPr>
                    <m:mcJc m:val="right"/>
                    <m:count m:val="1"/>
                  </m:mcPr>
                </m:mc>
              </m:mcs>
            </m:mPr>
            <m:mr>
              <m:e>
                <m:sSub>
                  <m:e>
                    <m:r>
                      <m:t>r</m:t>
                    </m:r>
                  </m:e>
                  <m:sub>
                    <m:r>
                      <m:t>j</m:t>
                    </m:r>
                    <m:r>
                      <m:t>k</m:t>
                    </m:r>
                    <m:r>
                      <m:t>l</m:t>
                    </m:r>
                  </m:sub>
                </m:sSub>
                <m:r>
                  <m:t>∼</m:t>
                </m:r>
                <m:r>
                  <m:rPr>
                    <m:sty m:val="p"/>
                  </m:rPr>
                  <m:t>Multinomial</m:t>
                </m:r>
                <m:r>
                  <m:t>(</m:t>
                </m:r>
                <m:sSub>
                  <m:e>
                    <m:r>
                      <m:t>p</m:t>
                    </m:r>
                  </m:e>
                  <m:sub>
                    <m:r>
                      <m:t>j</m:t>
                    </m:r>
                    <m:r>
                      <m:t>k</m:t>
                    </m:r>
                    <m:r>
                      <m:t>1</m:t>
                    </m:r>
                  </m:sub>
                </m:sSub>
                <m:r>
                  <m:t>,</m:t>
                </m:r>
                <m:sSub>
                  <m:e>
                    <m:r>
                      <m:t>p</m:t>
                    </m:r>
                  </m:e>
                  <m:sub>
                    <m:r>
                      <m:t>j</m:t>
                    </m:r>
                    <m:r>
                      <m:t>k</m:t>
                    </m:r>
                    <m:r>
                      <m:t>2</m:t>
                    </m:r>
                  </m:sub>
                </m:sSub>
                <m:r>
                  <m:t>,</m:t>
                </m:r>
                <m:sSub>
                  <m:e>
                    <m:r>
                      <m:t>p</m:t>
                    </m:r>
                  </m:e>
                  <m:sub>
                    <m:r>
                      <m:t>j</m:t>
                    </m:r>
                    <m:r>
                      <m:t>k</m:t>
                    </m:r>
                    <m:r>
                      <m:t>3</m:t>
                    </m:r>
                  </m:sub>
                </m:sSub>
                <m:r>
                  <m:t>,</m:t>
                </m:r>
                <m:sSub>
                  <m:e>
                    <m:r>
                      <m:t>p</m:t>
                    </m:r>
                  </m:e>
                  <m:sub>
                    <m:r>
                      <m:t>j</m:t>
                    </m:r>
                    <m:r>
                      <m:t>k</m:t>
                    </m:r>
                    <m:r>
                      <m:t>4</m:t>
                    </m:r>
                  </m:sub>
                </m:sSub>
                <m:r>
                  <m:t>,</m:t>
                </m:r>
                <m:sSub>
                  <m:e>
                    <m:r>
                      <m:t>n</m:t>
                    </m:r>
                  </m:e>
                  <m:sub>
                    <m:r>
                      <m:t>j</m:t>
                    </m:r>
                    <m:r>
                      <m:t>k</m:t>
                    </m:r>
                  </m:sub>
                </m:sSub>
                <m:r>
                  <m:t>)</m:t>
                </m:r>
                <m:r>
                  <m:t>,</m:t>
                </m:r>
              </m:e>
            </m:mr>
          </m:m>
        </m:oMath>
      </m:oMathPara>
    </w:p>
    <w:p>
      <w:pPr>
        <w:pStyle w:val="FirstParagraph"/>
      </w:pPr>
      <w:r>
        <w:t xml:space="preserve">where</w:t>
      </w:r>
      <w:r>
        <w:t xml:space="preserve"> </w:t>
      </w:r>
      <m:oMath>
        <m:sSub>
          <m:e>
            <m:r>
              <m:t>p</m:t>
            </m:r>
          </m:e>
          <m:sub>
            <m:r>
              <m:t>j</m:t>
            </m:r>
            <m:r>
              <m:t>k</m:t>
            </m:r>
            <m:r>
              <m:t>l</m:t>
            </m:r>
          </m:sub>
        </m:sSub>
      </m:oMath>
      <w:r>
        <w:t xml:space="preserve"> </w:t>
      </w:r>
      <w:r>
        <w:t xml:space="preserve">is the probability that a patient from trial</w:t>
      </w:r>
      <w:r>
        <w:t xml:space="preserve"> </w:t>
      </w:r>
      <m:oMath>
        <m:r>
          <m:t>j</m:t>
        </m:r>
      </m:oMath>
      <w:r>
        <w:t xml:space="preserve"> </w:t>
      </w:r>
      <w:r>
        <w:t xml:space="preserve">and treatment</w:t>
      </w:r>
      <w:r>
        <w:t xml:space="preserve"> </w:t>
      </w:r>
      <m:oMath>
        <m:r>
          <m:t>k</m:t>
        </m:r>
      </m:oMath>
      <w:r>
        <w:t xml:space="preserve"> </w:t>
      </w:r>
      <w:r>
        <w:t xml:space="preserve">is in category</w:t>
      </w:r>
      <w:r>
        <w:t xml:space="preserve"> </w:t>
      </w:r>
      <m:oMath>
        <m:r>
          <m:t>l</m:t>
        </m:r>
      </m:oMath>
      <w:r>
        <w:t xml:space="preserve"> </w:t>
      </w:r>
      <w:r>
        <w:t xml:space="preserve">and there are</w:t>
      </w:r>
      <w:r>
        <w:t xml:space="preserve"> </w:t>
      </w:r>
      <m:oMath>
        <m:sSub>
          <m:e>
            <m:r>
              <m:t>n</m:t>
            </m:r>
          </m:e>
          <m:sub>
            <m:r>
              <m:t>j</m:t>
            </m:r>
            <m:r>
              <m:t>k</m:t>
            </m:r>
          </m:sub>
        </m:sSub>
      </m:oMath>
      <w:r>
        <w:t xml:space="preserve"> </w:t>
      </w:r>
      <w:r>
        <w:t xml:space="preserve">patients in trial</w:t>
      </w:r>
      <w:r>
        <w:t xml:space="preserve"> </w:t>
      </w:r>
      <m:oMath>
        <m:r>
          <m:t>j</m:t>
        </m:r>
      </m:oMath>
      <w:r>
        <w:t xml:space="preserve"> </w:t>
      </w:r>
      <w:r>
        <w:t xml:space="preserve">and treatment</w:t>
      </w:r>
      <w:r>
        <w:t xml:space="preserve"> </w:t>
      </w:r>
      <m:oMath>
        <m:r>
          <m:t>k</m:t>
        </m:r>
      </m:oMath>
      <w:r>
        <w:t xml:space="preserve">. Probabilities are modeled using a probit function,</w:t>
      </w:r>
    </w:p>
    <w:p>
      <w:pPr>
        <w:pStyle w:val="BodyText"/>
      </w:pPr>
      <m:oMathPara>
        <m:oMathParaPr>
          <m:jc m:val="center"/>
        </m:oMathParaPr>
        <m:oMath>
          <m:m>
            <m:mPr>
              <m:baseJc m:val="center"/>
              <m:plcHide m:val="1"/>
              <m:mcs>
                <m:mc>
                  <m:mcPr>
                    <m:mcJc m:val="right"/>
                    <m:count m:val="1"/>
                  </m:mcPr>
                </m:mc>
              </m:mcs>
            </m:mPr>
            <m:mr>
              <m:e>
                <m:sSup>
                  <m:e>
                    <m:r>
                      <m:t>Φ</m:t>
                    </m:r>
                  </m:e>
                  <m:sup>
                    <m:r>
                      <m:t>−</m:t>
                    </m:r>
                    <m:r>
                      <m:t>1</m:t>
                    </m:r>
                  </m:sup>
                </m:sSup>
                <m:r>
                  <m:t>(</m:t>
                </m:r>
                <m:sSub>
                  <m:e>
                    <m:r>
                      <m:t>p</m:t>
                    </m:r>
                  </m:e>
                  <m:sub>
                    <m:r>
                      <m:t>j</m:t>
                    </m:r>
                    <m:r>
                      <m:t>k</m:t>
                    </m:r>
                    <m:r>
                      <m:t>l</m:t>
                    </m:r>
                  </m:sub>
                </m:sSub>
                <m:r>
                  <m:t>)</m:t>
                </m:r>
                <m:r>
                  <m:t>=</m:t>
                </m:r>
                <m:d>
                  <m:dPr>
                    <m:begChr m:val="{"/>
                    <m:endChr m:val=""/>
                    <m:grow/>
                  </m:dPr>
                  <m:e>
                    <m:m>
                      <m:mPr>
                        <m:baseJc m:val="center"/>
                        <m:plcHide m:val="1"/>
                        <m:mcs>
                          <m:mc>
                            <m:mcPr>
                              <m:mcJc m:val="left"/>
                              <m:count m:val="1"/>
                            </m:mcPr>
                          </m:mc>
                          <m:mc>
                            <m:mcPr>
                              <m:mcJc m:val="left"/>
                              <m:count m:val="1"/>
                            </m:mcPr>
                          </m:mc>
                        </m:mcs>
                      </m:mPr>
                      <m:mr>
                        <m:e>
                          <m:sSub>
                            <m:e>
                              <m:r>
                                <m:t>u</m:t>
                              </m:r>
                            </m:e>
                            <m:sub>
                              <m:r>
                                <m:t>j</m:t>
                              </m:r>
                              <m:r>
                                <m:t>b</m:t>
                              </m:r>
                            </m:sub>
                          </m:sSub>
                          <m:r>
                            <m:t>+</m:t>
                          </m:r>
                          <m:sSub>
                            <m:e>
                              <m:r>
                                <m:t>z</m:t>
                              </m:r>
                            </m:e>
                            <m:sub>
                              <m:r>
                                <m:t>j</m:t>
                              </m:r>
                              <m:r>
                                <m:t>l</m:t>
                              </m:r>
                            </m:sub>
                          </m:sSub>
                        </m:e>
                        <m:e>
                          <m:r>
                            <m:t>b</m:t>
                          </m:r>
                          <m:r>
                            <m:t>=</m:t>
                          </m:r>
                          <m:r>
                            <m:t>A</m:t>
                          </m:r>
                          <m:r>
                            <m:t>,</m:t>
                          </m:r>
                          <m:r>
                            <m:t>B</m:t>
                          </m:r>
                          <m:r>
                            <m:t>,</m:t>
                          </m:r>
                          <m:r>
                            <m:t>C</m:t>
                          </m:r>
                          <m:r>
                            <m:t>,</m:t>
                          </m:r>
                          <m:r>
                            <m:t>…</m:t>
                          </m:r>
                          <m:r>
                            <m:rPr>
                              <m:sty m:val="p"/>
                            </m:rPr>
                            <m:t> if </m:t>
                          </m:r>
                          <m:r>
                            <m:t>k</m:t>
                          </m:r>
                          <m:r>
                            <m:t>=</m:t>
                          </m:r>
                          <m:r>
                            <m:t>b</m:t>
                          </m:r>
                        </m:e>
                      </m:mr>
                      <m:mr>
                        <m:e>
                          <m:sSub>
                            <m:e>
                              <m:r>
                                <m:t>u</m:t>
                              </m:r>
                            </m:e>
                            <m:sub>
                              <m:r>
                                <m:t>j</m:t>
                              </m:r>
                              <m:r>
                                <m:t>b</m:t>
                              </m:r>
                            </m:sub>
                          </m:sSub>
                          <m:r>
                            <m:t>+</m:t>
                          </m:r>
                          <m:sSub>
                            <m:e>
                              <m:r>
                                <m:t>z</m:t>
                              </m:r>
                            </m:e>
                            <m:sub>
                              <m:r>
                                <m:t>j</m:t>
                              </m:r>
                              <m:r>
                                <m:t>l</m:t>
                              </m:r>
                            </m:sub>
                          </m:sSub>
                          <m:r>
                            <m:t>+</m:t>
                          </m:r>
                          <m:sSub>
                            <m:e>
                              <m:r>
                                <m:t>δ</m:t>
                              </m:r>
                            </m:e>
                            <m:sub>
                              <m:r>
                                <m:t>j</m:t>
                              </m:r>
                              <m:r>
                                <m:t>k</m:t>
                              </m:r>
                              <m:r>
                                <m:t>b</m:t>
                              </m:r>
                            </m:sub>
                          </m:sSub>
                        </m:e>
                        <m:e>
                          <m:r>
                            <m:rPr>
                              <m:sty m:val="p"/>
                            </m:rPr>
                            <m:t>if </m:t>
                          </m:r>
                          <m:r>
                            <m:t>k</m:t>
                          </m:r>
                          <m:r>
                            <m:rPr>
                              <m:sty m:val="p"/>
                            </m:rPr>
                            <m:t> alphabetically after </m:t>
                          </m:r>
                          <m:r>
                            <m:t>b</m:t>
                          </m:r>
                          <m:r>
                            <m:t>,</m:t>
                          </m:r>
                        </m:e>
                      </m:mr>
                    </m:m>
                  </m:e>
                </m:d>
              </m:e>
            </m:mr>
          </m:m>
        </m:oMath>
      </m:oMathPara>
    </w:p>
    <w:p>
      <w:pPr>
        <w:pStyle w:val="FirstParagraph"/>
      </w:pPr>
      <w:r>
        <w:t xml:space="preserve">where</w:t>
      </w:r>
      <w:r>
        <w:t xml:space="preserve"> </w:t>
      </w:r>
      <m:oMath>
        <m:sSub>
          <m:e>
            <m:r>
              <m:t>u</m:t>
            </m:r>
          </m:e>
          <m:sub>
            <m:r>
              <m:t>j</m:t>
            </m:r>
          </m:sub>
        </m:sSub>
      </m:oMath>
      <w:r>
        <w:t xml:space="preserve"> </w:t>
      </w:r>
      <w:r>
        <w:t xml:space="preserve">is a trial specific intercept,</w:t>
      </w:r>
      <w:r>
        <w:t xml:space="preserve"> </w:t>
      </w:r>
      <m:oMath>
        <m:sSub>
          <m:e>
            <m:r>
              <m:t>z</m:t>
            </m:r>
          </m:e>
          <m:sub>
            <m:r>
              <m:t>j</m:t>
            </m:r>
            <m:r>
              <m:t>l</m:t>
            </m:r>
          </m:sub>
        </m:sSub>
      </m:oMath>
      <w:r>
        <w:t xml:space="preserve"> </w:t>
      </w:r>
      <w:r>
        <w:t xml:space="preserve">is a cutpoint for trial</w:t>
      </w:r>
      <w:r>
        <w:t xml:space="preserve"> </w:t>
      </w:r>
      <m:oMath>
        <m:r>
          <m:t>j</m:t>
        </m:r>
      </m:oMath>
      <w:r>
        <w:t xml:space="preserve"> </w:t>
      </w:r>
      <w:r>
        <w:t xml:space="preserve">and category</w:t>
      </w:r>
      <w:r>
        <w:t xml:space="preserve"> </w:t>
      </w:r>
      <m:oMath>
        <m:r>
          <m:t>l</m:t>
        </m:r>
      </m:oMath>
      <w:r>
        <w:t xml:space="preserve">, and</w:t>
      </w:r>
      <w:r>
        <w:t xml:space="preserve"> </w:t>
      </w:r>
      <m:oMath>
        <m:sSub>
          <m:e>
            <m:r>
              <m:t>δ</m:t>
            </m:r>
          </m:e>
          <m:sub>
            <m:r>
              <m:t>j</m:t>
            </m:r>
            <m:r>
              <m:t>k</m:t>
            </m:r>
            <m:r>
              <m:t>b</m:t>
            </m:r>
          </m:sub>
        </m:sSub>
      </m:oMath>
      <w:r>
        <w:t xml:space="preserve"> </w:t>
      </w:r>
      <w:r>
        <w:t xml:space="preserve">is the effect of treatment</w:t>
      </w:r>
      <w:r>
        <w:t xml:space="preserve"> </w:t>
      </w:r>
      <m:oMath>
        <m:r>
          <m:t>k</m:t>
        </m:r>
      </m:oMath>
      <w:r>
        <w:t xml:space="preserve"> </w:t>
      </w:r>
      <w:r>
        <w:t xml:space="preserve">relative to treatment</w:t>
      </w:r>
      <w:r>
        <w:t xml:space="preserve"> </w:t>
      </w:r>
      <m:oMath>
        <m:r>
          <m:t>b</m:t>
        </m:r>
      </m:oMath>
      <w:r>
        <w:t xml:space="preserve">. The cutpoint for category</w:t>
      </w:r>
      <w:r>
        <w:t xml:space="preserve"> </w:t>
      </w:r>
      <m:oMath>
        <m:r>
          <m:t>c</m:t>
        </m:r>
      </m:oMath>
      <w:r>
        <w:t xml:space="preserve">,</w:t>
      </w:r>
      <w:r>
        <w:t xml:space="preserve"> </w:t>
      </w:r>
      <m:oMath>
        <m:sSub>
          <m:e>
            <m:r>
              <m:t>z</m:t>
            </m:r>
          </m:e>
          <m:sub>
            <m:r>
              <m:t>j</m:t>
            </m:r>
            <m:r>
              <m:t>c</m:t>
            </m:r>
          </m:sub>
        </m:sSub>
      </m:oMath>
      <w:r>
        <w:t xml:space="preserve">, is modeled as random,</w:t>
      </w:r>
    </w:p>
    <w:p>
      <w:pPr>
        <w:pStyle w:val="BodyText"/>
      </w:pPr>
      <m:oMathPara>
        <m:oMathParaPr>
          <m:jc m:val="center"/>
        </m:oMathParaPr>
        <m:oMath>
          <m:m>
            <m:mPr>
              <m:baseJc m:val="center"/>
              <m:plcHide m:val="1"/>
              <m:mcs>
                <m:mc>
                  <m:mcPr>
                    <m:mcJc m:val="right"/>
                    <m:count m:val="1"/>
                  </m:mcPr>
                </m:mc>
              </m:mcs>
            </m:mPr>
            <m:mr>
              <m:e>
                <m:sSub>
                  <m:e>
                    <m:r>
                      <m:t>z</m:t>
                    </m:r>
                  </m:e>
                  <m:sub>
                    <m:r>
                      <m:t>j</m:t>
                    </m:r>
                    <m:r>
                      <m:t>c</m:t>
                    </m:r>
                  </m:sub>
                </m:sSub>
                <m:r>
                  <m:t>∼</m:t>
                </m:r>
                <m:r>
                  <m:t>N</m:t>
                </m:r>
                <m:r>
                  <m:t>(</m:t>
                </m:r>
                <m:sSub>
                  <m:e>
                    <m:r>
                      <m:t>v</m:t>
                    </m:r>
                  </m:e>
                  <m:sub>
                    <m:r>
                      <m:t>c</m:t>
                    </m:r>
                  </m:sub>
                </m:sSub>
                <m:r>
                  <m:t>,</m:t>
                </m:r>
                <m:sSubSup>
                  <m:e>
                    <m:r>
                      <m:t>σ</m:t>
                    </m:r>
                  </m:e>
                  <m:sub>
                    <m:r>
                      <m:t>z</m:t>
                    </m:r>
                  </m:sub>
                  <m:sup>
                    <m:r>
                      <m:t>2</m:t>
                    </m:r>
                  </m:sup>
                </m:sSubSup>
                <m:r>
                  <m:t>)</m:t>
                </m:r>
                <m:r>
                  <m:t>.</m:t>
                </m:r>
              </m:e>
            </m:mr>
          </m:m>
        </m:oMath>
      </m:oMathPara>
    </w:p>
    <w:p>
      <w:pPr>
        <w:pStyle w:val="FirstParagraph"/>
      </w:pPr>
      <w:r>
        <w:t xml:space="preserve">The study-specific relative treatment effects are also drawn from a common population distribution with mean</w:t>
      </w:r>
      <w:r>
        <w:t xml:space="preserve"> </w:t>
      </w:r>
      <m:oMath>
        <m:sSub>
          <m:e>
            <m:r>
              <m:t>d</m:t>
            </m:r>
          </m:e>
          <m:sub>
            <m:r>
              <m:t>k</m:t>
            </m:r>
            <m:r>
              <m:t>b</m:t>
            </m:r>
          </m:sub>
        </m:sSub>
      </m:oMath>
      <w:r>
        <w:t xml:space="preserve"> </w:t>
      </w:r>
      <w:r>
        <w:t xml:space="preserve">and variance</w:t>
      </w:r>
      <w:r>
        <w:t xml:space="preserve"> </w:t>
      </w:r>
      <m:oMath>
        <m:sSup>
          <m:e>
            <m:r>
              <m:t>τ</m:t>
            </m:r>
          </m:e>
          <m:sup>
            <m:r>
              <m:t>2</m:t>
            </m:r>
          </m:sup>
        </m:sSup>
      </m:oMath>
      <w:r>
        <w:t xml:space="preserve">,</w:t>
      </w:r>
    </w:p>
    <w:p>
      <w:pPr>
        <w:pStyle w:val="BodyText"/>
      </w:pPr>
      <m:oMathPara>
        <m:oMathParaPr>
          <m:jc m:val="center"/>
        </m:oMathParaPr>
        <m:oMath>
          <m:m>
            <m:mPr>
              <m:baseJc m:val="center"/>
              <m:plcHide m:val="1"/>
              <m:mcs>
                <m:mc>
                  <m:mcPr>
                    <m:mcJc m:val="right"/>
                    <m:count m:val="1"/>
                  </m:mcPr>
                </m:mc>
              </m:mcs>
            </m:mPr>
            <m:mr>
              <m:e>
                <m:sSub>
                  <m:e>
                    <m:r>
                      <m:t>δ</m:t>
                    </m:r>
                  </m:e>
                  <m:sub>
                    <m:r>
                      <m:t>j</m:t>
                    </m:r>
                    <m:r>
                      <m:t>k</m:t>
                    </m:r>
                    <m:r>
                      <m:t>b</m:t>
                    </m:r>
                  </m:sub>
                </m:sSub>
                <m:r>
                  <m:t>∼</m:t>
                </m:r>
                <m:r>
                  <m:t>N</m:t>
                </m:r>
                <m:r>
                  <m:t>(</m:t>
                </m:r>
                <m:sSub>
                  <m:e>
                    <m:r>
                      <m:t>d</m:t>
                    </m:r>
                  </m:e>
                  <m:sub>
                    <m:r>
                      <m:t>k</m:t>
                    </m:r>
                    <m:r>
                      <m:t>b</m:t>
                    </m:r>
                  </m:sub>
                </m:sSub>
                <m:r>
                  <m:t>,</m:t>
                </m:r>
                <m:sSup>
                  <m:e>
                    <m:r>
                      <m:t>τ</m:t>
                    </m:r>
                  </m:e>
                  <m:sup>
                    <m:r>
                      <m:t>2</m:t>
                    </m:r>
                  </m:sup>
                </m:sSup>
                <m:r>
                  <m:t>)</m:t>
                </m:r>
                <m:r>
                  <m:t>.</m:t>
                </m:r>
              </m:e>
            </m:mr>
          </m:m>
        </m:oMath>
      </m:oMathPara>
    </w:p>
    <w:p>
      <w:pPr>
        <w:pStyle w:val="FirstParagraph"/>
      </w:pPr>
      <w:r>
        <w:t xml:space="preserve">To generate treatment responses, we estimate the response for treatment</w:t>
      </w:r>
      <w:r>
        <w:t xml:space="preserve"> </w:t>
      </w:r>
      <m:oMath>
        <m:r>
          <m:t>A</m:t>
        </m:r>
      </m:oMath>
      <w:r>
        <w:t xml:space="preserve"> </w:t>
      </w:r>
      <w:r>
        <w:t xml:space="preserve">by averaging</w:t>
      </w:r>
      <w:r>
        <w:t xml:space="preserve"> </w:t>
      </w:r>
      <m:oMath>
        <m:sSub>
          <m:e>
            <m:r>
              <m:t>μ</m:t>
            </m:r>
          </m:e>
          <m:sub>
            <m:r>
              <m:t>j</m:t>
            </m:r>
            <m:r>
              <m:t>A</m:t>
            </m:r>
          </m:sub>
        </m:sSub>
      </m:oMath>
      <w:r>
        <w:t xml:space="preserve"> </w:t>
      </w:r>
      <w:r>
        <w:t xml:space="preserve">across trials containing treatment</w:t>
      </w:r>
      <w:r>
        <w:t xml:space="preserve"> </w:t>
      </w:r>
      <m:oMath>
        <m:r>
          <m:t>A</m:t>
        </m:r>
      </m:oMath>
      <w:r>
        <w:t xml:space="preserve">. In particular, letting</w:t>
      </w:r>
      <w:r>
        <w:t xml:space="preserve"> </w:t>
      </w:r>
      <m:oMath>
        <m:sSub>
          <m:e>
            <m:r>
              <m:t>S</m:t>
            </m:r>
          </m:e>
          <m:sub>
            <m:r>
              <m:t>A</m:t>
            </m:r>
          </m:sub>
        </m:sSub>
        <m:r>
          <m:t>=</m:t>
        </m:r>
        <m:r>
          <m:t>{</m:t>
        </m:r>
        <m:sSub>
          <m:e>
            <m:r>
              <m:t>μ</m:t>
            </m:r>
          </m:e>
          <m:sub>
            <m:r>
              <m:t>1</m:t>
            </m:r>
            <m:r>
              <m:t>A</m:t>
            </m:r>
          </m:sub>
        </m:sSub>
        <m:r>
          <m:t>,</m:t>
        </m:r>
        <m:r>
          <m:t>…</m:t>
        </m:r>
        <m:sSub>
          <m:e>
            <m:r>
              <m:t>μ</m:t>
            </m:r>
          </m:e>
          <m:sub>
            <m:r>
              <m:t>|</m:t>
            </m:r>
            <m:sSub>
              <m:e>
                <m:r>
                  <m:t>S</m:t>
                </m:r>
              </m:e>
              <m:sub>
                <m:r>
                  <m:t>A</m:t>
                </m:r>
              </m:sub>
            </m:sSub>
            <m:r>
              <m:t>|</m:t>
            </m:r>
            <m:r>
              <m:t>A</m:t>
            </m:r>
          </m:sub>
        </m:sSub>
        <m:r>
          <m:t>}</m:t>
        </m:r>
      </m:oMath>
      <w:r>
        <w:t xml:space="preserve"> </w:t>
      </w:r>
      <w:r>
        <w:t xml:space="preserve">be the set of all trials containing treatment</w:t>
      </w:r>
      <w:r>
        <w:t xml:space="preserve"> </w:t>
      </w:r>
      <m:oMath>
        <m:r>
          <m:t>A</m:t>
        </m:r>
      </m:oMath>
      <w:r>
        <w:t xml:space="preserve">, we estimate,</w:t>
      </w:r>
    </w:p>
    <w:p>
      <w:pPr>
        <w:pStyle w:val="BodyText"/>
      </w:pPr>
      <m:oMathPara>
        <m:oMathParaPr>
          <m:jc m:val="center"/>
        </m:oMathParaPr>
        <m:oMath>
          <m:m>
            <m:mPr>
              <m:baseJc m:val="center"/>
              <m:plcHide m:val="1"/>
              <m:mcs>
                <m:mc>
                  <m:mcPr>
                    <m:mcJc m:val="right"/>
                    <m:count m:val="1"/>
                  </m:mcPr>
                </m:mc>
              </m:mcs>
            </m:mPr>
            <m:mr>
              <m:e>
                <m:r>
                  <m:t>A</m:t>
                </m:r>
                <m:r>
                  <m:t>=</m:t>
                </m:r>
                <m:f>
                  <m:fPr>
                    <m:type m:val="bar"/>
                  </m:fPr>
                  <m:num>
                    <m:r>
                      <m:t>1</m:t>
                    </m:r>
                  </m:num>
                  <m:den>
                    <m:r>
                      <m:t>|</m:t>
                    </m:r>
                    <m:sSub>
                      <m:e>
                        <m:r>
                          <m:t>S</m:t>
                        </m:r>
                      </m:e>
                      <m:sub>
                        <m:r>
                          <m:t>A</m:t>
                        </m:r>
                      </m:sub>
                    </m:sSub>
                    <m:r>
                      <m:t>|</m:t>
                    </m:r>
                  </m:den>
                </m:f>
                <m:nary>
                  <m:naryPr>
                    <m:chr m:val="∑"/>
                    <m:limLoc m:val="undOvr"/>
                    <m:subHide m:val="0"/>
                    <m:supHide m:val="1"/>
                  </m:naryPr>
                  <m:sub>
                    <m:sSub>
                      <m:e>
                        <m:r>
                          <m:t>μ</m:t>
                        </m:r>
                      </m:e>
                      <m:sub>
                        <m:r>
                          <m:t>A</m:t>
                        </m:r>
                      </m:sub>
                    </m:sSub>
                    <m:r>
                      <m:t>∈</m:t>
                    </m:r>
                    <m:sSub>
                      <m:e>
                        <m:r>
                          <m:t>S</m:t>
                        </m:r>
                      </m:e>
                      <m:sub>
                        <m:r>
                          <m:t>A</m:t>
                        </m:r>
                      </m:sub>
                    </m:sSub>
                  </m:sub>
                  <m:sup/>
                  <m:e>
                    <m:sSub>
                      <m:e>
                        <m:r>
                          <m:t>μ</m:t>
                        </m:r>
                      </m:e>
                      <m:sub>
                        <m:r>
                          <m:t>A</m:t>
                        </m:r>
                      </m:sub>
                    </m:sSub>
                  </m:e>
                </m:nary>
                <m:r>
                  <m:t>.</m:t>
                </m:r>
              </m:e>
            </m:mr>
          </m:m>
        </m:oMath>
      </m:oMathPara>
    </w:p>
    <w:p>
      <w:pPr>
        <w:pStyle w:val="FirstParagraph"/>
      </w:pPr>
      <w:r>
        <w:t xml:space="preserve">We calculate the probability of ACR &lt; 20% improvement, ACR &lt; 50% improvement, and ACR &lt; 70% improvement with treatment</w:t>
      </w:r>
      <w:r>
        <w:t xml:space="preserve"> </w:t>
      </w:r>
      <m:oMath>
        <m:r>
          <m:t>k</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A</m:t>
                </m:r>
                <m:r>
                  <m:t>C</m:t>
                </m:r>
                <m:sSub>
                  <m:e>
                    <m:r>
                      <m:t>R</m:t>
                    </m:r>
                  </m:e>
                  <m:sub>
                    <m:r>
                      <m:t>k</m:t>
                    </m:r>
                  </m:sub>
                </m:sSub>
                <m:r>
                  <m:t>&lt;</m:t>
                </m:r>
                <m:r>
                  <m:t>70</m:t>
                </m:r>
                <m:r>
                  <m:t>)</m:t>
                </m:r>
              </m:e>
              <m:e>
                <m:r>
                  <m:t>=</m:t>
                </m:r>
                <m:r>
                  <m:t>ϕ</m:t>
                </m:r>
                <m:r>
                  <m:t>(</m:t>
                </m:r>
                <m:r>
                  <m:t>A</m:t>
                </m:r>
                <m:r>
                  <m:t>+</m:t>
                </m:r>
                <m:sSub>
                  <m:e>
                    <m:r>
                      <m:t>z</m:t>
                    </m:r>
                  </m:e>
                  <m:sub>
                    <m:r>
                      <m:t>3</m:t>
                    </m:r>
                  </m:sub>
                </m:sSub>
                <m:r>
                  <m:t>+</m:t>
                </m:r>
                <m:sSub>
                  <m:e>
                    <m:r>
                      <m:t>d</m:t>
                    </m:r>
                  </m:e>
                  <m:sub>
                    <m:r>
                      <m:t>k</m:t>
                    </m:r>
                    <m:r>
                      <m:t>A</m:t>
                    </m:r>
                  </m:sub>
                </m:sSub>
                <m:r>
                  <m:t>)</m:t>
                </m:r>
              </m:e>
            </m:mr>
            <m:mr>
              <m:e>
                <m:r>
                  <m:t>P</m:t>
                </m:r>
                <m:r>
                  <m:t>(</m:t>
                </m:r>
                <m:r>
                  <m:t>A</m:t>
                </m:r>
                <m:r>
                  <m:t>C</m:t>
                </m:r>
                <m:sSub>
                  <m:e>
                    <m:r>
                      <m:t>R</m:t>
                    </m:r>
                  </m:e>
                  <m:sub>
                    <m:r>
                      <m:t>k</m:t>
                    </m:r>
                  </m:sub>
                </m:sSub>
                <m:r>
                  <m:t>&lt;</m:t>
                </m:r>
                <m:r>
                  <m:t>50</m:t>
                </m:r>
                <m:r>
                  <m:t>)</m:t>
                </m:r>
              </m:e>
              <m:e>
                <m:r>
                  <m:t>=</m:t>
                </m:r>
                <m:r>
                  <m:t>ϕ</m:t>
                </m:r>
                <m:r>
                  <m:t>(</m:t>
                </m:r>
                <m:r>
                  <m:t>A</m:t>
                </m:r>
                <m:r>
                  <m:t>+</m:t>
                </m:r>
                <m:sSub>
                  <m:e>
                    <m:r>
                      <m:t>z</m:t>
                    </m:r>
                  </m:e>
                  <m:sub>
                    <m:r>
                      <m:t>2</m:t>
                    </m:r>
                  </m:sub>
                </m:sSub>
                <m:r>
                  <m:t>+</m:t>
                </m:r>
                <m:sSub>
                  <m:e>
                    <m:r>
                      <m:t>d</m:t>
                    </m:r>
                  </m:e>
                  <m:sub>
                    <m:r>
                      <m:t>k</m:t>
                    </m:r>
                    <m:r>
                      <m:t>A</m:t>
                    </m:r>
                  </m:sub>
                </m:sSub>
                <m:r>
                  <m:t>)</m:t>
                </m:r>
              </m:e>
            </m:mr>
            <m:mr>
              <m:e>
                <m:r>
                  <m:t>P</m:t>
                </m:r>
                <m:r>
                  <m:t>(</m:t>
                </m:r>
                <m:r>
                  <m:t>A</m:t>
                </m:r>
                <m:r>
                  <m:t>C</m:t>
                </m:r>
                <m:sSub>
                  <m:e>
                    <m:r>
                      <m:t>R</m:t>
                    </m:r>
                  </m:e>
                  <m:sub>
                    <m:r>
                      <m:t>k</m:t>
                    </m:r>
                  </m:sub>
                </m:sSub>
                <m:r>
                  <m:t>&lt;</m:t>
                </m:r>
                <m:r>
                  <m:t>20</m:t>
                </m:r>
                <m:r>
                  <m:t>)</m:t>
                </m:r>
              </m:e>
              <m:e>
                <m:r>
                  <m:t>=</m:t>
                </m:r>
                <m:r>
                  <m:t>ϕ</m:t>
                </m:r>
                <m:r>
                  <m:t>(</m:t>
                </m:r>
                <m:r>
                  <m:t>A</m:t>
                </m:r>
                <m:r>
                  <m:t>+</m:t>
                </m:r>
                <m:sSub>
                  <m:e>
                    <m:r>
                      <m:t>d</m:t>
                    </m:r>
                  </m:e>
                  <m:sub>
                    <m:r>
                      <m:t>k</m:t>
                    </m:r>
                    <m:r>
                      <m:t>A</m:t>
                    </m:r>
                  </m:sub>
                </m:sSub>
                <m:r>
                  <m:t>)</m:t>
                </m:r>
                <m:r>
                  <m:t>.</m:t>
                </m:r>
              </m:e>
            </m:mr>
          </m:m>
        </m:oMath>
      </m:oMathPara>
    </w:p>
    <w:p>
      <w:pPr>
        <w:pStyle w:val="FirstParagraph"/>
      </w:pPr>
      <w:r>
        <w:t xml:space="preserve">The probabilities of overlapping ACR response (i.e., ACR 20/50/70) are then,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A</m:t>
                </m:r>
                <m:r>
                  <m:t>C</m:t>
                </m:r>
                <m:sSub>
                  <m:e>
                    <m:r>
                      <m:t>R</m:t>
                    </m:r>
                  </m:e>
                  <m:sub>
                    <m:r>
                      <m:t>k</m:t>
                    </m:r>
                  </m:sub>
                </m:sSub>
                <m:r>
                  <m:t>&gt;</m:t>
                </m:r>
                <m:r>
                  <m:t>70</m:t>
                </m:r>
                <m:r>
                  <m:t>)</m:t>
                </m:r>
              </m:e>
              <m:e>
                <m:r>
                  <m:t>=</m:t>
                </m:r>
                <m:r>
                  <m:t>γ</m:t>
                </m:r>
                <m:r>
                  <m:t>⋅</m:t>
                </m:r>
                <m:r>
                  <m:t>(</m:t>
                </m:r>
                <m:r>
                  <m:t>1</m:t>
                </m:r>
                <m:r>
                  <m:t>−</m:t>
                </m:r>
                <m:r>
                  <m:t>P</m:t>
                </m:r>
                <m:r>
                  <m:t>(</m:t>
                </m:r>
                <m:r>
                  <m:t>A</m:t>
                </m:r>
                <m:r>
                  <m:t>C</m:t>
                </m:r>
                <m:sSub>
                  <m:e>
                    <m:r>
                      <m:t>R</m:t>
                    </m:r>
                  </m:e>
                  <m:sub>
                    <m:r>
                      <m:t>k</m:t>
                    </m:r>
                  </m:sub>
                </m:sSub>
                <m:r>
                  <m:t>&lt;</m:t>
                </m:r>
                <m:r>
                  <m:t>70</m:t>
                </m:r>
                <m:r>
                  <m:t>)</m:t>
                </m:r>
                <m:r>
                  <m:t>)</m:t>
                </m:r>
              </m:e>
            </m:mr>
            <m:mr>
              <m:e>
                <m:r>
                  <m:t>P</m:t>
                </m:r>
                <m:r>
                  <m:t>(</m:t>
                </m:r>
                <m:r>
                  <m:t>A</m:t>
                </m:r>
                <m:r>
                  <m:t>C</m:t>
                </m:r>
                <m:sSub>
                  <m:e>
                    <m:r>
                      <m:t>R</m:t>
                    </m:r>
                  </m:e>
                  <m:sub>
                    <m:r>
                      <m:t>k</m:t>
                    </m:r>
                  </m:sub>
                </m:sSub>
                <m:r>
                  <m:t>&gt;</m:t>
                </m:r>
                <m:r>
                  <m:t>50</m:t>
                </m:r>
                <m:r>
                  <m:t>)</m:t>
                </m:r>
              </m:e>
              <m:e>
                <m:r>
                  <m:t>=</m:t>
                </m:r>
                <m:r>
                  <m:t>γ</m:t>
                </m:r>
                <m:r>
                  <m:t>⋅</m:t>
                </m:r>
                <m:r>
                  <m:t>(</m:t>
                </m:r>
                <m:r>
                  <m:t>1</m:t>
                </m:r>
                <m:r>
                  <m:t>−</m:t>
                </m:r>
                <m:r>
                  <m:t>P</m:t>
                </m:r>
                <m:r>
                  <m:t>(</m:t>
                </m:r>
                <m:r>
                  <m:t>A</m:t>
                </m:r>
                <m:r>
                  <m:t>C</m:t>
                </m:r>
                <m:sSub>
                  <m:e>
                    <m:r>
                      <m:t>R</m:t>
                    </m:r>
                  </m:e>
                  <m:sub>
                    <m:r>
                      <m:t>k</m:t>
                    </m:r>
                  </m:sub>
                </m:sSub>
                <m:r>
                  <m:t>&lt;</m:t>
                </m:r>
                <m:r>
                  <m:t>50</m:t>
                </m:r>
                <m:r>
                  <m:t>)</m:t>
                </m:r>
                <m:r>
                  <m:t>)</m:t>
                </m:r>
              </m:e>
            </m:mr>
            <m:mr>
              <m:e>
                <m:r>
                  <m:t>P</m:t>
                </m:r>
                <m:r>
                  <m:t>(</m:t>
                </m:r>
                <m:r>
                  <m:t>A</m:t>
                </m:r>
                <m:r>
                  <m:t>C</m:t>
                </m:r>
                <m:sSub>
                  <m:e>
                    <m:r>
                      <m:t>R</m:t>
                    </m:r>
                  </m:e>
                  <m:sub>
                    <m:r>
                      <m:t>k</m:t>
                    </m:r>
                  </m:sub>
                </m:sSub>
                <m:r>
                  <m:t>&gt;</m:t>
                </m:r>
                <m:r>
                  <m:t>20</m:t>
                </m:r>
                <m:r>
                  <m:t>)</m:t>
                </m:r>
              </m:e>
              <m:e>
                <m:r>
                  <m:t>=</m:t>
                </m:r>
                <m:r>
                  <m:t>γ</m:t>
                </m:r>
                <m:r>
                  <m:t>⋅</m:t>
                </m:r>
                <m:r>
                  <m:t>(</m:t>
                </m:r>
                <m:r>
                  <m:t>1</m:t>
                </m:r>
                <m:r>
                  <m:t>−</m:t>
                </m:r>
                <m:r>
                  <m:t>P</m:t>
                </m:r>
                <m:r>
                  <m:t>(</m:t>
                </m:r>
                <m:r>
                  <m:t>A</m:t>
                </m:r>
                <m:r>
                  <m:t>C</m:t>
                </m:r>
                <m:sSub>
                  <m:e>
                    <m:r>
                      <m:t>R</m:t>
                    </m:r>
                  </m:e>
                  <m:sub>
                    <m:r>
                      <m:t>k</m:t>
                    </m:r>
                  </m:sub>
                </m:sSub>
                <m:r>
                  <m:t>&lt;</m:t>
                </m:r>
                <m:r>
                  <m:t>20</m:t>
                </m:r>
                <m:r>
                  <m:t>)</m:t>
                </m:r>
                <m:r>
                  <m:t>)</m:t>
                </m:r>
                <m:r>
                  <m:t>,</m:t>
                </m:r>
              </m:e>
            </m:mr>
          </m:m>
        </m:oMath>
      </m:oMathPara>
    </w:p>
    <w:p>
      <w:pPr>
        <w:pStyle w:val="FirstParagraph"/>
      </w:pPr>
      <w:r>
        <w:t xml:space="preserve">where</w:t>
      </w:r>
      <w:r>
        <w:t xml:space="preserve"> </w:t>
      </w:r>
      <m:oMath>
        <m:r>
          <m:t>γ</m:t>
        </m:r>
      </m:oMath>
      <w:r>
        <w:t xml:space="preserve"> </w:t>
      </w:r>
      <w:r>
        <w:t xml:space="preserve">is the reduction in treatment response at a given line of therapy.</w:t>
      </w:r>
      <w:r>
        <w:t xml:space="preserve"> </w:t>
      </w:r>
      <m:oMath>
        <m:r>
          <m:t>γ</m:t>
        </m:r>
        <m:r>
          <m:t>=</m:t>
        </m:r>
        <m:r>
          <m:t>1</m:t>
        </m:r>
      </m:oMath>
      <w:r>
        <w:t xml:space="preserve"> </w:t>
      </w:r>
      <w:r>
        <w:t xml:space="preserve">is a patient is bDMARD naive and on average, equal to .84 after failing a biologic. The mutually exclusive ACR response categories are easily derived from the overlapping categories.</w:t>
      </w:r>
    </w:p>
    <w:p>
      <w:pPr>
        <w:pStyle w:val="BodyText"/>
      </w:pPr>
      <w:r>
        <w:t xml:space="preserve">To avoid influencing the observed results by prior belief, uninformative prior distributions were used for the estimated model parameters. Posterior distributions for the model parameters are derived with the Markov chain Monte Carlo method using the JAGS software package (</w:t>
      </w:r>
      <w:hyperlink r:id="rId104">
        <w:r>
          <w:rPr>
            <w:rStyle w:val="Hyperlink"/>
          </w:rPr>
          <w:t xml:space="preserve">http://mcmc-jags.sourceforge.net/</w:t>
        </w:r>
      </w:hyperlink>
      <w:r>
        <w:t xml:space="preserve">).</w:t>
      </w:r>
    </w:p>
    <w:p>
      <w:pPr>
        <w:pStyle w:val="Heading3"/>
      </w:pPr>
      <w:bookmarkStart w:id="105" w:name="continuous-outcomes"/>
      <w:bookmarkEnd w:id="105"/>
      <w:r>
        <w:t xml:space="preserve">Continuous outcomes</w:t>
      </w:r>
    </w:p>
    <w:p>
      <w:pPr>
        <w:pStyle w:val="FirstParagraph"/>
      </w:pPr>
      <w:r>
        <w:t xml:space="preserve">Changes in HAQ and DAS28 from baseline at 6 months were estimated using a Bayesian (random effects) network meta-analyses model for continuous data</w:t>
      </w:r>
      <w:r>
        <w:t xml:space="preserve"> </w:t>
      </w:r>
      <w:r>
        <w:t xml:space="preserve">(Dias et al. 2013)</w:t>
      </w:r>
      <w:r>
        <w:t xml:space="preserve">. The models use a normal likelihood (since the sample mean is approximately normally distributed by the central limit theorem if the sample size is reasonably large) and an identity link.</w:t>
      </w:r>
    </w:p>
    <w:p>
      <w:pPr>
        <w:pStyle w:val="BodyText"/>
      </w:pPr>
      <w:r>
        <w:t xml:space="preserve">More specifically, let</w:t>
      </w:r>
      <w:r>
        <w:t xml:space="preserve"> </w:t>
      </w:r>
      <m:oMath>
        <m:sSub>
          <m:e>
            <m:r>
              <m:t>y</m:t>
            </m:r>
          </m:e>
          <m:sub>
            <m:r>
              <m:t>j</m:t>
            </m:r>
            <m:r>
              <m:t>k</m:t>
            </m:r>
          </m:sub>
        </m:sSub>
      </m:oMath>
      <w:r>
        <w:t xml:space="preserve"> </w:t>
      </w:r>
      <w:r>
        <w:t xml:space="preserve">be the outcome of interest in trial</w:t>
      </w:r>
      <w:r>
        <w:t xml:space="preserve"> </w:t>
      </w:r>
      <m:oMath>
        <m:r>
          <m:t>j</m:t>
        </m:r>
      </m:oMath>
      <w:r>
        <w:t xml:space="preserve"> </w:t>
      </w:r>
      <w:r>
        <w:t xml:space="preserve">and treatment</w:t>
      </w:r>
      <w:r>
        <w:t xml:space="preserve"> </w:t>
      </w:r>
      <m:oMath>
        <m:r>
          <m:t>k</m:t>
        </m:r>
      </m:oMath>
      <w:r>
        <w:t xml:space="preserve">, and consider the model,</w:t>
      </w:r>
    </w:p>
    <w:p>
      <w:pPr>
        <w:pStyle w:val="BodyText"/>
      </w:pPr>
      <m:oMathPara>
        <m:oMathParaPr>
          <m:jc m:val="center"/>
        </m:oMathParaPr>
        <m:oMath>
          <m:m>
            <m:mPr>
              <m:baseJc m:val="center"/>
              <m:plcHide m:val="1"/>
              <m:mcs>
                <m:mc>
                  <m:mcPr>
                    <m:mcJc m:val="right"/>
                    <m:count m:val="1"/>
                  </m:mcPr>
                </m:mc>
              </m:mcs>
            </m:mPr>
            <m:mr>
              <m:e>
                <m:sSub>
                  <m:e>
                    <m:r>
                      <m:t>y</m:t>
                    </m:r>
                  </m:e>
                  <m:sub>
                    <m:r>
                      <m:t>j</m:t>
                    </m:r>
                    <m:r>
                      <m:t>k</m:t>
                    </m:r>
                  </m:sub>
                </m:sSub>
                <m:r>
                  <m:t>∼</m:t>
                </m:r>
                <m:r>
                  <m:t>N</m:t>
                </m:r>
                <m:r>
                  <m:t>(</m:t>
                </m:r>
                <m:sSub>
                  <m:e>
                    <m:r>
                      <m:t>θ</m:t>
                    </m:r>
                  </m:e>
                  <m:sub>
                    <m:r>
                      <m:t>j</m:t>
                    </m:r>
                    <m:r>
                      <m:t>k</m:t>
                    </m:r>
                  </m:sub>
                </m:sSub>
                <m:r>
                  <m:t>,</m:t>
                </m:r>
                <m:sSubSup>
                  <m:e>
                    <m:r>
                      <m:t>σ</m:t>
                    </m:r>
                  </m:e>
                  <m:sub>
                    <m:r>
                      <m:t>j</m:t>
                    </m:r>
                    <m:r>
                      <m:t>k</m:t>
                    </m:r>
                  </m:sub>
                  <m:sup>
                    <m:r>
                      <m:t>2</m:t>
                    </m:r>
                  </m:sup>
                </m:sSubSup>
                <m:r>
                  <m:t>)</m:t>
                </m:r>
                <m:r>
                  <m:t>,</m:t>
                </m:r>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
                  <m:e>
                    <m:r>
                      <m:t>θ</m:t>
                    </m:r>
                  </m:e>
                  <m:sub>
                    <m:r>
                      <m:t>j</m:t>
                    </m:r>
                    <m:r>
                      <m:t>k</m:t>
                    </m:r>
                  </m:sub>
                </m:sSub>
              </m:e>
              <m:e>
                <m:r>
                  <m:t>=</m:t>
                </m:r>
                <m:d>
                  <m:dPr>
                    <m:begChr m:val="{"/>
                    <m:endChr m:val=""/>
                    <m:grow/>
                  </m:dPr>
                  <m:e>
                    <m:m>
                      <m:mPr>
                        <m:baseJc m:val="center"/>
                        <m:plcHide m:val="1"/>
                        <m:mcs>
                          <m:mc>
                            <m:mcPr>
                              <m:mcJc m:val="left"/>
                              <m:count m:val="1"/>
                            </m:mcPr>
                          </m:mc>
                          <m:mc>
                            <m:mcPr>
                              <m:mcJc m:val="left"/>
                              <m:count m:val="1"/>
                            </m:mcPr>
                          </m:mc>
                        </m:mcs>
                      </m:mPr>
                      <m:mr>
                        <m:e>
                          <m:sSub>
                            <m:e>
                              <m:r>
                                <m:t>μ</m:t>
                              </m:r>
                            </m:e>
                            <m:sub>
                              <m:r>
                                <m:t>j</m:t>
                              </m:r>
                              <m:r>
                                <m:t>b</m:t>
                              </m:r>
                            </m:sub>
                          </m:sSub>
                        </m:e>
                        <m:e>
                          <m:r>
                            <m:t>b</m:t>
                          </m:r>
                          <m:r>
                            <m:t>=</m:t>
                          </m:r>
                          <m:r>
                            <m:t>A</m:t>
                          </m:r>
                          <m:r>
                            <m:t>,</m:t>
                          </m:r>
                          <m:r>
                            <m:t>B</m:t>
                          </m:r>
                          <m:r>
                            <m:t>,</m:t>
                          </m:r>
                          <m:r>
                            <m:t>C</m:t>
                          </m:r>
                          <m:r>
                            <m:t>,</m:t>
                          </m:r>
                          <m:r>
                            <m:t>…</m:t>
                          </m:r>
                          <m:r>
                            <m:rPr>
                              <m:sty m:val="p"/>
                            </m:rPr>
                            <m:t> if </m:t>
                          </m:r>
                          <m:r>
                            <m:t>k</m:t>
                          </m:r>
                          <m:r>
                            <m:t>=</m:t>
                          </m:r>
                          <m:r>
                            <m:t>b</m:t>
                          </m:r>
                        </m:e>
                      </m:mr>
                      <m:mr>
                        <m:e>
                          <m:sSub>
                            <m:e>
                              <m:r>
                                <m:t>μ</m:t>
                              </m:r>
                            </m:e>
                            <m:sub>
                              <m:r>
                                <m:t>j</m:t>
                              </m:r>
                              <m:r>
                                <m:t>b</m:t>
                              </m:r>
                            </m:sub>
                          </m:sSub>
                          <m:r>
                            <m:t>+</m:t>
                          </m:r>
                          <m:sSub>
                            <m:e>
                              <m:r>
                                <m:t>δ</m:t>
                              </m:r>
                            </m:e>
                            <m:sub>
                              <m:r>
                                <m:t>j</m:t>
                              </m:r>
                              <m:r>
                                <m:t>k</m:t>
                              </m:r>
                              <m:r>
                                <m:t>b</m:t>
                              </m:r>
                            </m:sub>
                          </m:sSub>
                        </m:e>
                        <m:e>
                          <m:r>
                            <m:rPr>
                              <m:sty m:val="p"/>
                            </m:rPr>
                            <m:t>if </m:t>
                          </m:r>
                          <m:r>
                            <m:t>k</m:t>
                          </m:r>
                          <m:r>
                            <m:rPr>
                              <m:sty m:val="p"/>
                            </m:rPr>
                            <m:t> alphabetically after </m:t>
                          </m:r>
                          <m:r>
                            <m:t>b</m:t>
                          </m:r>
                          <m:r>
                            <m:t>.</m:t>
                          </m:r>
                        </m:e>
                      </m:mr>
                    </m:m>
                  </m:e>
                </m:d>
              </m:e>
            </m:mr>
          </m:m>
        </m:oMath>
      </m:oMathPara>
    </w:p>
    <w:p>
      <w:pPr>
        <w:pStyle w:val="FirstParagraph"/>
      </w:pPr>
      <m:oMath>
        <m:sSub>
          <m:e>
            <m:r>
              <m:t>δ</m:t>
            </m:r>
          </m:e>
          <m:sub>
            <m:r>
              <m:t>j</m:t>
            </m:r>
            <m:r>
              <m:t>k</m:t>
            </m:r>
            <m:r>
              <m:t>b</m:t>
            </m:r>
          </m:sub>
        </m:sSub>
      </m:oMath>
      <w:r>
        <w:t xml:space="preserve"> </w:t>
      </w:r>
      <w:r>
        <w:t xml:space="preserve">is modeled using a random effect with</w:t>
      </w:r>
      <w:r>
        <w:t xml:space="preserve"> </w:t>
      </w:r>
      <m:oMath>
        <m:sSub>
          <m:e>
            <m:r>
              <m:t>d</m:t>
            </m:r>
          </m:e>
          <m:sub>
            <m:r>
              <m:t>A</m:t>
            </m:r>
            <m:r>
              <m:t>A</m:t>
            </m:r>
          </m:sub>
        </m:sSub>
        <m:r>
          <m:t>=</m:t>
        </m:r>
        <m:r>
          <m:t>0</m:t>
        </m:r>
      </m:oMath>
      <w:r>
        <w:t xml:space="preserve">,</w:t>
      </w:r>
    </w:p>
    <w:p>
      <w:pPr>
        <w:pStyle w:val="BodyText"/>
      </w:pPr>
      <m:oMathPara>
        <m:oMathParaPr>
          <m:jc m:val="center"/>
        </m:oMathParaPr>
        <m:oMath>
          <m:m>
            <m:mPr>
              <m:baseJc m:val="center"/>
              <m:plcHide m:val="1"/>
              <m:mcs>
                <m:mc>
                  <m:mcPr>
                    <m:mcJc m:val="right"/>
                    <m:count m:val="1"/>
                  </m:mcPr>
                </m:mc>
              </m:mcs>
            </m:mPr>
            <m:mr>
              <m:e>
                <m:sSub>
                  <m:e>
                    <m:r>
                      <m:t>δ</m:t>
                    </m:r>
                  </m:e>
                  <m:sub>
                    <m:r>
                      <m:t>j</m:t>
                    </m:r>
                    <m:r>
                      <m:t>k</m:t>
                    </m:r>
                    <m:r>
                      <m:t>b</m:t>
                    </m:r>
                  </m:sub>
                </m:sSub>
                <m:r>
                  <m:t>∼</m:t>
                </m:r>
                <m:r>
                  <m:t>N</m:t>
                </m:r>
                <m:r>
                  <m:t>(</m:t>
                </m:r>
                <m:sSub>
                  <m:e>
                    <m:r>
                      <m:t>d</m:t>
                    </m:r>
                  </m:e>
                  <m:sub>
                    <m:r>
                      <m:t>k</m:t>
                    </m:r>
                    <m:r>
                      <m:t>b</m:t>
                    </m:r>
                  </m:sub>
                </m:sSub>
                <m:r>
                  <m:t>,</m:t>
                </m:r>
                <m:sSup>
                  <m:e>
                    <m:r>
                      <m:t>σ</m:t>
                    </m:r>
                  </m:e>
                  <m:sup>
                    <m:r>
                      <m:t>2</m:t>
                    </m:r>
                  </m:sup>
                </m:sSup>
                <m:r>
                  <m:t>)</m:t>
                </m:r>
                <m:r>
                  <m:t>.</m:t>
                </m:r>
              </m:e>
            </m:mr>
          </m:m>
        </m:oMath>
      </m:oMathPara>
    </w:p>
    <w:p>
      <w:pPr>
        <w:pStyle w:val="FirstParagraph"/>
      </w:pPr>
      <w:r>
        <w:t xml:space="preserve">As with the ACR response model, we allow treatment response to depend on patient characteristics by modeling</w:t>
      </w:r>
      <w:r>
        <w:t xml:space="preserve"> </w:t>
      </w:r>
      <m:oMath>
        <m:sSub>
          <m:e>
            <m:r>
              <m:t>d</m:t>
            </m:r>
          </m:e>
          <m:sub>
            <m:r>
              <m:t>k</m:t>
            </m:r>
            <m:r>
              <m:t>b</m:t>
            </m:r>
          </m:sub>
        </m:sSub>
      </m:oMath>
      <w:r>
        <w:t xml:space="preserve"> </w:t>
      </w:r>
      <w:r>
        <w:t xml:space="preserve">as a function of covariates for each individual patient</w:t>
      </w:r>
      <w:r>
        <w:t xml:space="preserve"> </w:t>
      </w:r>
      <m:oMath>
        <m:r>
          <m:t>i</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k</m:t>
                    </m:r>
                    <m:r>
                      <m:t>b</m:t>
                    </m:r>
                  </m:sub>
                </m:sSub>
              </m:e>
              <m:e>
                <m:r>
                  <m:t>=</m:t>
                </m:r>
                <m:sSubSup>
                  <m:e>
                    <m:r>
                      <m:t>x</m:t>
                    </m:r>
                  </m:e>
                  <m:sub>
                    <m:r>
                      <m:t>i</m:t>
                    </m:r>
                  </m:sub>
                  <m:sup>
                    <m:r>
                      <m:t>T</m:t>
                    </m:r>
                  </m:sup>
                </m:sSubSup>
                <m:sSub>
                  <m:e>
                    <m:r>
                      <m:t>β</m:t>
                    </m:r>
                  </m:e>
                  <m:sub>
                    <m:r>
                      <m:t>k</m:t>
                    </m:r>
                    <m:r>
                      <m:t>b</m:t>
                    </m:r>
                  </m:sub>
                </m:sSub>
                <m:r>
                  <m:t>,</m:t>
                </m:r>
              </m:e>
            </m:mr>
          </m:m>
        </m:oMath>
      </m:oMathPara>
    </w:p>
    <w:p>
      <w:pPr>
        <w:pStyle w:val="FirstParagraph"/>
      </w:pPr>
      <w:r>
        <w:t xml:space="preserve">In the simulation, we allow for treatment effect modifiers by modeling</w:t>
      </w:r>
      <w:r>
        <w:t xml:space="preserve"> </w:t>
      </w:r>
      <m:oMath>
        <m:sSub>
          <m:e>
            <m:r>
              <m:t>d</m:t>
            </m:r>
          </m:e>
          <m:sub>
            <m:r>
              <m:t>k</m:t>
            </m:r>
            <m:r>
              <m:t>b</m:t>
            </m:r>
          </m:sub>
        </m:sSub>
      </m:oMath>
      <w:r>
        <w:t xml:space="preserve"> </w:t>
      </w:r>
      <w:r>
        <w:t xml:space="preserve">as a function of covariates for each individual patient</w:t>
      </w:r>
      <w:r>
        <w:t xml:space="preserve"> </w:t>
      </w:r>
      <m:oMath>
        <m:r>
          <m:t>i</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k</m:t>
                    </m:r>
                    <m:r>
                      <m:t>b</m:t>
                    </m:r>
                  </m:sub>
                </m:sSub>
              </m:e>
              <m:e>
                <m:r>
                  <m:t>=</m:t>
                </m:r>
                <m:sSubSup>
                  <m:e>
                    <m:r>
                      <m:t>x</m:t>
                    </m:r>
                  </m:e>
                  <m:sub>
                    <m:r>
                      <m:t>i</m:t>
                    </m:r>
                  </m:sub>
                  <m:sup>
                    <m:r>
                      <m:t>T</m:t>
                    </m:r>
                  </m:sup>
                </m:sSubSup>
                <m:sSub>
                  <m:e>
                    <m:r>
                      <m:t>β</m:t>
                    </m:r>
                  </m:e>
                  <m:sub>
                    <m:r>
                      <m:t>k</m:t>
                    </m:r>
                    <m:r>
                      <m:t>b</m:t>
                    </m:r>
                  </m:sub>
                </m:sSub>
                <m:r>
                  <m:t>.</m:t>
                </m:r>
              </m:e>
            </m:mr>
          </m:m>
        </m:oMath>
      </m:oMathPara>
    </w:p>
    <w:p>
      <w:pPr>
        <w:pStyle w:val="FirstParagraph"/>
      </w:pPr>
      <w:r>
        <w:t xml:space="preserve">Treatment response is estimating by calculating</w:t>
      </w:r>
      <w:r>
        <w:t xml:space="preserve"> </w:t>
      </w:r>
      <m:oMath>
        <m:r>
          <m:t>A</m:t>
        </m:r>
      </m:oMath>
      <w:r>
        <w:t xml:space="preserve"> </w:t>
      </w:r>
      <w:r>
        <w:t xml:space="preserve">as in . The response for treatment</w:t>
      </w:r>
      <w:r>
        <w:t xml:space="preserve"> </w:t>
      </w:r>
      <m:oMath>
        <m:r>
          <m:t>k</m:t>
        </m:r>
      </m:oMath>
      <w:r>
        <w:t xml:space="preserve"> </w:t>
      </w:r>
      <w:r>
        <w:t xml:space="preserve">is then,</w:t>
      </w:r>
    </w:p>
    <w:p>
      <w:pPr>
        <w:pStyle w:val="BodyText"/>
      </w:pPr>
      <m:oMathPara>
        <m:oMathParaPr>
          <m:jc m:val="center"/>
        </m:oMathParaPr>
        <m:oMath>
          <m:m>
            <m:mPr>
              <m:baseJc m:val="center"/>
              <m:plcHide m:val="1"/>
              <m:mcs>
                <m:mc>
                  <m:mcPr>
                    <m:mcJc m:val="right"/>
                    <m:count m:val="1"/>
                  </m:mcPr>
                </m:mc>
              </m:mcs>
            </m:mPr>
            <m:mr>
              <m:e>
                <m:r>
                  <m:t>γ</m:t>
                </m:r>
                <m:r>
                  <m:t>(</m:t>
                </m:r>
                <m:r>
                  <m:t>A</m:t>
                </m:r>
                <m:r>
                  <m:t>+</m:t>
                </m:r>
                <m:sSub>
                  <m:e>
                    <m:r>
                      <m:t>d</m:t>
                    </m:r>
                  </m:e>
                  <m:sub>
                    <m:r>
                      <m:t>k</m:t>
                    </m:r>
                    <m:r>
                      <m:t>A</m:t>
                    </m:r>
                  </m:sub>
                </m:sSub>
                <m:r>
                  <m:t>)</m:t>
                </m:r>
                <m:r>
                  <m:t>,</m:t>
                </m:r>
              </m:e>
            </m:mr>
          </m:m>
        </m:oMath>
      </m:oMathPara>
    </w:p>
    <w:p>
      <w:pPr>
        <w:pStyle w:val="FirstParagraph"/>
      </w:pPr>
      <w:r>
        <w:t xml:space="preserve">where</w:t>
      </w:r>
      <w:r>
        <w:t xml:space="preserve"> </w:t>
      </w:r>
      <m:oMath>
        <m:r>
          <m:t>γ</m:t>
        </m:r>
      </m:oMath>
      <w:r>
        <w:t xml:space="preserve"> </w:t>
      </w:r>
      <w:r>
        <w:t xml:space="preserve">is defined as in . Uninformative priors and the JAGS software package were used to derive posterior distributions.</w:t>
      </w:r>
    </w:p>
    <w:p>
      <w:pPr>
        <w:pStyle w:val="Heading2"/>
      </w:pPr>
      <w:bookmarkStart w:id="106" w:name="app:nma-ivi-nice-comp"/>
      <w:bookmarkEnd w:id="106"/>
      <w:r>
        <w:t xml:space="preserve">Comparing the IVI NMA to the NICE NMA</w:t>
      </w:r>
    </w:p>
    <w:p>
      <w:pPr>
        <w:pStyle w:val="FirstParagraph"/>
      </w:pPr>
      <w:r>
        <w:t xml:space="preserve">To help ensure that differences in cost-effectiveness estimates from our model relative to others are not driven by the NMA results, we compared our NMA estimates to estimates reported by NICE in</w:t>
      </w:r>
      <w:r>
        <w:t xml:space="preserve"> </w:t>
      </w:r>
      <w:r>
        <w:t xml:space="preserve">M. Stevenson et al. (2016)</w:t>
      </w:r>
      <w:r>
        <w:t xml:space="preserve">. We focus on ACR response, since the NICE report and other models use treatment pathways similar to</w:t>
      </w:r>
      <w:r>
        <w:t xml:space="preserve"> </w:t>
      </w:r>
      <w:r>
        <w:rPr>
          <w:b/>
        </w:rPr>
        <w:t xml:space="preserve">H1</w:t>
      </w:r>
      <w:r>
        <w:t xml:space="preserve"> </w:t>
      </w:r>
      <w:r>
        <w:t xml:space="preserve">and</w:t>
      </w:r>
      <w:r>
        <w:t xml:space="preserve"> </w:t>
      </w:r>
      <w:r>
        <w:rPr>
          <w:b/>
        </w:rPr>
        <w:t xml:space="preserve">H2</w:t>
      </w:r>
      <w:r>
        <w:t xml:space="preserve"> </w:t>
      </w:r>
      <w:r>
        <w:t xml:space="preserve">and rarely use DAS28 to inform treatment duration. As shown in , our results are similar and the NICE point estimates are generally within the 95% credible intervals surrounding our point estimates.</w:t>
      </w:r>
    </w:p>
    <w:p>
      <w:pPr>
        <w:pStyle w:val="BodyText"/>
      </w:pPr>
      <w:r>
        <w:t xml:space="preserve">@lrrrrrr</w:t>
      </w:r>
      <w:r>
        <w:t xml:space="preserve"> </w:t>
      </w:r>
      <w:r>
        <w:t xml:space="preserve">&amp; &amp;</w:t>
      </w:r>
      <w:r>
        <w:br w:type="textWrapping"/>
      </w:r>
      <w:r>
        <w:t xml:space="preserve">(lr)</w:t>
      </w:r>
      <w:r>
        <w:t xml:space="preserve">2-4</w:t>
      </w:r>
      <w:r>
        <w:t xml:space="preserve"> </w:t>
      </w:r>
      <w:r>
        <w:t xml:space="preserve">(lr)</w:t>
      </w:r>
      <w:r>
        <w:t xml:space="preserve">5-7</w:t>
      </w:r>
      <w:r>
        <w:t xml:space="preserve"> </w:t>
      </w:r>
      <w:r>
        <w:t xml:space="preserve">&amp; &amp; &amp; &amp; &amp; &amp;</w:t>
      </w:r>
      <w:r>
        <w:br w:type="textWrapping"/>
      </w:r>
      <w:r>
        <w:t xml:space="preserve">@inputtables/nma-acr-nice-vs-ivi.txt</w:t>
      </w:r>
      <w:r>
        <w:t xml:space="preserve"> </w:t>
      </w:r>
    </w:p>
    <w:p>
      <w:pPr>
        <w:pStyle w:val="BodyText"/>
      </w:pPr>
      <w:r>
        <w:t xml:space="preserve">Notes: ACR20/50/70 categories are the probability of at least a 20/50/70% improvement. 95% credible intervals are in parentheses. IVI estimates are based on 6-month simulations of 1,000 patients and 1,000 parameters sets for each therapy. NICE estimates are from Table 37 in</w:t>
      </w:r>
      <w:r>
        <w:t xml:space="preserve"> </w:t>
      </w:r>
      <w:r>
        <w:t xml:space="preserve">M. D. Stevenson et al. (2017)</w:t>
      </w:r>
      <w:r>
        <w:t xml:space="preserve">.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Bibliography"/>
      </w:pPr>
      <w:r>
        <w:t xml:space="preserve">Alava, Mónica Hernández, Allan J Wailoo, and Roberta Ara. 2012. “Tails from the Peak District: Adjusted Limited Dependent Variable Mixture Models of Eq-5D Questionnaire Health State Utility Values.”</w:t>
      </w:r>
      <w:r>
        <w:t xml:space="preserve"> </w:t>
      </w:r>
      <w:r>
        <w:rPr>
          <w:i/>
        </w:rPr>
        <w:t xml:space="preserve">Value in Health</w:t>
      </w:r>
      <w:r>
        <w:t xml:space="preserve"> </w:t>
      </w:r>
      <w:r>
        <w:t xml:space="preserve">15 (3). Elsevier: 550–61.</w:t>
      </w:r>
    </w:p>
    <w:p>
      <w:pPr>
        <w:pStyle w:val="Bibliography"/>
      </w:pPr>
      <w:r>
        <w:t xml:space="preserve">Alava, Mónica Hernández, Allan Wailoo, Fred Wolfe, and Kaleb Michaud. 2013. “The Relationship Between Eq-5D, Haq and Pain in Patients with Rheumatoid Arthritis.”</w:t>
      </w:r>
      <w:r>
        <w:t xml:space="preserve"> </w:t>
      </w:r>
      <w:r>
        <w:rPr>
          <w:i/>
        </w:rPr>
        <w:t xml:space="preserve">Rheumatology</w:t>
      </w:r>
      <w:r>
        <w:t xml:space="preserve"> </w:t>
      </w:r>
      <w:r>
        <w:t xml:space="preserve">52 (5). Br Soc Rheumatology: 944–50.</w:t>
      </w:r>
    </w:p>
    <w:p>
      <w:pPr>
        <w:pStyle w:val="Bibliography"/>
      </w:pPr>
      <w:r>
        <w:t xml:space="preserve">Aletaha, D, and J Smolen. 2005. “The Simplified Disease Activity Index (Sdai) and the Clinical Disease Activity Index (Cdai): A Review of Their Usefulness and Validity in Rheumatoid Arthritis.”</w:t>
      </w:r>
      <w:r>
        <w:t xml:space="preserve"> </w:t>
      </w:r>
      <w:r>
        <w:rPr>
          <w:i/>
        </w:rPr>
        <w:t xml:space="preserve">Clinical and Experimental Rheumatology</w:t>
      </w:r>
      <w:r>
        <w:t xml:space="preserve"> </w:t>
      </w:r>
      <w:r>
        <w:t xml:space="preserve">23 (5). CLINICAL AND EXPERIMENTAL RHEUMATOLOGY SAS: S100.</w:t>
      </w:r>
    </w:p>
    <w:p>
      <w:pPr>
        <w:pStyle w:val="Bibliography"/>
      </w:pPr>
      <w:r>
        <w:t xml:space="preserve">Aletaha, Daniel, Valerie PK Nell, Tanja Stamm, Martin Uffmann, Stephan Pflugbeil, Klaus Machold, and Josef S Smolen. 2005. “Acute Phase Reactants Add Little to Composite Disease Activity Indices for Rheumatoid Arthritis: Validation of a Clinical Activity Score.”</w:t>
      </w:r>
      <w:r>
        <w:t xml:space="preserve"> </w:t>
      </w:r>
      <w:r>
        <w:rPr>
          <w:i/>
        </w:rPr>
        <w:t xml:space="preserve">Arthritis Research &amp; Therapy</w:t>
      </w:r>
      <w:r>
        <w:t xml:space="preserve"> </w:t>
      </w:r>
      <w:r>
        <w:t xml:space="preserve">7 (4). BioMed Central: R796.</w:t>
      </w:r>
    </w:p>
    <w:p>
      <w:pPr>
        <w:pStyle w:val="Bibliography"/>
      </w:pPr>
      <w:r>
        <w:t xml:space="preserve">Anderson, Jaclyn, Liron Caplan, Jinoos Yazdany, Mark L Robbins, Tuhina Neogi, Kaleb Michaud, Kenneth G Saag, James R O’dell, and Salahuddin Kazi. 2012. “Rheumatoid Arthritis Disease Activity Measures: American College of Rheumatology Recommendations for Use in Clinical Practice.”</w:t>
      </w:r>
      <w:r>
        <w:t xml:space="preserve"> </w:t>
      </w:r>
      <w:r>
        <w:rPr>
          <w:i/>
        </w:rPr>
        <w:t xml:space="preserve">Arthritis Care &amp; Research</w:t>
      </w:r>
      <w:r>
        <w:t xml:space="preserve"> </w:t>
      </w:r>
      <w:r>
        <w:t xml:space="preserve">64 (5). Wiley Online Library: 640–47.</w:t>
      </w:r>
    </w:p>
    <w:p>
      <w:pPr>
        <w:pStyle w:val="Bibliography"/>
      </w:pPr>
      <w:r>
        <w:t xml:space="preserve">Arias, Elizabeth. 2015. “United States Life Tables, 2011.”</w:t>
      </w:r>
      <w:r>
        <w:t xml:space="preserve"> </w:t>
      </w:r>
      <w:r>
        <w:rPr>
          <w:i/>
        </w:rPr>
        <w:t xml:space="preserve">National Vital Statistics Reports: From the Centers for Disease Control and Prevention, National Center for Health Statistics, National Vital Statistics System</w:t>
      </w:r>
      <w:r>
        <w:t xml:space="preserve"> </w:t>
      </w:r>
      <w:r>
        <w:t xml:space="preserve">64 (11): 1–62.</w:t>
      </w:r>
    </w:p>
    <w:p>
      <w:pPr>
        <w:pStyle w:val="Bibliography"/>
      </w:pPr>
      <w:r>
        <w:t xml:space="preserve">Athanasakis, Kostas, Filippos Tarantilis, Konstantina Tsalapati, Thomais Konstantopoulou, Eleni Vritzali, and John Kyriopoulos. 2015. “Cost-Utility Analysis of Tocilizumab Monotherapy in First Line Versus Standard of Care for the Treatment of Rheumatoid Arthritis in Greece.”</w:t>
      </w:r>
      <w:r>
        <w:t xml:space="preserve"> </w:t>
      </w:r>
      <w:r>
        <w:rPr>
          <w:i/>
        </w:rPr>
        <w:t xml:space="preserve">Rheumatology International</w:t>
      </w:r>
      <w:r>
        <w:t xml:space="preserve"> </w:t>
      </w:r>
      <w:r>
        <w:t xml:space="preserve">35 (9). Springer: 1489–95.</w:t>
      </w:r>
    </w:p>
    <w:p>
      <w:pPr>
        <w:pStyle w:val="Bibliography"/>
      </w:pPr>
      <w:r>
        <w:t xml:space="preserve">Baio, Gianluca, and A Philip Dawid. 2015. “Probabilistic Sensitivity Analysis in Health Economics.”</w:t>
      </w:r>
      <w:r>
        <w:t xml:space="preserve"> </w:t>
      </w:r>
      <w:r>
        <w:rPr>
          <w:i/>
        </w:rPr>
        <w:t xml:space="preserve">Statistical Methods in Medical Research</w:t>
      </w:r>
      <w:r>
        <w:t xml:space="preserve"> </w:t>
      </w:r>
      <w:r>
        <w:t xml:space="preserve">24 (6). SAGE Publications Sage UK: London, England: 615–34.</w:t>
      </w:r>
    </w:p>
    <w:p>
      <w:pPr>
        <w:pStyle w:val="Bibliography"/>
      </w:pPr>
      <w:r>
        <w:t xml:space="preserve">Basu, Anirban, and David Meltzer. 2007. “Value of Information on Preference Heterogeneity and Individualized Care.”</w:t>
      </w:r>
      <w:r>
        <w:t xml:space="preserve"> </w:t>
      </w:r>
      <w:r>
        <w:rPr>
          <w:i/>
        </w:rPr>
        <w:t xml:space="preserve">Medical Decision Making</w:t>
      </w:r>
      <w:r>
        <w:t xml:space="preserve"> </w:t>
      </w:r>
      <w:r>
        <w:t xml:space="preserve">27 (2). Sage Publications Sage CA: Los Angeles, CA: 112–27.</w:t>
      </w:r>
    </w:p>
    <w:p>
      <w:pPr>
        <w:pStyle w:val="Bibliography"/>
      </w:pPr>
      <w:r>
        <w:t xml:space="preserve">Bojke, Laura, Karl Claxton, Mark Sculpher, and Stephen Palmer. 2009. “Characterizing Structural Uncertainty in Decision Analytic Models: A Review and Application of Methods.”</w:t>
      </w:r>
      <w:r>
        <w:t xml:space="preserve"> </w:t>
      </w:r>
      <w:r>
        <w:rPr>
          <w:i/>
        </w:rPr>
        <w:t xml:space="preserve">Value in Health</w:t>
      </w:r>
      <w:r>
        <w:t xml:space="preserve"> </w:t>
      </w:r>
      <w:r>
        <w:t xml:space="preserve">12 (5). Elsevier: 739–49.</w:t>
      </w:r>
    </w:p>
    <w:p>
      <w:pPr>
        <w:pStyle w:val="Bibliography"/>
      </w:pPr>
      <w:r>
        <w:t xml:space="preserve">Brennan, A, N Bansback, A Reynolds, and P Conway. 2003. “Modelling the Cost-Effectiveness of Etanercept in Adults with Rheumatoid Arthritis in the Uk.”</w:t>
      </w:r>
      <w:r>
        <w:t xml:space="preserve"> </w:t>
      </w:r>
      <w:r>
        <w:rPr>
          <w:i/>
        </w:rPr>
        <w:t xml:space="preserve">Rheumatology</w:t>
      </w:r>
      <w:r>
        <w:t xml:space="preserve"> </w:t>
      </w:r>
      <w:r>
        <w:t xml:space="preserve">43 (1). Oxford University Press: 62–72.</w:t>
      </w:r>
    </w:p>
    <w:p>
      <w:pPr>
        <w:pStyle w:val="Bibliography"/>
      </w:pPr>
      <w:r>
        <w:t xml:space="preserve">Briggs, Andrew H, Karl Claxton, and Mark J Sculpher. 2006.</w:t>
      </w:r>
      <w:r>
        <w:t xml:space="preserve"> </w:t>
      </w:r>
      <w:r>
        <w:rPr>
          <w:i/>
        </w:rPr>
        <w:t xml:space="preserve">Decision Modelling for Health Economic Evaluation</w:t>
      </w:r>
      <w:r>
        <w:t xml:space="preserve">. Handbooks in Health Economic E.</w:t>
      </w:r>
    </w:p>
    <w:p>
      <w:pPr>
        <w:pStyle w:val="Bibliography"/>
      </w:pPr>
      <w:r>
        <w:t xml:space="preserve">Carlson, Josh J, Sarika Ogale, Fred Dejonckheere, and Sean D Sullivan. 2015. “Economic Evaluation of Tocilizumab Monotherapy Compared to Adalimumab Monotherapy in the Treatment of Severe Active Rheumatoid Arthritis.”</w:t>
      </w:r>
      <w:r>
        <w:t xml:space="preserve"> </w:t>
      </w:r>
      <w:r>
        <w:rPr>
          <w:i/>
        </w:rPr>
        <w:t xml:space="preserve">Value in Health</w:t>
      </w:r>
      <w:r>
        <w:t xml:space="preserve"> </w:t>
      </w:r>
      <w:r>
        <w:t xml:space="preserve">18 (2). Elsevier: 173–79.</w:t>
      </w:r>
    </w:p>
    <w:p>
      <w:pPr>
        <w:pStyle w:val="Bibliography"/>
      </w:pPr>
      <w:r>
        <w:t xml:space="preserve">Claxton, Karl, Mark Sculpher, Chris McCabe, Andrew Briggs, Ron Akehurst, Martin Buxton, John Brazier, and Tony O’Hagan. 2005. “Probabilistic Sensitivity Analysis for Nice Technology Assessment: Not an Optional Extra.”</w:t>
      </w:r>
      <w:r>
        <w:t xml:space="preserve"> </w:t>
      </w:r>
      <w:r>
        <w:rPr>
          <w:i/>
        </w:rPr>
        <w:t xml:space="preserve">Health Economics</w:t>
      </w:r>
      <w:r>
        <w:t xml:space="preserve"> </w:t>
      </w:r>
      <w:r>
        <w:t xml:space="preserve">14 (4). Wiley Online Library: 339–47.</w:t>
      </w:r>
    </w:p>
    <w:p>
      <w:pPr>
        <w:pStyle w:val="Bibliography"/>
      </w:pPr>
      <w:r>
        <w:t xml:space="preserve">Claxton, Lindsay, Michelle Jenks, Matthew Taylor, Gene Wallenstein, Alan M Mendelsohn, Jeffrey A Bourret, Amitabh Singh, Dermot Moynagh, and Robert A Gerber. 2016. “An Economic Evaluation of Tofacitinib Treatment in Rheumatoid Arthritis: Modeling the Cost of Treatment Strategies in the United States.”</w:t>
      </w:r>
      <w:r>
        <w:t xml:space="preserve"> </w:t>
      </w:r>
      <w:r>
        <w:rPr>
          <w:i/>
        </w:rPr>
        <w:t xml:space="preserve">Journal of Managed Care &amp; Specialty Pharmacy</w:t>
      </w:r>
      <w:r>
        <w:t xml:space="preserve"> </w:t>
      </w:r>
      <w:r>
        <w:t xml:space="preserve">22 (9). Academy of Managed Care Pharmacy: 1088–1102.</w:t>
      </w:r>
    </w:p>
    <w:p>
      <w:pPr>
        <w:pStyle w:val="Bibliography"/>
      </w:pPr>
      <w:r>
        <w:t xml:space="preserve">Curtis, Jeffrey R, Archana Jain, Johan Askling, S Louis Bridges, Loreto Carmona, William Dixon, Axel Finckh, et al. 2010. “A Comparison of Patient Characteristics and Outcomes in Selected European and Us Rheumatoid Arthritis Registries.” In</w:t>
      </w:r>
      <w:r>
        <w:t xml:space="preserve"> </w:t>
      </w:r>
      <w:r>
        <w:rPr>
          <w:i/>
        </w:rPr>
        <w:t xml:space="preserve">Seminars in Arthritis and Rheumatism</w:t>
      </w:r>
      <w:r>
        <w:t xml:space="preserve">, 40:2–14. 1. Elsevier.</w:t>
      </w:r>
    </w:p>
    <w:p>
      <w:pPr>
        <w:pStyle w:val="Bibliography"/>
      </w:pPr>
      <w:r>
        <w:t xml:space="preserve">Deighton, Chris, Kimme Hyrich, Tina Ding, Jo Ledingham, Mark Lunt, Raashid Luqmani, Patrick Kiely, et al. 2010. “BSR and Bhpr Rheumatoid Arthritis Guidelines on Eligibility Criteria for the First Biological Therapy.”</w:t>
      </w:r>
      <w:r>
        <w:t xml:space="preserve"> </w:t>
      </w:r>
      <w:r>
        <w:rPr>
          <w:i/>
        </w:rPr>
        <w:t xml:space="preserve">Rheumatology</w:t>
      </w:r>
      <w:r>
        <w:t xml:space="preserve"> </w:t>
      </w:r>
      <w:r>
        <w:t xml:space="preserve">49 (6). Oxford University Press: 1197–9.</w:t>
      </w:r>
    </w:p>
    <w:p>
      <w:pPr>
        <w:pStyle w:val="Bibliography"/>
      </w:pPr>
      <w:r>
        <w:t xml:space="preserve">Dias, Sofia, Alex J Sutton, AE Ades, and Nicky J Welton. 2013. “Evidence Synthesis for Decision Making 2: A Generalized Linear Modeling Framework for Pairwise and Network Meta-Analysis of Randomized Controlled Trials.”</w:t>
      </w:r>
      <w:r>
        <w:t xml:space="preserve"> </w:t>
      </w:r>
      <w:r>
        <w:rPr>
          <w:i/>
        </w:rPr>
        <w:t xml:space="preserve">Medical Decision Making</w:t>
      </w:r>
      <w:r>
        <w:t xml:space="preserve"> </w:t>
      </w:r>
      <w:r>
        <w:t xml:space="preserve">33 (5). Sage Publications Sage CA: Los Angeles, CA: 607–17.</w:t>
      </w:r>
    </w:p>
    <w:p>
      <w:pPr>
        <w:pStyle w:val="Bibliography"/>
      </w:pPr>
      <w:r>
        <w:t xml:space="preserve">Drummond, Michael F, Mark J Sculpher, Karl Claxton, Greg L Stoddart, and George W Torrance. 2015.</w:t>
      </w:r>
      <w:r>
        <w:t xml:space="preserve"> </w:t>
      </w:r>
      <w:r>
        <w:rPr>
          <w:i/>
        </w:rPr>
        <w:t xml:space="preserve">Methods for the Economic Evaluation of Health Care Programmes</w:t>
      </w:r>
      <w:r>
        <w:t xml:space="preserve">. Oxford university press.</w:t>
      </w:r>
    </w:p>
    <w:p>
      <w:pPr>
        <w:pStyle w:val="Bibliography"/>
      </w:pPr>
      <w:r>
        <w:t xml:space="preserve">Eddy, David M, William Hollingworth, J Jaime Caro, Joel Tsevat, Kathryn M McDonald, and John B Wong. 2012. “Model Transparency and Validation: A Report of the Ispor-Smdm Modeling Good Research Practices Task Force–7.”</w:t>
      </w:r>
      <w:r>
        <w:t xml:space="preserve"> </w:t>
      </w:r>
      <w:r>
        <w:rPr>
          <w:i/>
        </w:rPr>
        <w:t xml:space="preserve">Medical Decision Making</w:t>
      </w:r>
      <w:r>
        <w:t xml:space="preserve"> </w:t>
      </w:r>
      <w:r>
        <w:t xml:space="preserve">32 (5). Sage Publications Sage CA: Los Angeles, CA: 733–43.</w:t>
      </w:r>
    </w:p>
    <w:p>
      <w:pPr>
        <w:pStyle w:val="Bibliography"/>
      </w:pPr>
      <w:r>
        <w:t xml:space="preserve">Espinoza, Manuel A, Andrea Manca, Karl Claxton, and Mark J Sculpher. 2014. “The Value of Heterogeneity for Cost-Effectiveness Subgroup Analysis: Conceptual Framework and Application.”</w:t>
      </w:r>
      <w:r>
        <w:t xml:space="preserve"> </w:t>
      </w:r>
      <w:r>
        <w:rPr>
          <w:i/>
        </w:rPr>
        <w:t xml:space="preserve">Medical Decision Making</w:t>
      </w:r>
      <w:r>
        <w:t xml:space="preserve"> </w:t>
      </w:r>
      <w:r>
        <w:t xml:space="preserve">34 (8). Sage Publications Sage CA: Los Angeles, CA: 951–64.</w:t>
      </w:r>
    </w:p>
    <w:p>
      <w:pPr>
        <w:pStyle w:val="Bibliography"/>
      </w:pPr>
      <w:r>
        <w:t xml:space="preserve">Garrison, Louis P, Sachin Kamal-Bahl, and Adrian Towse. 2017. “Toward a Broader Concept of Value: Identifying and Defining Elements for an Expanded Cost-Effectiveness Analysis.”</w:t>
      </w:r>
      <w:r>
        <w:t xml:space="preserve"> </w:t>
      </w:r>
      <w:r>
        <w:rPr>
          <w:i/>
        </w:rPr>
        <w:t xml:space="preserve">Value in Health</w:t>
      </w:r>
      <w:r>
        <w:t xml:space="preserve"> </w:t>
      </w:r>
      <w:r>
        <w:t xml:space="preserve">20 (2). Elsevier: 213–16.</w:t>
      </w:r>
    </w:p>
    <w:p>
      <w:pPr>
        <w:pStyle w:val="Bibliography"/>
      </w:pPr>
      <w:r>
        <w:t xml:space="preserve">Gibson, Laura, Monica Hernandez Alava, and Allan Wailoo. 2015. “Progression of Disease in People with Rheumatoid Arthritis Treated with Non Biologic Therapies.”</w:t>
      </w:r>
    </w:p>
    <w:p>
      <w:pPr>
        <w:pStyle w:val="Bibliography"/>
      </w:pPr>
      <w:r>
        <w:t xml:space="preserve">Gomez-Reino, Juan J, and Loreto Carmona. 2006. “Switching Tnf Antagonists in Patients with Chronic Arthritis: An Observational Study of 488 Patients over a Four-Year Period.”</w:t>
      </w:r>
      <w:r>
        <w:t xml:space="preserve"> </w:t>
      </w:r>
      <w:r>
        <w:rPr>
          <w:i/>
        </w:rPr>
        <w:t xml:space="preserve">Arthritis Research &amp; Therapy</w:t>
      </w:r>
      <w:r>
        <w:t xml:space="preserve"> </w:t>
      </w:r>
      <w:r>
        <w:t xml:space="preserve">8 (1). BioMed Central: R29.</w:t>
      </w:r>
    </w:p>
    <w:p>
      <w:pPr>
        <w:pStyle w:val="Bibliography"/>
      </w:pPr>
      <w:r>
        <w:t xml:space="preserve">Guyot, Patricia, AE Ades, Mario JNM Ouwens, and Nicky J Welton. 2012. “Enhanced Secondary Analysis of Survival Data: Reconstructing the Data from Published Kaplan-Meier Survival Curves.”</w:t>
      </w:r>
      <w:r>
        <w:t xml:space="preserve"> </w:t>
      </w:r>
      <w:r>
        <w:rPr>
          <w:i/>
        </w:rPr>
        <w:t xml:space="preserve">BMC Medical Research Methodology</w:t>
      </w:r>
      <w:r>
        <w:t xml:space="preserve"> </w:t>
      </w:r>
      <w:r>
        <w:t xml:space="preserve">12 (1). BioMed Central: 9.</w:t>
      </w:r>
    </w:p>
    <w:p>
      <w:pPr>
        <w:pStyle w:val="Bibliography"/>
      </w:pPr>
      <w:r>
        <w:t xml:space="preserve">Heath, Anna, Ioanna Manolopoulou, and Gianluca Baio. 2016. “Estimating the Expected Value of Partial Perfect Information in Health Economic Evaluations Using Integrated Nested Laplace Approximation.”</w:t>
      </w:r>
      <w:r>
        <w:t xml:space="preserve"> </w:t>
      </w:r>
      <w:r>
        <w:rPr>
          <w:i/>
        </w:rPr>
        <w:t xml:space="preserve">Statistics in Medicine</w:t>
      </w:r>
      <w:r>
        <w:t xml:space="preserve"> </w:t>
      </w:r>
      <w:r>
        <w:t xml:space="preserve">35 (23). Wiley Online Library: 4264–80.</w:t>
      </w:r>
    </w:p>
    <w:p>
      <w:pPr>
        <w:pStyle w:val="Bibliography"/>
      </w:pPr>
      <w:r>
        <w:t xml:space="preserve">Hernández Alava, Mónica, Allan Wailoo, Fred Wolfe, and Kaleb Michaud. 2014. “A Comparison of Direct and Indirect Methods for the Estimation of Health Utilities from Clinical Outcomes.”</w:t>
      </w:r>
      <w:r>
        <w:t xml:space="preserve"> </w:t>
      </w:r>
      <w:r>
        <w:rPr>
          <w:i/>
        </w:rPr>
        <w:t xml:space="preserve">Medical Decision Making</w:t>
      </w:r>
      <w:r>
        <w:t xml:space="preserve"> </w:t>
      </w:r>
      <w:r>
        <w:t xml:space="preserve">34 (7). Sage Publications Sage CA: Los Angeles, CA: 919–30.</w:t>
      </w:r>
    </w:p>
    <w:p>
      <w:pPr>
        <w:pStyle w:val="Bibliography"/>
      </w:pPr>
      <w:r>
        <w:t xml:space="preserve">Institute for Clinical and Economic Review. 2017. “Targeted Immune Modulators for Rheumatoid Arthritis: Effectiveness &amp; Value.”</w:t>
      </w:r>
    </w:p>
    <w:p>
      <w:pPr>
        <w:pStyle w:val="Bibliography"/>
      </w:pPr>
      <w:r>
        <w:t xml:space="preserve">Ioannidis, John PA, and Alan M Garber. 2011. “Individualized Cost-Effectiveness Analysis.”</w:t>
      </w:r>
      <w:r>
        <w:t xml:space="preserve"> </w:t>
      </w:r>
      <w:r>
        <w:rPr>
          <w:i/>
        </w:rPr>
        <w:t xml:space="preserve">PLoS Medicine</w:t>
      </w:r>
      <w:r>
        <w:t xml:space="preserve"> </w:t>
      </w:r>
      <w:r>
        <w:t xml:space="preserve">8 (7). Public Library of Science: e1001058.</w:t>
      </w:r>
    </w:p>
    <w:p>
      <w:pPr>
        <w:pStyle w:val="Bibliography"/>
      </w:pPr>
      <w:r>
        <w:t xml:space="preserve">Jalal, Hawre, Bryan Dowd, François Sainfort, and Karen M Kuntz. 2013. “Linear Regression Metamodeling as a Tool to Summarize and Present Simulation Model Results.”</w:t>
      </w:r>
      <w:r>
        <w:t xml:space="preserve"> </w:t>
      </w:r>
      <w:r>
        <w:rPr>
          <w:i/>
        </w:rPr>
        <w:t xml:space="preserve">Medical Decision Making</w:t>
      </w:r>
      <w:r>
        <w:t xml:space="preserve"> </w:t>
      </w:r>
      <w:r>
        <w:t xml:space="preserve">33 (7). Sage Publications Sage CA: Los Angeles, CA: 880–90.</w:t>
      </w:r>
    </w:p>
    <w:p>
      <w:pPr>
        <w:pStyle w:val="Bibliography"/>
      </w:pPr>
      <w:r>
        <w:t xml:space="preserve">Jalal, Hawre, Jeremy D Goldhaber-Fiebert, and Karen M Kuntz. 2015. “Computing Expected Value of Partial Sample Information from Probabilistic Sensitivity Analysis Using Linear Regression Metamodeling.”</w:t>
      </w:r>
      <w:r>
        <w:t xml:space="preserve"> </w:t>
      </w:r>
      <w:r>
        <w:rPr>
          <w:i/>
        </w:rPr>
        <w:t xml:space="preserve">Medical Decision Making</w:t>
      </w:r>
      <w:r>
        <w:t xml:space="preserve"> </w:t>
      </w:r>
      <w:r>
        <w:t xml:space="preserve">35 (5). SAGE Publications Sage CA: Los Angeles, CA: 584–95.</w:t>
      </w:r>
    </w:p>
    <w:p>
      <w:pPr>
        <w:pStyle w:val="Bibliography"/>
      </w:pPr>
      <w:r>
        <w:t xml:space="preserve">Keeney, Ralph L, and Howard Raiffa. 1993.</w:t>
      </w:r>
      <w:r>
        <w:t xml:space="preserve"> </w:t>
      </w:r>
      <w:r>
        <w:rPr>
          <w:i/>
        </w:rPr>
        <w:t xml:space="preserve">Decisions with Multiple Objectives: Preferences and Value Trade-Offs</w:t>
      </w:r>
      <w:r>
        <w:t xml:space="preserve">. Cambridge university press.</w:t>
      </w:r>
    </w:p>
    <w:p>
      <w:pPr>
        <w:pStyle w:val="Bibliography"/>
      </w:pPr>
      <w:r>
        <w:t xml:space="preserve">Lakdawalla, Darius, Anup Malani, and Julian Reif. 2017. “The Insurance Value of Medical Innovation.”</w:t>
      </w:r>
      <w:r>
        <w:t xml:space="preserve"> </w:t>
      </w:r>
      <w:r>
        <w:rPr>
          <w:i/>
        </w:rPr>
        <w:t xml:space="preserve">Journal of Public Economics</w:t>
      </w:r>
      <w:r>
        <w:t xml:space="preserve"> </w:t>
      </w:r>
      <w:r>
        <w:t xml:space="preserve">145. Elsevier: 94–102.</w:t>
      </w:r>
    </w:p>
    <w:p>
      <w:pPr>
        <w:pStyle w:val="Bibliography"/>
      </w:pPr>
      <w:r>
        <w:t xml:space="preserve">Madan, Jason, Tony Ades, Pelham Barton, Laura Bojke, Ernest Choy, Philip Helliwell, Paresh Jobanputra, et al. 2015. “Consensus Decision Models for Biologics in Rheumatoid and Psoriatic Arthritis: Recommendations of a Multidisciplinary Working Party.”</w:t>
      </w:r>
      <w:r>
        <w:t xml:space="preserve"> </w:t>
      </w:r>
      <w:r>
        <w:rPr>
          <w:i/>
        </w:rPr>
        <w:t xml:space="preserve">Rheumatology and Therapy</w:t>
      </w:r>
      <w:r>
        <w:t xml:space="preserve"> </w:t>
      </w:r>
      <w:r>
        <w:t xml:space="preserve">2 (2). Springer: 113–25.</w:t>
      </w:r>
    </w:p>
    <w:p>
      <w:pPr>
        <w:pStyle w:val="Bibliography"/>
      </w:pPr>
      <w:r>
        <w:t xml:space="preserve">Meltzer, David O, Peter C Smith, and others. 2011. “Theoretical Issues Relevant to the Economic Evaluation of Health Technologies.”</w:t>
      </w:r>
      <w:r>
        <w:t xml:space="preserve"> </w:t>
      </w:r>
      <w:r>
        <w:rPr>
          <w:i/>
        </w:rPr>
        <w:t xml:space="preserve">Handbook of Health Economics</w:t>
      </w:r>
      <w:r>
        <w:t xml:space="preserve"> </w:t>
      </w:r>
      <w:r>
        <w:t xml:space="preserve">2. Elsevier New York: 433–69.</w:t>
      </w:r>
    </w:p>
    <w:p>
      <w:pPr>
        <w:pStyle w:val="Bibliography"/>
      </w:pPr>
      <w:r>
        <w:t xml:space="preserve">Michaud, Kaleb, Montserrat Vera-Llonch, and Gerry Oster. 2012. “Mortality Risk by Functional Status and Health-Related Quality of Life in Patients with Rheumatoid Arthritis.”</w:t>
      </w:r>
      <w:r>
        <w:t xml:space="preserve"> </w:t>
      </w:r>
      <w:r>
        <w:rPr>
          <w:i/>
        </w:rPr>
        <w:t xml:space="preserve">The Journal of Rheumatology</w:t>
      </w:r>
      <w:r>
        <w:t xml:space="preserve"> </w:t>
      </w:r>
      <w:r>
        <w:t xml:space="preserve">39 (1). The Journal of Rheumatology: 54–59.</w:t>
      </w:r>
    </w:p>
    <w:p>
      <w:pPr>
        <w:pStyle w:val="Bibliography"/>
      </w:pPr>
      <w:r>
        <w:t xml:space="preserve">Michaud, Kaleb, Gene Wallenstein, and Frederick Wolfe. 2011. “Treatment and Nontreatment Predictors of Health Assessment Questionnaire Disability Progression in Rheumatoid Arthritis: A Longitudinal Study of 18,485 Patients.”</w:t>
      </w:r>
      <w:r>
        <w:t xml:space="preserve"> </w:t>
      </w:r>
      <w:r>
        <w:rPr>
          <w:i/>
        </w:rPr>
        <w:t xml:space="preserve">Arthritis Care &amp; Research</w:t>
      </w:r>
      <w:r>
        <w:t xml:space="preserve"> </w:t>
      </w:r>
      <w:r>
        <w:t xml:space="preserve">63 (3). Wiley Online Library: 366–72.</w:t>
      </w:r>
    </w:p>
    <w:p>
      <w:pPr>
        <w:pStyle w:val="Bibliography"/>
      </w:pPr>
      <w:r>
        <w:t xml:space="preserve">Norton, Sam, Bo Fu, David L Scott, Chris Deighton, Deborah PM Symmons, Allan J Wailoo, Jonathan Tosh, et al. 2014. “Health Assessment Questionnaire Disability Progression in Early Rheumatoid Arthritis: Systematic Review and Analysis of Two Inception Cohorts.” In</w:t>
      </w:r>
      <w:r>
        <w:t xml:space="preserve"> </w:t>
      </w:r>
      <w:r>
        <w:rPr>
          <w:i/>
        </w:rPr>
        <w:t xml:space="preserve">Seminars in Arthritis and Rheumatism</w:t>
      </w:r>
      <w:r>
        <w:t xml:space="preserve">, 44:131–44. 2. Elsevier.</w:t>
      </w:r>
    </w:p>
    <w:p>
      <w:pPr>
        <w:pStyle w:val="Bibliography"/>
      </w:pPr>
      <w:r>
        <w:t xml:space="preserve">Norton, Sam, Amanda Sacker, Josh Dixey, John Done, Peter Williams, and Adam Young. 2013. “Trajectories of Functional Limitation in Early Rheumatoid Arthritis and Their Association with Mortality.”</w:t>
      </w:r>
      <w:r>
        <w:t xml:space="preserve"> </w:t>
      </w:r>
      <w:r>
        <w:rPr>
          <w:i/>
        </w:rPr>
        <w:t xml:space="preserve">Rheumatology</w:t>
      </w:r>
      <w:r>
        <w:t xml:space="preserve">. Br Soc Rheumatology, ket253.</w:t>
      </w:r>
    </w:p>
    <w:p>
      <w:pPr>
        <w:pStyle w:val="Bibliography"/>
      </w:pPr>
      <w:r>
        <w:t xml:space="preserve">Oppong, Raymond, Billingsley Kaambwa, Jacqueline Nuttall, Kerenza Hood, Richard D Smith, and Joanna Coast. 2013. “The Impact of Using Different Tariffs to Value Eq-5D Health State Descriptions: An Example from a Study of Acute Cough/Lower Respiratory Tract Infections in Seven Countries.”</w:t>
      </w:r>
      <w:r>
        <w:t xml:space="preserve"> </w:t>
      </w:r>
      <w:r>
        <w:rPr>
          <w:i/>
        </w:rPr>
        <w:t xml:space="preserve">The European Journal of Health Economics</w:t>
      </w:r>
      <w:r>
        <w:t xml:space="preserve"> </w:t>
      </w:r>
      <w:r>
        <w:t xml:space="preserve">14 (2). Springer: 197–209.</w:t>
      </w:r>
    </w:p>
    <w:p>
      <w:pPr>
        <w:pStyle w:val="Bibliography"/>
      </w:pPr>
      <w:r>
        <w:t xml:space="preserve">Pan, Sophie Martin Du, Silvia Dehler, Adrian Ciurea, Hans-Rudolf Ziswiler, Cem Gabay, and Axel Finckh. 2009. “Comparison of Drug Retention Rates and Causes of Drug Discontinuation Between Anti–tumor Necrosis Factor Agents in Rheumatoid Arthritis.”</w:t>
      </w:r>
      <w:r>
        <w:t xml:space="preserve"> </w:t>
      </w:r>
      <w:r>
        <w:rPr>
          <w:i/>
        </w:rPr>
        <w:t xml:space="preserve">Arthritis Care &amp; Research</w:t>
      </w:r>
      <w:r>
        <w:t xml:space="preserve"> </w:t>
      </w:r>
      <w:r>
        <w:t xml:space="preserve">61 (5). Wiley Online Library: 560–68.</w:t>
      </w:r>
    </w:p>
    <w:p>
      <w:pPr>
        <w:pStyle w:val="Bibliography"/>
      </w:pPr>
      <w:r>
        <w:t xml:space="preserve">Prevoo, MLL, MA Van’t Hof, HH Kuper, MA Van Leeuwen, LBA Van De Putte, and PLCM Van Riel. 1995. “Modified Disease Activity Scores That Include Twenty-Eight-Joint Counts Development and Validation in a Prospective Longitudinal Study of Patients with Rheumatoid Arthritis.”</w:t>
      </w:r>
      <w:r>
        <w:t xml:space="preserve"> </w:t>
      </w:r>
      <w:r>
        <w:rPr>
          <w:i/>
        </w:rPr>
        <w:t xml:space="preserve">Arthritis &amp; Rheumatology</w:t>
      </w:r>
      <w:r>
        <w:t xml:space="preserve"> </w:t>
      </w:r>
      <w:r>
        <w:t xml:space="preserve">38 (1). Wiley Online Library: 44–48.</w:t>
      </w:r>
    </w:p>
    <w:p>
      <w:pPr>
        <w:pStyle w:val="Bibliography"/>
      </w:pPr>
      <w:r>
        <w:t xml:space="preserve">Ramiro, Sofia, Alexandre Sepriano, Katerina Chatzidionysiou, Jackie L Nam, Josef S Smolen, Désirée van der Heijde, Maxime Dougados, et al. 2017. “Safety of Synthetic and Biological Dmards: A Systematic Literature Review Informing the 2016 Update of the Eular Recommendations for Management of Rheumatoid Arthritis.”</w:t>
      </w:r>
      <w:r>
        <w:t xml:space="preserve"> </w:t>
      </w:r>
      <w:r>
        <w:rPr>
          <w:i/>
        </w:rPr>
        <w:t xml:space="preserve">Annals of the Rheumatic Diseases</w:t>
      </w:r>
      <w:r>
        <w:t xml:space="preserve">. BMJ Publishing Group Ltd, annrheumdis–2016.</w:t>
      </w:r>
    </w:p>
    <w:p>
      <w:pPr>
        <w:pStyle w:val="Bibliography"/>
      </w:pPr>
      <w:r>
        <w:t xml:space="preserve">Sanders, Gillian D, Peter J Neumann, Anirban Basu, Dan W Brock, David Feeny, Murray Krahn, Karen M Kuntz, et al. 2016. “Recommendations for Conduct, Methodological Practices, and Reporting of Cost-Effectiveness Analyses: Second Panel on Cost-Effectiveness in Health and Medicine.”</w:t>
      </w:r>
      <w:r>
        <w:t xml:space="preserve"> </w:t>
      </w:r>
      <w:r>
        <w:rPr>
          <w:i/>
        </w:rPr>
        <w:t xml:space="preserve">Jama</w:t>
      </w:r>
      <w:r>
        <w:t xml:space="preserve"> </w:t>
      </w:r>
      <w:r>
        <w:t xml:space="preserve">316 (10). American Medical Association: 1093–1103.</w:t>
      </w:r>
    </w:p>
    <w:p>
      <w:pPr>
        <w:pStyle w:val="Bibliography"/>
      </w:pPr>
      <w:r>
        <w:t xml:space="preserve">Sarzi-Puttini, Piercarlo, Tania Fiorini, Benedetta Panni, Maurizio Turiel, Marco Cazzola, and Fabiola Atzeni. 2002. “Correlation of the Score for Subjective Pain with Physical Disability, Clinical and Radiographic Scores in Recent Onset Rheumatoid Arthritis.”</w:t>
      </w:r>
      <w:r>
        <w:t xml:space="preserve"> </w:t>
      </w:r>
      <w:r>
        <w:rPr>
          <w:i/>
        </w:rPr>
        <w:t xml:space="preserve">BMC Musculoskeletal Disorders</w:t>
      </w:r>
      <w:r>
        <w:t xml:space="preserve"> </w:t>
      </w:r>
      <w:r>
        <w:t xml:space="preserve">3 (1). BioMed Central: 18.</w:t>
      </w:r>
    </w:p>
    <w:p>
      <w:pPr>
        <w:pStyle w:val="Bibliography"/>
      </w:pPr>
      <w:r>
        <w:t xml:space="preserve">Singh, Jasvinder A, Kenneth G Saag, S Louis Bridges, Elie A Akl, Raveendhara R Bannuru, Matthew C Sullivan, Elizaveta Vaysbrot, et al. 2016. “2015 American College of Rheumatology Guideline for the Treatment of Rheumatoid Arthritis.”</w:t>
      </w:r>
      <w:r>
        <w:t xml:space="preserve"> </w:t>
      </w:r>
      <w:r>
        <w:rPr>
          <w:i/>
        </w:rPr>
        <w:t xml:space="preserve">Arthritis &amp; Rheumatology</w:t>
      </w:r>
      <w:r>
        <w:t xml:space="preserve"> </w:t>
      </w:r>
      <w:r>
        <w:t xml:space="preserve">68 (1). Wiley Online Library: 1–26.</w:t>
      </w:r>
    </w:p>
    <w:p>
      <w:pPr>
        <w:pStyle w:val="Bibliography"/>
      </w:pPr>
      <w:r>
        <w:t xml:space="preserve">Singh, Jasvinder A, George A Wells, Robin Christensen, Elizabeth Tanjong Ghogomu, Lara J Maxwell, John K MacDonald, Graziella Filippini, et al. 2011. “Adverse Effects of Biologics: A Network Meta-Analysis and Cochrane Overview.”</w:t>
      </w:r>
      <w:r>
        <w:t xml:space="preserve"> </w:t>
      </w:r>
      <w:r>
        <w:rPr>
          <w:i/>
        </w:rPr>
        <w:t xml:space="preserve">The Cochrane Library</w:t>
      </w:r>
      <w:r>
        <w:t xml:space="preserve">. Wiley Online Library.</w:t>
      </w:r>
    </w:p>
    <w:p>
      <w:pPr>
        <w:pStyle w:val="Bibliography"/>
      </w:pPr>
      <w:r>
        <w:t xml:space="preserve">Smolen, JS, FC Breedveld, MH Schiff, JR Kalden, P Emery, G Eberl, PL Van Riel, and P Tugwell. 2003. “A Simplified Disease Activity Index for Rheumatoid Arthritis for Use in Clinical Practice.”</w:t>
      </w:r>
      <w:r>
        <w:t xml:space="preserve"> </w:t>
      </w:r>
      <w:r>
        <w:rPr>
          <w:i/>
        </w:rPr>
        <w:t xml:space="preserve">Rheumatology</w:t>
      </w:r>
      <w:r>
        <w:t xml:space="preserve"> </w:t>
      </w:r>
      <w:r>
        <w:t xml:space="preserve">42 (2). Oxford University Press: 244–57.</w:t>
      </w:r>
    </w:p>
    <w:p>
      <w:pPr>
        <w:pStyle w:val="Bibliography"/>
      </w:pPr>
      <w:r>
        <w:t xml:space="preserve">Souto, Alejandro, José Ramón Maneiro, and Juan J Gómez-Reino. 2015. “Rate of Discontinuation and Drug Survival of Biologic Therapies in Rheumatoid Arthritis: A Systematic Review and Meta-Analysis of Drug Registries and Health Care Databases.”</w:t>
      </w:r>
      <w:r>
        <w:t xml:space="preserve"> </w:t>
      </w:r>
      <w:r>
        <w:rPr>
          <w:i/>
        </w:rPr>
        <w:t xml:space="preserve">Rheumatology</w:t>
      </w:r>
      <w:r>
        <w:t xml:space="preserve"> </w:t>
      </w:r>
      <w:r>
        <w:t xml:space="preserve">55 (3). Oxford University Press: 523–34.</w:t>
      </w:r>
    </w:p>
    <w:p>
      <w:pPr>
        <w:pStyle w:val="Bibliography"/>
      </w:pPr>
      <w:r>
        <w:t xml:space="preserve">Stephens, Stephanie, Marc F Botteman, Mary A Cifaldi, and Ben A van Hout. 2015. “Modelling the Cost-Effectiveness of Combination Therapy for Early, Rapidly Progressing Rheumatoid Arthritis by Simulating the Reversible and Irreversible Effects of the Disease.”</w:t>
      </w:r>
      <w:r>
        <w:t xml:space="preserve"> </w:t>
      </w:r>
      <w:r>
        <w:rPr>
          <w:i/>
        </w:rPr>
        <w:t xml:space="preserve">BMJ Open</w:t>
      </w:r>
      <w:r>
        <w:t xml:space="preserve"> </w:t>
      </w:r>
      <w:r>
        <w:t xml:space="preserve">5 (6). British Medical Journal Publishing Group: e006560.</w:t>
      </w:r>
    </w:p>
    <w:p>
      <w:pPr>
        <w:pStyle w:val="Bibliography"/>
      </w:pPr>
      <w:r>
        <w:t xml:space="preserve">Stevenson, Matt D, Allan J Wailoo, Jonathan C Tosh, Monica Hernandez-Alava, Laura A Gibson, John W Stevens, Rachel J Archer, et al. 2017. “The Cost-Effectiveness of Sequences of Biological Disease-Modifying Antirheumatic Drug Treatment in England for Patients with Rheumatoid Arthritis Who Can Tolerate Methotrexate.”</w:t>
      </w:r>
      <w:r>
        <w:t xml:space="preserve"> </w:t>
      </w:r>
      <w:r>
        <w:rPr>
          <w:i/>
        </w:rPr>
        <w:t xml:space="preserve">The Journal of Rheumatology</w:t>
      </w:r>
      <w:r>
        <w:t xml:space="preserve">. The Journal of Rheumatology, jrheum–160941.</w:t>
      </w:r>
    </w:p>
    <w:p>
      <w:pPr>
        <w:pStyle w:val="Bibliography"/>
      </w:pPr>
      <w:r>
        <w:t xml:space="preserve">Stevenson, Matt, Rachel Archer, Jon Tosh, Emma Simpson, Emma Everson-Hock, John Stevens, Monica Hernandez-Alava, et al. 2016. “Adalimumab, Etanercept, Infliximab, Certolizumab Pegol, Golimumab, Tocilizumab and Abatacept for the Treatment of Rheumatoid Arthritis Not Previously Treated with Disease-Modifying Antirheumatic Drugs and After the Failure of Conventional Disease-Modifying Antirheumatic Drugs Only: Systematic Review and Economic Evaluation.”</w:t>
      </w:r>
      <w:r>
        <w:t xml:space="preserve"> </w:t>
      </w:r>
      <w:r>
        <w:rPr>
          <w:i/>
        </w:rPr>
        <w:t xml:space="preserve">Health Technology Assessment</w:t>
      </w:r>
      <w:r>
        <w:t xml:space="preserve"> </w:t>
      </w:r>
      <w:r>
        <w:t xml:space="preserve">20 (35). NIHR Health Technology Assessment Programme: 1–610.</w:t>
      </w:r>
    </w:p>
    <w:p>
      <w:pPr>
        <w:pStyle w:val="Bibliography"/>
      </w:pPr>
      <w:r>
        <w:t xml:space="preserve">Strand, V, S Williams, PSJ Miller, K Saunders, S Grant, and JM Kremer. 2013. “OP0064 Discontinuation of Biologic Therapy in Rheumatoid Arthritis (Ra): Analysis from the Consortium of Rheumatology Researchers of North America (Corrona) Database.”</w:t>
      </w:r>
      <w:r>
        <w:t xml:space="preserve"> </w:t>
      </w:r>
      <w:r>
        <w:rPr>
          <w:i/>
        </w:rPr>
        <w:t xml:space="preserve">Annals of the Rheumatic Diseases</w:t>
      </w:r>
      <w:r>
        <w:t xml:space="preserve"> </w:t>
      </w:r>
      <w:r>
        <w:t xml:space="preserve">72 (Suppl 3). BMJ Publishing Group Ltd: A71–A72.</w:t>
      </w:r>
    </w:p>
    <w:p>
      <w:pPr>
        <w:pStyle w:val="Bibliography"/>
      </w:pPr>
      <w:r>
        <w:t xml:space="preserve">Thokala, Praveen, and Alejandra Duenas. 2012. “Multiple Criteria Decision Analysis for Health Technology Assessment.”</w:t>
      </w:r>
      <w:r>
        <w:t xml:space="preserve"> </w:t>
      </w:r>
      <w:r>
        <w:rPr>
          <w:i/>
        </w:rPr>
        <w:t xml:space="preserve">Value in Health</w:t>
      </w:r>
      <w:r>
        <w:t xml:space="preserve"> </w:t>
      </w:r>
      <w:r>
        <w:t xml:space="preserve">15 (8). Elsevier: 1172–81.</w:t>
      </w:r>
    </w:p>
    <w:p>
      <w:pPr>
        <w:pStyle w:val="Bibliography"/>
      </w:pPr>
      <w:r>
        <w:t xml:space="preserve">Tosh, Jonathan, Alan Brennan, Allan Wailoo, and Nick Bansback. 2011. “The Sheffield Rheumatoid Arthritis Health Economic Model.”</w:t>
      </w:r>
      <w:r>
        <w:t xml:space="preserve"> </w:t>
      </w:r>
      <w:r>
        <w:rPr>
          <w:i/>
        </w:rPr>
        <w:t xml:space="preserve">Rheumatology</w:t>
      </w:r>
      <w:r>
        <w:t xml:space="preserve"> </w:t>
      </w:r>
      <w:r>
        <w:t xml:space="preserve">50 (suppl 4). Br Soc Rheumatology: iv26–iv31.</w:t>
      </w:r>
    </w:p>
    <w:p>
      <w:pPr>
        <w:pStyle w:val="Bibliography"/>
      </w:pPr>
      <w:r>
        <w:t xml:space="preserve">Wailoo, A, A Brennan, N Bansback, R Nixon, F Wolfe, and K Michaud. 2006. “Modeling the Cost Effectiveness of Etanercept, Adalimumab and Anakinra Compared to Infliximab in the Treatment of Patients with Rheumatoid Arthritis in the Medicare Program.”</w:t>
      </w:r>
      <w:r>
        <w:t xml:space="preserve"> </w:t>
      </w:r>
      <w:r>
        <w:rPr>
          <w:i/>
        </w:rPr>
        <w:t xml:space="preserve">Rockville, MD: Agency for Healthcare Research and Quality</w:t>
      </w:r>
      <w:r>
        <w:t xml:space="preserve">.</w:t>
      </w:r>
    </w:p>
    <w:p>
      <w:pPr>
        <w:pStyle w:val="Bibliography"/>
      </w:pPr>
      <w:r>
        <w:t xml:space="preserve">Wailoo, Allan J, Nick Bansback, Alan Brennan, Kaleb Michaud, Richard M Nixon, and Fred Wolfe. 2008. “Biologic Drugs for Rheumatoid Arthritis in the Medicare Program: A Cost-Effectiveness Analysis.”</w:t>
      </w:r>
      <w:r>
        <w:t xml:space="preserve"> </w:t>
      </w:r>
      <w:r>
        <w:rPr>
          <w:i/>
        </w:rPr>
        <w:t xml:space="preserve">Arthritis &amp; Rheumatology</w:t>
      </w:r>
      <w:r>
        <w:t xml:space="preserve"> </w:t>
      </w:r>
      <w:r>
        <w:t xml:space="preserve">58 (4). Wiley Online Library: 939–46.</w:t>
      </w:r>
    </w:p>
    <w:p>
      <w:pPr>
        <w:pStyle w:val="Bibliography"/>
      </w:pPr>
      <w:r>
        <w:t xml:space="preserve">Wolfe, Frederick, and Kaleb Michaud. 2010. “The Loss of Health Status in Rheumatoid Arthritis and the Effect of Biologic Therapy: A Longitudinal Observational Study.”</w:t>
      </w:r>
      <w:r>
        <w:t xml:space="preserve"> </w:t>
      </w:r>
      <w:r>
        <w:rPr>
          <w:i/>
        </w:rPr>
        <w:t xml:space="preserve">Arthritis Research &amp; Therapy</w:t>
      </w:r>
      <w:r>
        <w:t xml:space="preserve"> </w:t>
      </w:r>
      <w:r>
        <w:t xml:space="preserve">12 (2). BioMed Central: R35.</w:t>
      </w:r>
    </w:p>
    <w:p>
      <w:pPr>
        <w:pStyle w:val="Bibliography"/>
      </w:pPr>
      <w:r>
        <w:t xml:space="preserve">Wolfe, Frederick, Kaleb Michaud, Hyon K Choi, and Rhys Williams. 2005. “Household Income and Earnings Losses Among 6,396 Persons with Rheumatoid Arthritis.”</w:t>
      </w:r>
      <w:r>
        <w:t xml:space="preserve"> </w:t>
      </w:r>
      <w:r>
        <w:rPr>
          <w:i/>
        </w:rPr>
        <w:t xml:space="preserve">The Journal of Rheumatology</w:t>
      </w:r>
      <w:r>
        <w:t xml:space="preserve"> </w:t>
      </w:r>
      <w:r>
        <w:t xml:space="preserve">32 (10). The Journal of Rheumatology: 1875–83.</w:t>
      </w:r>
    </w:p>
    <w:p>
      <w:pPr>
        <w:pStyle w:val="Bibliography"/>
      </w:pPr>
      <w:r>
        <w:t xml:space="preserve">Wolfe, Frederick, Kaleb Michaud, Olaf Gefeller, and Hyon K Choi. 2003. “Predicting Mortality in Patients with Rheumatoid Arthritis.”</w:t>
      </w:r>
      <w:r>
        <w:t xml:space="preserve"> </w:t>
      </w:r>
      <w:r>
        <w:rPr>
          <w:i/>
        </w:rPr>
        <w:t xml:space="preserve">Arthritis &amp; Rheumatism</w:t>
      </w:r>
      <w:r>
        <w:t xml:space="preserve"> </w:t>
      </w:r>
      <w:r>
        <w:t xml:space="preserve">48 (6). Wiley Online Library: 1530–42.</w:t>
      </w:r>
    </w:p>
    <w:p>
      <w:pPr>
        <w:pStyle w:val="Bibliography"/>
      </w:pPr>
      <w:r>
        <w:t xml:space="preserve">Yazici, Yusuf, Svetlana Krasnokutsky, Jaime P Barnes, Patricia L Hines, Jason Wang, and Lisa Rosenblatt. 2009. “Changing Patterns of Tumor Necrosis Factor Inhibitor Use in 9074 Patients with Rheumatoid Arthritis.”</w:t>
      </w:r>
      <w:r>
        <w:t xml:space="preserve"> </w:t>
      </w:r>
      <w:r>
        <w:rPr>
          <w:i/>
        </w:rPr>
        <w:t xml:space="preserve">The Journal of Rheumatology</w:t>
      </w:r>
      <w:r>
        <w:t xml:space="preserve"> </w:t>
      </w:r>
      <w:r>
        <w:t xml:space="preserve">36 (5). The Journal of Rheumatology: 907–13.</w:t>
      </w:r>
    </w:p>
    <w:p>
      <w:pPr>
        <w:pStyle w:val="Bibliography"/>
      </w:pPr>
      <w:r>
        <w:t xml:space="preserve">Zhang, Jie, Ying Shan, George Reed, Joel Kremer, Jeffrey D Greenberg, Scott Baumgartner, and Jeffrey R Curtis. 2011. “Thresholds in Disease Activity for Switching Biologics in Rheumatoid Arthritis Patients: Experience from a Large Us Cohort.”</w:t>
      </w:r>
      <w:r>
        <w:t xml:space="preserve"> </w:t>
      </w:r>
      <w:r>
        <w:rPr>
          <w:i/>
        </w:rPr>
        <w:t xml:space="preserve">Arthritis Care &amp; Research</w:t>
      </w:r>
      <w:r>
        <w:t xml:space="preserve"> </w:t>
      </w:r>
      <w:r>
        <w:t xml:space="preserve">63 (12). Wiley Online Library: 1672–9.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Innovation</w:t>
        </w:r>
        <w:r>
          <w:rPr>
            <w:rStyle w:val="Hyperlink"/>
          </w:rPr>
          <w:t xml:space="preserve"> </w:t>
        </w:r>
        <w:r>
          <w:rPr>
            <w:rStyle w:val="Hyperlink"/>
          </w:rPr>
          <w:t xml:space="preserve">and</w:t>
        </w:r>
        <w:r>
          <w:rPr>
            <w:rStyle w:val="Hyperlink"/>
          </w:rPr>
          <w:t xml:space="preserve"> </w:t>
        </w:r>
        <w:r>
          <w:rPr>
            <w:rStyle w:val="Hyperlink"/>
          </w:rPr>
          <w:t xml:space="preserve">Value</w:t>
        </w:r>
        <w:r>
          <w:rPr>
            <w:rStyle w:val="Hyperlink"/>
          </w:rPr>
          <w:t xml:space="preserve"> </w:t>
        </w:r>
        <w:r>
          <w:rPr>
            <w:rStyle w:val="Hyperlink"/>
          </w:rPr>
          <w:t xml:space="preserve">Initiative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f0b3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eea6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cbfc6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104" Target="http://mcmc-jags.sourceforge.net/" TargetMode="External" /><Relationship Type="http://schemas.openxmlformats.org/officeDocument/2006/relationships/hyperlink" Id="rId36" Target="http://www.shinyapps.io/" TargetMode="External" /><Relationship Type="http://schemas.openxmlformats.org/officeDocument/2006/relationships/hyperlink" Id="rId22" Target="http://www.thevalueinitiative.org/" TargetMode="External" /><Relationship Type="http://schemas.openxmlformats.org/officeDocument/2006/relationships/hyperlink" Id="rId26" Target="https://cran.r-project.org/" TargetMode="External" /><Relationship Type="http://schemas.openxmlformats.org/officeDocument/2006/relationships/hyperlink" Id="rId25" Target="https://github.com/" TargetMode="External" /><Relationship Type="http://schemas.openxmlformats.org/officeDocument/2006/relationships/hyperlink" Id="rId35" Target="https://github.com/InnovationValueInitiative/IVI-RA" TargetMode="External" /><Relationship Type="http://schemas.openxmlformats.org/officeDocument/2006/relationships/hyperlink" Id="rId37" Target="https://innovationandvalueinitiative.shinyapps.io/ivi-ra/" TargetMode="External" /><Relationship Type="http://schemas.openxmlformats.org/officeDocument/2006/relationships/hyperlink" Id="rId27" Target="https://innovationvalueinitiative.github.io/IVI-RA/index.html" TargetMode="External" /><Relationship Type="http://schemas.openxmlformats.org/officeDocument/2006/relationships/hyperlink" Id="rId92" Target="https://www.statmodel.com" TargetMode="External" /></Relationships>
</file>

<file path=word/_rels/footnotes.xml.rels><?xml version="1.0" encoding="UTF-8"?>
<Relationships xmlns="http://schemas.openxmlformats.org/package/2006/relationships"><Relationship Type="http://schemas.openxmlformats.org/officeDocument/2006/relationships/hyperlink" Id="rId104" Target="http://mcmc-jags.sourceforge.net/" TargetMode="External" /><Relationship Type="http://schemas.openxmlformats.org/officeDocument/2006/relationships/hyperlink" Id="rId36" Target="http://www.shinyapps.io/" TargetMode="External" /><Relationship Type="http://schemas.openxmlformats.org/officeDocument/2006/relationships/hyperlink" Id="rId22" Target="http://www.thevalueinitiative.org/" TargetMode="External" /><Relationship Type="http://schemas.openxmlformats.org/officeDocument/2006/relationships/hyperlink" Id="rId26" Target="https://cran.r-project.org/" TargetMode="External" /><Relationship Type="http://schemas.openxmlformats.org/officeDocument/2006/relationships/hyperlink" Id="rId25" Target="https://github.com/" TargetMode="External" /><Relationship Type="http://schemas.openxmlformats.org/officeDocument/2006/relationships/hyperlink" Id="rId35" Target="https://github.com/InnovationValueInitiative/IVI-RA" TargetMode="External" /><Relationship Type="http://schemas.openxmlformats.org/officeDocument/2006/relationships/hyperlink" Id="rId37" Target="https://innovationandvalueinitiative.shinyapps.io/ivi-ra/" TargetMode="External" /><Relationship Type="http://schemas.openxmlformats.org/officeDocument/2006/relationships/hyperlink" Id="rId27" Target="https://innovationvalueinitiative.github.io/IVI-RA/index.html" TargetMode="External" /><Relationship Type="http://schemas.openxmlformats.org/officeDocument/2006/relationships/hyperlink" Id="rId92" Target="https://www.statmod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Description of the IVI-RA Model v1.0</dc:title>
  <dc:creator>Devin Incerti; Jeroen P. Jansen</dc:creator>
  <dcterms:created xsi:type="dcterms:W3CDTF">2017-08-30T15:41:43Z</dcterms:created>
  <dcterms:modified xsi:type="dcterms:W3CDTF">2017-08-30T15:41:43Z</dcterms:modified>
</cp:coreProperties>
</file>