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1F4E79"/>
          <w:sz w:val="72"/>
          <w:szCs w:val="72"/>
        </w:rPr>
        <w:t xml:space="preserve">ADAAD</w:t>
      </w:r>
    </w:p>
    <w:p>
      <w:pPr>
        <w:spacing w:after="80"/>
        <w:jc w:val="center"/>
      </w:pPr>
      <w:r>
        <w:rPr>
          <w:rFonts w:ascii="Arial" w:cs="Arial" w:eastAsia="Arial" w:hAnsi="Arial"/>
          <w:color w:val="2E75B6"/>
          <w:sz w:val="32"/>
          <w:szCs w:val="32"/>
        </w:rPr>
        <w:t xml:space="preserve">Autonomous Device-Anchored Adaptive Development</w:t>
      </w:r>
    </w:p>
    <w:p>
      <w:pPr>
        <w:spacing w:after="480"/>
        <w:jc w:val="center"/>
      </w:pPr>
      <w:r>
        <w:rPr>
          <w:i/>
          <w:iCs/>
          <w:color w:val="666666"/>
          <w:sz w:val="24"/>
          <w:szCs w:val="24"/>
        </w:rPr>
        <w:t xml:space="preserve">Deep Dive: Thesis, Strategic Value, Practical Tips &amp; Critiques</w:t>
      </w:r>
    </w:p>
    <w:p>
      <w:pPr>
        <w:pBdr>
          <w:bottom w:val="single" w:color="1F4E79" w:sz="4" w:space="1"/>
        </w:pBdr>
        <w:spacing w:after="200"/>
      </w:pPr>
      <w:r>
        <w:t xml:space="preserve"/>
      </w:r>
    </w:p>
    <w:p>
      <w:pPr>
        <w:spacing w:after="80"/>
        <w:jc w:val="center"/>
      </w:pPr>
      <w:r>
        <w:rPr>
          <w:b/>
          <w:bCs/>
          <w:sz w:val="22"/>
          <w:szCs w:val="22"/>
        </w:rPr>
        <w:t xml:space="preserve">InnovativeAI LLC  ·  Dustin L. Reid, Sole Architect</w:t>
      </w:r>
    </w:p>
    <w:p>
      <w:pPr>
        <w:spacing w:after="80"/>
        <w:jc w:val="center"/>
      </w:pPr>
      <w:r>
        <w:rPr>
          <w:color w:val="666666"/>
          <w:sz w:val="20"/>
          <w:szCs w:val="20"/>
        </w:rPr>
        <w:t xml:space="preserve">Version 9.0.0  ·  Phase 65: Emergence  ·  March 13, 2026</w:t>
      </w:r>
    </w:p>
    <w:p>
      <w:pPr>
        <w:spacing w:after="80"/>
        <w:jc w:val="center"/>
      </w:pPr>
      <w:r>
        <w:rPr>
          <w:color w:val="888888"/>
          <w:sz w:val="20"/>
          <w:szCs w:val="20"/>
        </w:rPr>
        <w:t xml:space="preserve">3,960+ Tests  ·  21 Constitutional Rules  ·  65 Phases Complete</w:t>
      </w:r>
    </w:p>
    <w:p>
      <w:r>
        <w:br w:type="page"/>
      </w:r>
    </w:p>
    <w:p>
      <w:pPr>
        <w:pStyle w:val="Heading1"/>
      </w:pPr>
      <w:r>
        <w:t xml:space="preserve">Executive Summary</w:t>
      </w:r>
    </w:p>
    <w:p>
      <w:pPr>
        <w:spacing w:after="160"/>
      </w:pPr>
      <w:r>
        <w:t xml:space="preserve">ADAAD (Autonomous Device-Anchored Adaptive Development) is the world's first production-grade, constitutionally governed software mutation engine. Rather than generating code through prompting, it evolves a living codebase epoch by epoch — with every change cryptographically signed, hash-chained into an append-only ledger, deterministically replayable, and subject to a 21-rule constitutional gate before any mutation can be applied.</w:t>
      </w:r>
    </w:p>
    <w:p>
      <w:pPr>
        <w:spacing w:after="80"/>
      </w:pPr>
      <w:r>
        <w:t xml:space="preserve"/>
      </w:r>
    </w:p>
    <w:p>
      <w:pPr>
        <w:spacing w:after="160"/>
      </w:pPr>
      <w:r>
        <w:t xml:space="preserve">As of v9.0.0 (Phase 65 — Emergence), ADAAD has achieved its first fully autonomous, governed self-improvement cycle: identifying a capability gap, proposing a mutation through an LLM-backed ProposalEngine, clearing all AST safety, sandbox, fitness, and governance checks, applying the patch atomically, and producing cryptographic evidence of the entire process.</w:t>
      </w:r>
    </w:p>
    <w:p>
      <w:pPr>
        <w:spacing w:after="80"/>
      </w:pPr>
      <w:r>
        <w:t xml:space="preserve"/>
      </w:r>
    </w:p>
    <w:p>
      <w:pPr>
        <w:spacing w:after="160"/>
      </w:pPr>
      <w:r>
        <w:t xml:space="preserve">Built by a sole architect in Blackwell, Oklahoma with zero outside funding, ADAAD represents a genuine and rare achievement in AI safety engineering: a working demonstration that autonomous AI capability and non-bypassable human oversight are not adversarial — they are synergistic.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Dimension</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Status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Current Version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9.0.0 (Phase 65 — Emergence)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Architecture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9 evolutionary organs, 14-step ConstitutionalEvolutionLoop</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Constitution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v0.7.0 — 21 rules (16 pre-v2 + 5 GovernanceGateV2)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Test Suite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3,960+ passing tests across 65 phases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Autonomy Level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First autonomous capability evolution completed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Human Gate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All critical sign-offs recorded in governance ledger</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Platform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Python 3.12+, Android/Pydroid3, web, CLI</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License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Apache 2.0 — open source, free to use</w:t>
            </w:r>
          </w:p>
        </w:tc>
      </w:tr>
    </w:tbl>
    <w:p>
      <w:pPr>
        <w:spacing w:after="80"/>
      </w:pPr>
      <w:r>
        <w:t xml:space="preserve"/>
      </w:r>
    </w:p>
    <w:p>
      <w:r>
        <w:br w:type="page"/>
      </w:r>
    </w:p>
    <w:p>
      <w:pPr>
        <w:pStyle w:val="Heading1"/>
      </w:pPr>
      <w:r>
        <w:t xml:space="preserve">Part I — The Thesis</w:t>
      </w:r>
    </w:p>
    <w:p>
      <w:pPr>
        <w:pStyle w:val="Heading2"/>
      </w:pPr>
      <w:r>
        <w:t xml:space="preserve">1.1 The Core Claim</w:t>
      </w:r>
    </w:p>
    <w:p>
      <w:pPr>
        <w:spacing w:after="160"/>
      </w:pPr>
      <w:r>
        <w:t xml:space="preserve">ADAAD's central thesis can be stated precisely: governed autonomous code evolution is both technically achievable and practically safer than ungoverned AI code generation. The word 'governed' is doing the heavy lifting. ADAAD does not argue that AI should have unchecked access to a codebase — it argues the opposite. The governance layer is not a constraint bolted onto autonomy; it is the enabling substrate through which autonomy becomes trustworthy.</w:t>
      </w:r>
    </w:p>
    <w:p>
      <w:pPr>
        <w:spacing w:after="80"/>
      </w:pPr>
      <w:r>
        <w:t xml:space="preserve"/>
      </w:r>
    </w:p>
    <w:p>
      <w:pPr>
        <w:spacing w:after="160"/>
      </w:pPr>
      <w:r>
        <w:t xml:space="preserve">The structural argument is: </w:t>
      </w:r>
      <w:r>
        <w:rPr>
          <w:b/>
          <w:bCs/>
        </w:rPr>
        <w:t xml:space="preserve">the faster and more capable the AI mutation engine becomes, the more essential the governance layer is — and the more valuable the ADAAD architecture becomes. </w:t>
      </w:r>
      <w:r>
        <w:t xml:space="preserve">Autonomy and governance are not in tension here; they scale together.</w:t>
      </w:r>
    </w:p>
    <w:p>
      <w:pPr>
        <w:spacing w:after="80"/>
      </w:pPr>
      <w:r>
        <w:t xml:space="preserve"/>
      </w:r>
    </w:p>
    <w:p>
      <w:pPr>
        <w:pStyle w:val="Heading2"/>
      </w:pPr>
      <w:r>
        <w:t xml:space="preserve">1.2 Why Conventional AI Code Gen Falls Short</w:t>
      </w:r>
    </w:p>
    <w:p>
      <w:pPr>
        <w:spacing w:after="160"/>
      </w:pPr>
      <w:r>
        <w:t xml:space="preserve">Today's AI code tools — Copilot, Cursor, Claude artifacts, GPT-4 code mode — are powerful but stateless. They suggest; humans apply. They have no memory of prior changes, no fitness scoring, no governance, no audit chain, and no rollback mechanism. Every time you ask them to improve code, you are starting from scratch. There is no concept of 'this proposal improved test coverage by 8% last epoch and was in the top quartile of accepted mutations.' There is no constitution. There is no cryptographic lineage.</w:t>
      </w:r>
    </w:p>
    <w:p>
      <w:pPr>
        <w:spacing w:after="80"/>
      </w:pPr>
      <w:r>
        <w:t xml:space="preserve"/>
      </w:r>
    </w:p>
    <w:p>
      <w:pPr>
        <w:spacing w:after="160"/>
      </w:pPr>
      <w:r>
        <w:t xml:space="preserve">The gap ADAAD fills is not 'can AI write code' — that problem is solved. The gap is 'can AI improve code in a governed, auditable, continuous, deterministic, reversible, and constitutionally constrained loop.' That problem was unsolved before ADAAD.</w:t>
      </w:r>
    </w:p>
    <w:p>
      <w:pPr>
        <w:spacing w:after="80"/>
      </w:pPr>
      <w:r>
        <w:t xml:space="preserve"/>
      </w:r>
    </w:p>
    <w:p>
      <w:pPr>
        <w:pStyle w:val="Heading2"/>
      </w:pPr>
      <w:r>
        <w:t xml:space="preserve">1.3 The Biological Metaphor Is Load-Bearing</w:t>
      </w:r>
    </w:p>
    <w:p>
      <w:pPr>
        <w:spacing w:after="160"/>
      </w:pPr>
      <w:r>
        <w:t xml:space="preserve">ADAAD's use of evolutionary biology as an organizing metaphor — epochs, fitness, population, mutation, lineage, niches, epistasis — is not decoration. These concepts from natural selection map precisely onto what is needed for safe autonomous code evolution:</w:t>
      </w:r>
    </w:p>
    <w:p>
      <w:pPr>
        <w:spacing w:after="80"/>
      </w:pPr>
      <w:r>
        <w:t xml:space="preserve"/>
      </w:r>
    </w:p>
    <w:p>
      <w:pPr>
        <w:pStyle w:val="ListParagraph"/>
        <w:numPr>
          <w:ilvl w:val="0"/>
          <w:numId w:val="2"/>
        </w:numPr>
        <w:spacing w:after="80"/>
      </w:pPr>
      <w:r>
        <w:t xml:space="preserve">Epochs enforce a rhythmic, bounded improvement cycle (not runaway continuous mutation).</w:t>
      </w:r>
    </w:p>
    <w:p>
      <w:pPr>
        <w:pStyle w:val="ListParagraph"/>
        <w:numPr>
          <w:ilvl w:val="0"/>
          <w:numId w:val="2"/>
        </w:numPr>
        <w:spacing w:after="80"/>
      </w:pPr>
      <w:r>
        <w:t xml:space="preserve">Population management enforces diversity, preventing premature convergence to local optima.</w:t>
      </w:r>
    </w:p>
    <w:p>
      <w:pPr>
        <w:pStyle w:val="ListParagraph"/>
        <w:numPr>
          <w:ilvl w:val="0"/>
          <w:numId w:val="2"/>
        </w:numPr>
        <w:spacing w:after="80"/>
      </w:pPr>
      <w:r>
        <w:t xml:space="preserve">Fitness scoring creates a measurable, objective, and bounded evaluation signal.</w:t>
      </w:r>
    </w:p>
    <w:p>
      <w:pPr>
        <w:pStyle w:val="ListParagraph"/>
        <w:numPr>
          <w:ilvl w:val="0"/>
          <w:numId w:val="2"/>
        </w:numPr>
        <w:spacing w:after="80"/>
      </w:pPr>
      <w:r>
        <w:t xml:space="preserve">Lineage tracking provides complete provenance — every change is traceable to its ancestors.</w:t>
      </w:r>
    </w:p>
    <w:p>
      <w:pPr>
        <w:pStyle w:val="ListParagraph"/>
        <w:numPr>
          <w:ilvl w:val="0"/>
          <w:numId w:val="2"/>
        </w:numPr>
        <w:spacing w:after="80"/>
      </w:pPr>
      <w:r>
        <w:t xml:space="preserve">Constitutional gates function as evolutionary pressures that cannot be overridden by individual mutations.</w:t>
      </w:r>
    </w:p>
    <w:p>
      <w:pPr>
        <w:spacing w:after="80"/>
      </w:pPr>
      <w:r>
        <w:t xml:space="preserve"/>
      </w:r>
    </w:p>
    <w:p>
      <w:pPr>
        <w:spacing w:after="160"/>
      </w:pPr>
      <w:r>
        <w:t xml:space="preserve">What makes this more than metaphor: the BLX-alpha genetic algorithm in PopulationManager, the UCB1/Thompson bandit selectors, the Page-Hinkley non-stationarity detector, the FitnessEngineV2 with 7 bounded signals — these are all real implementations, not illustrations.</w:t>
      </w:r>
    </w:p>
    <w:p>
      <w:pPr>
        <w:spacing w:after="80"/>
      </w:pPr>
      <w:r>
        <w:t xml:space="preserve"/>
      </w:r>
    </w:p>
    <w:p>
      <w:pPr>
        <w:pStyle w:val="Heading2"/>
      </w:pPr>
      <w:r>
        <w:t xml:space="preserve">1.4 The Constitutional Insight</w:t>
      </w:r>
    </w:p>
    <w:p>
      <w:pPr>
        <w:spacing w:after="160"/>
      </w:pPr>
      <w:r>
        <w:t xml:space="preserve">The single deepest intellectual contribution of ADAAD is its treatment of governance as execution substrate rather than as a safety filter. In conventional AI safety, you build the capability first, then add guards. ADAAD inverts this: the GovernanceGate is the only surface that can approve a mutation. There is no side channel, no override, no exception token that bypasses constitutional evaluation. The architectural invariant is written into code, not just policy: GOV-SOLE-0 — GovernanceGate is the sole mutation approval surface.</w:t>
      </w:r>
    </w:p>
    <w:p>
      <w:pPr>
        <w:spacing w:after="80"/>
      </w:pPr>
      <w:r>
        <w:t xml:space="preserve"/>
      </w:r>
    </w:p>
    <w:p>
      <w:pPr>
        <w:spacing w:after="160"/>
      </w:pPr>
      <w:r>
        <w:t xml:space="preserve">This is not merely elegant engineering. It is a proof of concept for a broader principle: that 'human oversight' need not mean 'human bottleneck.' A well-designed governance architecture can be both rigorous and fast — running 14-step constitutional evaluations in automated pipelines, with humans reserved for the decisions that genuinely require human judgment (tier-0 mutations, phase transitions, capability advancement).</w:t>
      </w:r>
    </w:p>
    <w:p>
      <w:pPr>
        <w:spacing w:after="80"/>
      </w:pPr>
      <w:r>
        <w:t xml:space="preserve"/>
      </w:r>
    </w:p>
    <w:p>
      <w:pPr>
        <w:pStyle w:val="Heading2"/>
      </w:pPr>
      <w:r>
        <w:t xml:space="preserve">1.5 The Earned Autonomy Arc</w:t>
      </w:r>
    </w:p>
    <w:p>
      <w:pPr>
        <w:spacing w:after="160"/>
      </w:pPr>
      <w:r>
        <w:t xml:space="preserve">The 18-month roadmap from Phase 0 (fully manual) to Phase 65 (first autonomous capability evolution) to Phase 66 (direction to be proposed by ArchitectAgent) follows a precise pattern: autonomy is not granted; it is earned through demonstrated, evidenced stability. Each phase transition requires:</w:t>
      </w:r>
    </w:p>
    <w:p>
      <w:pPr>
        <w:spacing w:after="80"/>
      </w:pPr>
      <w:r>
        <w:t xml:space="preserve"/>
      </w:r>
    </w:p>
    <w:p>
      <w:pPr>
        <w:pStyle w:val="ListParagraph"/>
        <w:numPr>
          <w:ilvl w:val="0"/>
          <w:numId w:val="3"/>
        </w:numPr>
        <w:spacing w:after="80"/>
      </w:pPr>
      <w:r>
        <w:t xml:space="preserve">Prior phase demonstrates stability over defined agent generations</w:t>
      </w:r>
    </w:p>
    <w:p>
      <w:pPr>
        <w:pStyle w:val="ListParagraph"/>
        <w:numPr>
          <w:ilvl w:val="0"/>
          <w:numId w:val="3"/>
        </w:numPr>
        <w:spacing w:after="80"/>
      </w:pPr>
      <w:r>
        <w:t xml:space="preserve">All audit chains pass integrity checks</w:t>
      </w:r>
    </w:p>
    <w:p>
      <w:pPr>
        <w:pStyle w:val="ListParagraph"/>
        <w:numPr>
          <w:ilvl w:val="0"/>
          <w:numId w:val="3"/>
        </w:numPr>
        <w:spacing w:after="80"/>
      </w:pPr>
      <w:r>
        <w:t xml:space="preserve">Written human sign-off recorded in governance ledger</w:t>
      </w:r>
    </w:p>
    <w:p>
      <w:pPr>
        <w:spacing w:after="80"/>
      </w:pPr>
      <w:r>
        <w:t xml:space="preserve"/>
      </w:r>
    </w:p>
    <w:p>
      <w:pPr>
        <w:spacing w:after="160"/>
      </w:pPr>
      <w:r>
        <w:t xml:space="preserve">No phase skipping is permitted architecturally. This is the correct model for deploying AI autonomy in high-stakes environments: not 'never', not 'all at once', but 'earned incrementally with cryptographic proof at each step.'</w:t>
      </w:r>
    </w:p>
    <w:p>
      <w:pPr>
        <w:spacing w:after="80"/>
      </w:pPr>
      <w:r>
        <w:t xml:space="preserve"/>
      </w:r>
    </w:p>
    <w:p>
      <w:r>
        <w:br w:type="page"/>
      </w:r>
    </w:p>
    <w:p>
      <w:pPr>
        <w:pStyle w:val="Heading1"/>
      </w:pPr>
      <w:r>
        <w:t xml:space="preserve">Part II — Strategic Value</w:t>
      </w:r>
    </w:p>
    <w:p>
      <w:pPr>
        <w:pStyle w:val="Heading2"/>
      </w:pPr>
      <w:r>
        <w:t xml:space="preserve">2.1 The Capability Stack</w:t>
      </w:r>
    </w:p>
    <w:p>
      <w:pPr>
        <w:spacing w:after="160"/>
      </w:pPr>
      <w:r>
        <w:t xml:space="preserve">ADAAD has assembled a sophisticated capability stack across nine evolutionary organs, each introduced in a dedicated phase: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Organ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Phase</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Capability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Brainstem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57</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ProposalEngine auto-provisioning — LLM-backed mutation generation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Perception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CodeIntelModel — FunctionGraph, HotspotMap, MutationHistory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Identity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59</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CapabilityGraph v2 — 10 bootstrap caps, Tier-0 guard, versioning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Motor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ASTDiffPatch, StaticSafetyScanner, SandboxTournament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Evolution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61</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LineageEngine — 5 niches, epistasis, LINEAGE-STAB-0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Intelligence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FitnessEngineV2 — 7 signals, bounded weights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Judgment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63</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GovernanceGateV2 + Exception Tokens, AST-aware rules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Selfhood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ConstitutionalEvolutionLoop — 14 steps, EpochEvidence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Emergence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65</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First Autonomous Capability Evolution — v9.0.0</w:t>
            </w:r>
          </w:p>
        </w:tc>
      </w:tr>
    </w:tbl>
    <w:p>
      <w:pPr>
        <w:spacing w:after="80"/>
      </w:pPr>
      <w:r>
        <w:t xml:space="preserve"/>
      </w:r>
    </w:p>
    <w:p>
      <w:pPr>
        <w:pStyle w:val="Heading2"/>
      </w:pPr>
      <w:r>
        <w:t xml:space="preserve">2.2 Defensibility Analysis</w:t>
      </w:r>
    </w:p>
    <w:p>
      <w:pPr>
        <w:spacing w:after="160"/>
      </w:pPr>
      <w:r>
        <w:t xml:space="preserve">ADAAD's strategic defensibility rests on several interrelated moats:</w:t>
      </w:r>
    </w:p>
    <w:p>
      <w:pPr>
        <w:spacing w:after="80"/>
      </w:pPr>
      <w:r>
        <w:t xml:space="preserve"/>
      </w:r>
    </w:p>
    <w:p>
      <w:pPr>
        <w:pStyle w:val="Heading3"/>
      </w:pPr>
      <w:r>
        <w:t xml:space="preserve">2.2.1 Architectural Moat</w:t>
      </w:r>
    </w:p>
    <w:p>
      <w:pPr>
        <w:spacing w:after="160"/>
      </w:pPr>
      <w:r>
        <w:t xml:space="preserve">The combination of constitutional governance, deterministic replay, hash-chained ledger, and AST-aware mutation analysis represents years of tight integration work. It is not a product you can reproduce by assembling off-the-shelf components. The 65-phase build history, with each phase adding a precisely scoped capability to a tightly governed architecture, is itself a defensibility asset.</w:t>
      </w:r>
    </w:p>
    <w:p>
      <w:pPr>
        <w:spacing w:after="80"/>
      </w:pPr>
      <w:r>
        <w:t xml:space="preserve"/>
      </w:r>
    </w:p>
    <w:p>
      <w:pPr>
        <w:pStyle w:val="Heading3"/>
      </w:pPr>
      <w:r>
        <w:t xml:space="preserve">2.2.2 Evidence Infrastructure</w:t>
      </w:r>
    </w:p>
    <w:p>
      <w:pPr>
        <w:spacing w:after="160"/>
      </w:pPr>
      <w:r>
        <w:t xml:space="preserve">Every mutation in ADAAD history is cryptographically evidenced. The SHA-256 hash-chained ledger, the replay attestation bundles, the governance sign-off artifacts, the EpochEvidence records — these are not logs; they are a legal-grade audit trail. In regulated industries (fintech, healthcare, defense), this evidence infrastructure is worth more than the mutation engine itself.</w:t>
      </w:r>
    </w:p>
    <w:p>
      <w:pPr>
        <w:spacing w:after="80"/>
      </w:pPr>
      <w:r>
        <w:t xml:space="preserve"/>
      </w:r>
    </w:p>
    <w:p>
      <w:pPr>
        <w:pStyle w:val="Heading3"/>
      </w:pPr>
      <w:r>
        <w:t xml:space="preserve">2.2.3 Patent-Ready Novel Method</w:t>
      </w:r>
    </w:p>
    <w:p>
      <w:pPr>
        <w:spacing w:after="160"/>
      </w:pPr>
      <w:r>
        <w:t xml:space="preserve">The constitutional mutation governance method — in particular the combination of deterministic replay, GovernanceGate as sole approval surface, and earned-autonomy phase gating — is novel IP. The Strategic Build Suggestions document explicitly identifies patent filing as a value-acceleration lever. The method documentation as a standalone IP artifact is a Phase 1 deliverable, and should be treated as an urgent priority.</w:t>
      </w:r>
    </w:p>
    <w:p>
      <w:pPr>
        <w:spacing w:after="80"/>
      </w:pPr>
      <w:r>
        <w:t xml:space="preserve"/>
      </w:r>
    </w:p>
    <w:p>
      <w:pPr>
        <w:pStyle w:val="Heading3"/>
      </w:pPr>
      <w:r>
        <w:t xml:space="preserve">2.2.4 Compliance Positioning</w:t>
      </w:r>
    </w:p>
    <w:p>
      <w:pPr>
        <w:spacing w:after="160"/>
      </w:pPr>
      <w:r>
        <w:t xml:space="preserve">As AI code generation becomes ubiquitous, regulatory pressure on software audit trails will increase. ADAAD is years ahead of the compliance curve. Organizations in regulated industries who need to answer 'why did this change happen, who approved it, and can you prove it?' will find ADAAD's answer — a cryptographic proof chain with deterministic replay — to be uniquely compelling.</w:t>
      </w:r>
    </w:p>
    <w:p>
      <w:pPr>
        <w:spacing w:after="80"/>
      </w:pPr>
      <w:r>
        <w:t xml:space="preserve"/>
      </w:r>
    </w:p>
    <w:p>
      <w:pPr>
        <w:pStyle w:val="Heading2"/>
      </w:pPr>
      <w:r>
        <w:t xml:space="preserve">2.3 The Economic Value Levers</w:t>
      </w:r>
    </w:p>
    <w:p>
      <w:pPr>
        <w:spacing w:after="160"/>
      </w:pPr>
      <w:r>
        <w:t xml:space="preserve">The IP Valuation Report (February 2026) and Strategic Build Suggestions identify four concrete revenue levers, ranked by impact: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Lever</w:t>
            </w:r>
          </w:p>
        </w:tc>
        <w:tc>
          <w:tcPr>
            <w:tcW w:type="dxa" w:w="3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Mechanism</w:t>
            </w:r>
          </w:p>
        </w:tc>
        <w:tc>
          <w:tcPr>
            <w:tcW w:type="dxa" w:w="3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Impact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Live Revenue Signal</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Validate GET /economic/market-fitness; wire Aponi to real AppStore/Analytics</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2× base case valuation (income approach shift from speculative to grounded)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ADAAD-7 Shipment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Close PR-05–09 (Reviewer Reputation Ledger, Scoring Engine, Tier Calibration, Advisory Rule, Aponi Panel)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Enterprise feedback loop; material acquirer pricing signal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Patent Filing</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Constitutional mutation governance method as standalone IP artifact</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Transforms Apache 2.0 code into defensible novel 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Key Ceremony</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2-of-3 Ed25519 threshold; canonical_engine_declaration.json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Governance event (not document); required for enterprise audit presentations</w:t>
            </w:r>
          </w:p>
        </w:tc>
      </w:tr>
    </w:tbl>
    <w:p>
      <w:pPr>
        <w:spacing w:after="80"/>
      </w:pPr>
      <w:r>
        <w:t xml:space="preserve"/>
      </w:r>
    </w:p>
    <w:p>
      <w:pPr>
        <w:pStyle w:val="Heading2"/>
      </w:pPr>
      <w:r>
        <w:t xml:space="preserve">2.4 The Android Distribution Strategy</w:t>
      </w:r>
    </w:p>
    <w:p>
      <w:pPr>
        <w:spacing w:after="160"/>
      </w:pPr>
      <w:r>
        <w:t xml:space="preserve">ADAAD's zero-cost, multi-channel Android distribution strategy (GitHub Releases, F-Droid, self-hosted F-Droid, GitHub Pages PWA) is strategically underappreciated. Most AI safety and code evolution tools are server-only, enterprise-priced, or developer-only. ADAAD runs on a phone, for free, with a production-grade governance pipeline behind it. This is a unique positioning in the market and a meaningful community-building asset.</w:t>
      </w:r>
    </w:p>
    <w:p>
      <w:pPr>
        <w:spacing w:after="80"/>
      </w:pPr>
      <w:r>
        <w:t xml:space="preserve"/>
      </w:r>
    </w:p>
    <w:p>
      <w:r>
        <w:br w:type="page"/>
      </w:r>
    </w:p>
    <w:p>
      <w:pPr>
        <w:pStyle w:val="Heading1"/>
      </w:pPr>
      <w:r>
        <w:t xml:space="preserve">Part III — Practical Tips</w:t>
      </w:r>
    </w:p>
    <w:p>
      <w:pPr>
        <w:pStyle w:val="Heading2"/>
      </w:pPr>
      <w:r>
        <w:t xml:space="preserve">3.1 Getting Started Efficiently</w:t>
      </w:r>
    </w:p>
    <w:p>
      <w:pPr>
        <w:spacing w:after="160"/>
      </w:pPr>
      <w:r>
        <w:t xml:space="preserve">The quickest path to a productive first session with ADAAD:</w:t>
      </w:r>
    </w:p>
    <w:p>
      <w:pPr>
        <w:spacing w:after="80"/>
      </w:pPr>
      <w:r>
        <w:t xml:space="preserve"/>
      </w:r>
    </w:p>
    <w:p>
      <w:pPr>
        <w:pStyle w:val="ListParagraph"/>
        <w:numPr>
          <w:ilvl w:val="0"/>
          <w:numId w:val="3"/>
        </w:numPr>
        <w:spacing w:after="80"/>
      </w:pPr>
      <w:r>
        <w:t xml:space="preserve">Start in sandbox mode (ADAAD_CEL_ENABLED=true ADAAD_SANDBOX_ONLY=true). All 14 CEL steps execute but no writes occur. This is the safest way to observe the full ConstitutionalEvolutionLoop without any risk of codebase mutation.</w:t>
      </w:r>
    </w:p>
    <w:p>
      <w:pPr>
        <w:pStyle w:val="ListParagraph"/>
        <w:numPr>
          <w:ilvl w:val="0"/>
          <w:numId w:val="3"/>
        </w:numPr>
        <w:spacing w:after="80"/>
      </w:pPr>
      <w:r>
        <w:t xml:space="preserve">Run the preflight tests first: python -m pytest tests/test_boot_preflight.py -q — this validates your environment before you invest time in a full epoch run.</w:t>
      </w:r>
    </w:p>
    <w:p>
      <w:pPr>
        <w:pStyle w:val="ListParagraph"/>
        <w:numPr>
          <w:ilvl w:val="0"/>
          <w:numId w:val="3"/>
        </w:numPr>
        <w:spacing w:after="80"/>
      </w:pPr>
      <w:r>
        <w:t xml:space="preserve">Check the AGENTS.md trigger contract. ADAAD and DEVADAAD are precise keywords with specific behaviors. ADAAD stages work without merging; DEVADAAD adds conditional merge authority. Using the wrong keyword wastes cycles.</w:t>
      </w:r>
    </w:p>
    <w:p>
      <w:pPr>
        <w:pStyle w:val="ListParagraph"/>
        <w:numPr>
          <w:ilvl w:val="0"/>
          <w:numId w:val="3"/>
        </w:numPr>
        <w:spacing w:after="80"/>
      </w:pPr>
      <w:r>
        <w:t xml:space="preserve">Read the CONSTITUTION.md before touching the governance layer. The 21 constitutional rules have different severities (BLOCKING, WARNING, ADVISORY) and different behaviors by tier. Misunderstanding severity levels is the most common source of confusing gate failures.</w:t>
      </w:r>
    </w:p>
    <w:p>
      <w:pPr>
        <w:pStyle w:val="ListParagraph"/>
        <w:numPr>
          <w:ilvl w:val="0"/>
          <w:numId w:val="3"/>
        </w:numPr>
        <w:spacing w:after="80"/>
      </w:pPr>
      <w:r>
        <w:t xml:space="preserve">Use ADAAD status or ADAAD audit before any build session. These orientation commands surface open findings and pending state without triggering any build action — essential for situational awareness.</w:t>
      </w:r>
    </w:p>
    <w:p>
      <w:pPr>
        <w:spacing w:after="80"/>
      </w:pPr>
      <w:r>
        <w:t xml:space="preserve"/>
      </w:r>
    </w:p>
    <w:p>
      <w:pPr>
        <w:pStyle w:val="Heading2"/>
      </w:pPr>
      <w:r>
        <w:t xml:space="preserve">3.2 Working With the ConstitutionalEvolutionLoop</w:t>
      </w:r>
    </w:p>
    <w:p>
      <w:pPr>
        <w:spacing w:after="160"/>
      </w:pPr>
      <w:r>
        <w:t xml:space="preserve">The 14-step CEL is the core runtime. Key operational tips:</w:t>
      </w:r>
    </w:p>
    <w:p>
      <w:pPr>
        <w:spacing w:after="80"/>
      </w:pPr>
      <w:r>
        <w:t xml:space="preserve"/>
      </w:r>
    </w:p>
    <w:p>
      <w:pPr>
        <w:pStyle w:val="ListParagraph"/>
        <w:numPr>
          <w:ilvl w:val="0"/>
          <w:numId w:val="2"/>
        </w:numPr>
        <w:spacing w:after="80"/>
      </w:pPr>
      <w:r>
        <w:t xml:space="preserve">CEL-ORDER-0 is absolute: all 14 steps execute in strict sequence; no skipping. If a step fails, the epoch halts cleanly — it does not attempt to continue or work around the failure.</w:t>
      </w:r>
    </w:p>
    <w:p>
      <w:pPr>
        <w:pStyle w:val="ListParagraph"/>
        <w:numPr>
          <w:ilvl w:val="0"/>
          <w:numId w:val="2"/>
        </w:numPr>
        <w:spacing w:after="80"/>
      </w:pPr>
      <w:r>
        <w:t xml:space="preserve">Replay verification (Step 7: REPLAY-VERIFY) is the first line of defense against non-determinism. If SANDBOX-DIV-0 triggers, investigate the environment before blaming the mutation. Common causes: floating-point non-determinism, timestamp injection, or random calls not covered by the seeded RNG.</w:t>
      </w:r>
    </w:p>
    <w:p>
      <w:pPr>
        <w:pStyle w:val="ListParagraph"/>
        <w:numPr>
          <w:ilvl w:val="0"/>
          <w:numId w:val="2"/>
        </w:numPr>
        <w:spacing w:after="80"/>
      </w:pPr>
      <w:r>
        <w:t xml:space="preserve">FitnessEngineV2's determinism signal (signal 6) is a hard floor with FIT-DIV-0 enforcement. A single replay divergence = total rejection, no exception. This is correct behavior, not a bug.</w:t>
      </w:r>
    </w:p>
    <w:p>
      <w:pPr>
        <w:pStyle w:val="ListParagraph"/>
        <w:numPr>
          <w:ilvl w:val="0"/>
          <w:numId w:val="2"/>
        </w:numPr>
        <w:spacing w:after="80"/>
      </w:pPr>
      <w:r>
        <w:t xml:space="preserve">GovernanceGateV2 (Step 9) runs before the original GovernanceGate (Step 10). This matters because GateV2 has 5 diff-aware, AST-sensitive rules that may pass or fail independently of the 16 pre-v2 rules. Both must pass for a mutation to be approved.</w:t>
      </w:r>
    </w:p>
    <w:p>
      <w:pPr>
        <w:pStyle w:val="ListParagraph"/>
        <w:numPr>
          <w:ilvl w:val="0"/>
          <w:numId w:val="2"/>
        </w:numPr>
        <w:spacing w:after="80"/>
      </w:pPr>
      <w:r>
        <w:t xml:space="preserve">The epoch counter and journal event (Step 14) are written last. If your process is interrupted between Step 13 and Step 14, the evidence is written but the counter is not advanced. ADAAD handles this gracefully on resume, but be aware of the distinction between 'evidence complete' and 'epoch complete'.</w:t>
      </w:r>
    </w:p>
    <w:p>
      <w:pPr>
        <w:spacing w:after="80"/>
      </w:pPr>
      <w:r>
        <w:t xml:space="preserve"/>
      </w:r>
    </w:p>
    <w:p>
      <w:pPr>
        <w:pStyle w:val="Heading2"/>
      </w:pPr>
      <w:r>
        <w:t xml:space="preserve">3.3 Governance Gate Best Practices</w:t>
      </w:r>
    </w:p>
    <w:p>
      <w:pPr>
        <w:spacing w:after="160"/>
      </w:pPr>
      <w:r>
        <w:t xml:space="preserve">The GovernanceGate is the sole mutation approval surface. Working with it effectively:</w:t>
      </w:r>
    </w:p>
    <w:p>
      <w:pPr>
        <w:spacing w:after="80"/>
      </w:pPr>
      <w:r>
        <w:t xml:space="preserve"/>
      </w:r>
    </w:p>
    <w:p>
      <w:pPr>
        <w:pStyle w:val="ListParagraph"/>
        <w:numPr>
          <w:ilvl w:val="0"/>
          <w:numId w:val="2"/>
        </w:numPr>
        <w:spacing w:after="80"/>
      </w:pPr>
      <w:r>
        <w:t xml:space="preserve">Understand tier-specific behavior. PATCH-SIZE-0 (max 40 delta AST nodes, max 2 files) is a hard constraint at all tiers. Single_file_scope, no_banned_tokens, and signature_required are BLOCKING at all tiers. max_mutation_rate is ADVISORY in SANDBOX but BLOCKING in PRODUCTION. Know which rules you're working under.</w:t>
      </w:r>
    </w:p>
    <w:p>
      <w:pPr>
        <w:pStyle w:val="ListParagraph"/>
        <w:numPr>
          <w:ilvl w:val="0"/>
          <w:numId w:val="2"/>
        </w:numPr>
        <w:spacing w:after="80"/>
      </w:pPr>
      <w:r>
        <w:t xml:space="preserve">The severity escalation framework is one-directional: you can escalate (advisory → warning → blocking) but never de-escalate. This is intentional. Never attempt to work around it via environment variables without understanding that the escalation is permanent within the run.</w:t>
      </w:r>
    </w:p>
    <w:p>
      <w:pPr>
        <w:pStyle w:val="ListParagraph"/>
        <w:numPr>
          <w:ilvl w:val="0"/>
          <w:numId w:val="2"/>
        </w:numPr>
        <w:spacing w:after="80"/>
      </w:pPr>
      <w:r>
        <w:t xml:space="preserve">TIER0-SELF-0 is absolute: Tier-0 bound modules cannot self-mutate. If you need to evolve runtime/, orchestrator core, security/, or app/main.py, it requires human review and explicit policy elevation — there is no automated path.</w:t>
      </w:r>
    </w:p>
    <w:p>
      <w:pPr>
        <w:pStyle w:val="ListParagraph"/>
        <w:numPr>
          <w:ilvl w:val="0"/>
          <w:numId w:val="2"/>
        </w:numPr>
        <w:spacing w:after="80"/>
      </w:pPr>
      <w:r>
        <w:t xml:space="preserve">For federation deployments: FEDERATION-DUAL-GATE requires GovernanceGate approval in both source AND destination repos. An approval in repo A does not carry any weight in repo B. Plan your federation governance structure before deploying.</w:t>
      </w:r>
    </w:p>
    <w:p>
      <w:pPr>
        <w:spacing w:after="80"/>
      </w:pPr>
      <w:r>
        <w:t xml:space="preserve"/>
      </w:r>
    </w:p>
    <w:p>
      <w:pPr>
        <w:pStyle w:val="Heading2"/>
      </w:pPr>
      <w:r>
        <w:t xml:space="preserve">3.4 Evidence and Audit Hygiene</w:t>
      </w:r>
    </w:p>
    <w:p>
      <w:pPr>
        <w:spacing w:after="160"/>
      </w:pPr>
      <w:r>
        <w:t xml:space="preserve">The value of ADAAD's evidence infrastructure compounds over time. Maintaining it well:</w:t>
      </w:r>
    </w:p>
    <w:p>
      <w:pPr>
        <w:spacing w:after="80"/>
      </w:pPr>
      <w:r>
        <w:t xml:space="preserve"/>
      </w:r>
    </w:p>
    <w:p>
      <w:pPr>
        <w:pStyle w:val="ListParagraph"/>
        <w:numPr>
          <w:ilvl w:val="0"/>
          <w:numId w:val="2"/>
        </w:numPr>
        <w:spacing w:after="80"/>
      </w:pPr>
      <w:r>
        <w:t xml:space="preserve">Never manually edit checkpoint_chain.jsonl or any hash-chained ledger file. The chain integrity check will detect tampering immediately and halt. If you need to investigate a specific epoch, use the replay tools (tools/verify_replay_attestation_bundle.py), not direct file editing.</w:t>
      </w:r>
    </w:p>
    <w:p>
      <w:pPr>
        <w:pStyle w:val="ListParagraph"/>
        <w:numPr>
          <w:ilvl w:val="0"/>
          <w:numId w:val="2"/>
        </w:numPr>
        <w:spacing w:after="80"/>
      </w:pPr>
      <w:r>
        <w:t xml:space="preserve">Keep the data/quarantine directory clean. Rejected mutations land here for investigation. A bloated quarantine is often a signal of a systematic governance misconfiguration, not random failures.</w:t>
      </w:r>
    </w:p>
    <w:p>
      <w:pPr>
        <w:pStyle w:val="ListParagraph"/>
        <w:numPr>
          <w:ilvl w:val="0"/>
          <w:numId w:val="2"/>
        </w:numPr>
        <w:spacing w:after="80"/>
      </w:pPr>
      <w:r>
        <w:t xml:space="preserve">Run tools/adaad_audit.py regularly. It surfaces patterns in approval/rejection rates, agent performance, and weight trajectory that are not visible from individual epoch logs.</w:t>
      </w:r>
    </w:p>
    <w:p>
      <w:pPr>
        <w:pStyle w:val="ListParagraph"/>
        <w:numPr>
          <w:ilvl w:val="0"/>
          <w:numId w:val="2"/>
        </w:numPr>
        <w:spacing w:after="80"/>
      </w:pPr>
      <w:r>
        <w:t xml:space="preserve">Preserve the governance artifact bundles in artifacts/governance/. These are your cryptographic proof chain. The artifacts/governance/phase65/ bundle is especially important as the first autonomous evolution evidence record.</w:t>
      </w:r>
    </w:p>
    <w:p>
      <w:pPr>
        <w:spacing w:after="80"/>
      </w:pPr>
      <w:r>
        <w:t xml:space="preserve"/>
      </w:r>
    </w:p>
    <w:p>
      <w:pPr>
        <w:pStyle w:val="Heading2"/>
      </w:pPr>
      <w:r>
        <w:t xml:space="preserve">3.5 Performance and Scalability Tips</w:t>
      </w:r>
    </w:p>
    <w:p>
      <w:pPr>
        <w:spacing w:after="160"/>
      </w:pPr>
      <w:r>
        <w:t xml:space="preserve">ADAAD is architecturally conservative by design, but there are specific performance considerations:</w:t>
      </w:r>
    </w:p>
    <w:p>
      <w:pPr>
        <w:spacing w:after="80"/>
      </w:pPr>
      <w:r>
        <w:t xml:space="preserve"/>
      </w:r>
    </w:p>
    <w:p>
      <w:pPr>
        <w:pStyle w:val="ListParagraph"/>
        <w:numPr>
          <w:ilvl w:val="0"/>
          <w:numId w:val="2"/>
        </w:numPr>
        <w:spacing w:after="80"/>
      </w:pPr>
      <w:r>
        <w:t xml:space="preserve">The LineageLedgerV2 O(n) fix (C-04 from the Strategic Build Suggestions) is a critical Phase 1 improvement. Maintaining _verified_tail_hash and implementing streaming line-by-line verification prevents OOM on large ledgers. If you are running long-lived ADAAD instances, this is your most urgent performance optimization.</w:t>
      </w:r>
    </w:p>
    <w:p>
      <w:pPr>
        <w:pStyle w:val="ListParagraph"/>
        <w:numPr>
          <w:ilvl w:val="0"/>
          <w:numId w:val="2"/>
        </w:numPr>
        <w:spacing w:after="80"/>
      </w:pPr>
      <w:r>
        <w:t xml:space="preserve">The population cap of 12 candidates (PopulationManager) is intentional. Increasing it for 'better exploration' will dramatically increase compute time and may introduce non-determinism at scale. Trust the BLX-alpha crossover and UCB1 bandit to do the exploration efficiently within the cap.</w:t>
      </w:r>
    </w:p>
    <w:p>
      <w:pPr>
        <w:pStyle w:val="ListParagraph"/>
        <w:numPr>
          <w:ilvl w:val="0"/>
          <w:numId w:val="2"/>
        </w:numPr>
        <w:spacing w:after="80"/>
      </w:pPr>
      <w:r>
        <w:t xml:space="preserve">For the Semantic Diff Engine (Phase 4): the risk formula (ast_depth_delta × 0.3 + cyclomatic_delta × 0.4 + import_surface_delta × 0.3) uses Python's stdlib ast module only. Zero new dependencies. The graceful fallback on SyntaxError is deliberate — it assigns 0.5/0.5 (moderate risk, moderate complexity) rather than failing hard, preserving epoch continuity.</w:t>
      </w:r>
    </w:p>
    <w:p>
      <w:pPr>
        <w:spacing w:after="80"/>
      </w:pPr>
      <w:r>
        <w:t xml:space="preserve"/>
      </w:r>
    </w:p>
    <w:p>
      <w:r>
        <w:br w:type="page"/>
      </w:r>
    </w:p>
    <w:p>
      <w:pPr>
        <w:pStyle w:val="Heading1"/>
      </w:pPr>
      <w:r>
        <w:t xml:space="preserve">Part IV — Honest Critiques</w:t>
      </w:r>
    </w:p>
    <w:p>
      <w:pPr>
        <w:pStyle w:val="Heading2"/>
      </w:pPr>
      <w:r>
        <w:t xml:space="preserve">4.1 Single-Architect Concentration Risk</w:t>
      </w:r>
    </w:p>
    <w:p>
      <w:pPr>
        <w:spacing w:after="160"/>
      </w:pPr>
      <w:r>
        <w:t xml:space="preserve">This is the most significant structural risk in ADAAD, and the one most worth addressing directly. Dustin Reid is identified as the Sole Architect throughout the documentation. The technical decisions embedded in 65 phases of tightly-coupled architecture represent an enormous concentration of tacit knowledge in a single person. The AGENTS.md document references 'DUSTADAAD' as the governed build environment — the system is literally named after one person.</w:t>
      </w:r>
    </w:p>
    <w:p>
      <w:pPr>
        <w:spacing w:after="80"/>
      </w:pPr>
      <w:r>
        <w:t xml:space="preserve"/>
      </w:r>
    </w:p>
    <w:p>
      <w:pPr>
        <w:spacing w:after="160"/>
      </w:pPr>
      <w:r>
        <w:t xml:space="preserve">The risk is not about competence — the engineering evidence is strong. The risk is: what is the bus factor? What happens to the governance lineage, the constitutional interpretation, and the architecture evolution decisions if that single person becomes unavailable? This is not academic; it directly affects ADAAD's valuation for acquisition, its viability for enterprise adoption, and its long-term resilience as an open-source project.</w:t>
      </w:r>
    </w:p>
    <w:p>
      <w:pPr>
        <w:spacing w:after="80"/>
      </w:pPr>
      <w:r>
        <w:t xml:space="preserve"/>
      </w:r>
    </w:p>
    <w:p>
      <w:pPr>
        <w:spacing w:after="160"/>
      </w:pPr>
      <w:r>
        <w:t xml:space="preserve">Recommended mitigation: formalize an architecture transition protocol, identify one or two secondary maintainers, and document the 'constitutional interpretation' decisions (not just the rules, but the reasoning behind specific rule severities and tier assignments) in a form that would allow someone new to make consistent decisions.</w:t>
      </w:r>
    </w:p>
    <w:p>
      <w:pPr>
        <w:spacing w:after="80"/>
      </w:pPr>
      <w:r>
        <w:t xml:space="preserve"/>
      </w:r>
    </w:p>
    <w:p>
      <w:pPr>
        <w:pStyle w:val="Heading2"/>
      </w:pPr>
      <w:r>
        <w:t xml:space="preserve">4.2 Documentation Version Drift</w:t>
      </w:r>
    </w:p>
    <w:p>
      <w:pPr>
        <w:spacing w:after="160"/>
      </w:pPr>
      <w:r>
        <w:t xml:space="preserve">The codebase contains a significant documentation version consistency problem. The README claims v9.0.0, but the PLAIN_ENGLISH_OVERVIEW footer states 'Current version: 7.0.0 · Phase 46 complete.' The HORIZON_FORECAST_2026 refers to v2.1.0 as current state. The FOUNDER_PLAN_PROPOSAL also discusses v2.1.0. The CONSTITUTION amendment log refers to constitution v0.7.0 but the rule count at the bottom (18 rules) contradicts the README's claim of 21 rules.</w:t>
      </w:r>
    </w:p>
    <w:p>
      <w:pPr>
        <w:spacing w:after="80"/>
      </w:pPr>
      <w:r>
        <w:t xml:space="preserve"/>
      </w:r>
    </w:p>
    <w:p>
      <w:pPr>
        <w:spacing w:after="160"/>
      </w:pPr>
      <w:r>
        <w:t xml:space="preserve">This is not a cosmetic problem. For an enterprise buyer conducting due diligence, inconsistent version claims across documentation are a red flag that signals either poor release discipline or documentation that is being written ahead of implementation. The ADAAD_README_ALIGNMENT_GUARD test (test_readme_alignment_guard.py) exists precisely to catch this — but the guard appears to not be catching these cross-document inconsistencies.</w:t>
      </w:r>
    </w:p>
    <w:p>
      <w:pPr>
        <w:spacing w:after="80"/>
      </w:pPr>
      <w:r>
        <w:t xml:space="preserve"/>
      </w:r>
    </w:p>
    <w:p>
      <w:pPr>
        <w:spacing w:after="160"/>
      </w:pPr>
      <w:r>
        <w:t xml:space="preserve">The Strategic Build Suggestions document acknowledges this under the Documentation lane, noting that docs alignment failures should be fail-closed for protected branches. Enforcing this consistently should be treated as a P0 issue, not a Phase 2 cleanup item.</w:t>
      </w:r>
    </w:p>
    <w:p>
      <w:pPr>
        <w:spacing w:after="80"/>
      </w:pPr>
      <w:r>
        <w:t xml:space="preserve"/>
      </w:r>
    </w:p>
    <w:p>
      <w:pPr>
        <w:pStyle w:val="Heading2"/>
      </w:pPr>
      <w:r>
        <w:t xml:space="preserve">4.3 The Rule Count Inconsistency</w:t>
      </w:r>
    </w:p>
    <w:p>
      <w:pPr>
        <w:spacing w:after="160"/>
      </w:pPr>
      <w:r>
        <w:t xml:space="preserve">Related to the above: the README states '21 Constitutional Rules (active)' while the CONSTITUTION.md amendment log states '18 rules — 9 BLOCKING, 4 WARNING, 3 ADVISORY, 2 federation-BLOCKING.' The architecture diagram shows '21 rules: 16 pre-v2 + 5 Phase 63 GovernanceGateV2.'</w:t>
      </w:r>
    </w:p>
    <w:p>
      <w:pPr>
        <w:spacing w:after="80"/>
      </w:pPr>
      <w:r>
        <w:t xml:space="preserve"/>
      </w:r>
    </w:p>
    <w:p>
      <w:pPr>
        <w:spacing w:after="160"/>
      </w:pPr>
      <w:r>
        <w:t xml:space="preserve">If you work through the math: 16 pre-v2 constitutional rules + 5 GovernanceGateV2 rules = 21. The CONSTITUTION.md is listing only the base constitutional rules (excluding the GateV2 rules), while the README is counting all 21 across both gate layers. This is an understandable engineering distinction, but it creates confusion for anyone reading the docs and requires a clear canonical statement of how the counts are defined.</w:t>
      </w:r>
    </w:p>
    <w:p>
      <w:pPr>
        <w:spacing w:after="80"/>
      </w:pPr>
      <w:r>
        <w:t xml:space="preserve"/>
      </w:r>
    </w:p>
    <w:p>
      <w:pPr>
        <w:spacing w:after="160"/>
      </w:pPr>
      <w:r>
        <w:t xml:space="preserve">The CONSTITUTION.md itself acknowledges this: 'Rule count is versioned and canonicalized by runtime/governance/constitution.yaml (rules array) and this Constitution; avoid hard-coding totals in downstream docs.' The advice is sound. The problem is that the README hard-codes 21 anyway.</w:t>
      </w:r>
    </w:p>
    <w:p>
      <w:pPr>
        <w:spacing w:after="80"/>
      </w:pPr>
      <w:r>
        <w:t xml:space="preserve"/>
      </w:r>
    </w:p>
    <w:p>
      <w:pPr>
        <w:pStyle w:val="Heading2"/>
      </w:pPr>
      <w:r>
        <w:t xml:space="preserve">4.4 Real-World Mutation Efficacy Is Unproven</w:t>
      </w:r>
    </w:p>
    <w:p>
      <w:pPr>
        <w:spacing w:after="160"/>
      </w:pPr>
      <w:r>
        <w:t xml:space="preserve">ADAAD has executed its first autonomous evolution (Phase 65) and has 3,960+ tests. What is not documented anywhere in the repository is evidence of real-world mutation efficacy over time: specifically, how many LLM-generated proposals actually pass the full 14-step CEL in production (not just in tests), what the distribution of fitness scores looks like for accepted mutations, and whether the WeightAdaptor.prediction_accuracy actually reaches &gt;0.60 by epoch 20 in real operation.</w:t>
      </w:r>
    </w:p>
    <w:p>
      <w:pPr>
        <w:spacing w:after="80"/>
      </w:pPr>
      <w:r>
        <w:t xml:space="preserve"/>
      </w:r>
    </w:p>
    <w:p>
      <w:pPr>
        <w:spacing w:after="160"/>
      </w:pPr>
      <w:r>
        <w:t xml:space="preserve">The test suite is comprehensive but designed to verify that the architecture works correctly, not to measure the quality of the mutations it produces in the wild. The distinction matters enormously for commercial positioning: a well-governed engine that produces mediocre mutations has governance value but limited autonomy value. The missing metric is useful mutation rate — not just pass rate.</w:t>
      </w:r>
    </w:p>
    <w:p>
      <w:pPr>
        <w:spacing w:after="80"/>
      </w:pPr>
      <w:r>
        <w:t xml:space="preserve"/>
      </w:r>
    </w:p>
    <w:p>
      <w:pPr>
        <w:spacing w:after="160"/>
      </w:pPr>
      <w:r>
        <w:t xml:space="preserve">The Founder Plan explicitly lists 'WeightAdaptor.prediction_accuracy &gt; 0.60' as a Phase 3 gate condition with measurement method listed as 'Telemetry JSON shows &gt; 0.60.' But there is no published telemetry record showing this criterion has been met. Publishing this — even as a single epoch run output — would significantly strengthen the empirical case for ADAAD's mutation quality.</w:t>
      </w:r>
    </w:p>
    <w:p>
      <w:pPr>
        <w:spacing w:after="80"/>
      </w:pPr>
      <w:r>
        <w:t xml:space="preserve"/>
      </w:r>
    </w:p>
    <w:p>
      <w:pPr>
        <w:pStyle w:val="Heading2"/>
      </w:pPr>
      <w:r>
        <w:t xml:space="preserve">4.5 The CI Version Divergence Risk</w:t>
      </w:r>
    </w:p>
    <w:p>
      <w:pPr>
        <w:spacing w:after="160"/>
      </w:pPr>
      <w:r>
        <w:t xml:space="preserve">The Strategic Build Suggestions (Phase 1, PR-CI-01) identifies a concrete and serious risk: ci.yml uses Python 3.11 while ci-generated.yml uses Python 3.10.14. This is characterized as 'a determinism risk,' and it is. A system whose core value proposition is deterministic, byte-identical replay across runs cannot have two different Python versions in its CI pipeline. This should have been caught before v9.0.0 release.</w:t>
      </w:r>
    </w:p>
    <w:p>
      <w:pPr>
        <w:spacing w:after="80"/>
      </w:pPr>
      <w:r>
        <w:t xml:space="preserve"/>
      </w:r>
    </w:p>
    <w:p>
      <w:pPr>
        <w:spacing w:after="160"/>
      </w:pPr>
      <w:r>
        <w:t xml:space="preserve">Pinning to an exact patch version (e.g., '3.11.9' not '3.11') is the correct fix and is straightforward. The fact that this remains open as a Phase 1 task rather than being resolved before v9.0.0 suggests a gap in the release criteria definition — the release gate does not currently enforce Python version parity across all CI workflows.</w:t>
      </w:r>
    </w:p>
    <w:p>
      <w:pPr>
        <w:spacing w:after="80"/>
      </w:pPr>
      <w:r>
        <w:t xml:space="preserve"/>
      </w:r>
    </w:p>
    <w:p>
      <w:pPr>
        <w:pStyle w:val="Heading2"/>
      </w:pPr>
      <w:r>
        <w:t xml:space="preserve">4.6 The Android Constraint Is Both a Feature and a Trap</w:t>
      </w:r>
    </w:p>
    <w:p>
      <w:pPr>
        <w:spacing w:after="160"/>
      </w:pPr>
      <w:r>
        <w:t xml:space="preserve">Founder Governance Commitment #7 states: 'Android/Pydroid3 compatibility is a hard floor. No mutation that breaks mobile compatibility enters production, regardless of fitness score. Zero new C-compiled dependencies without explicit approval.'</w:t>
      </w:r>
    </w:p>
    <w:p>
      <w:pPr>
        <w:spacing w:after="80"/>
      </w:pPr>
      <w:r>
        <w:t xml:space="preserve"/>
      </w:r>
    </w:p>
    <w:p>
      <w:pPr>
        <w:spacing w:after="160"/>
      </w:pPr>
      <w:r>
        <w:t xml:space="preserve">This is strategically interesting and potentially limiting. Pydroid3 is a Python environment for Android that imposes real constraints: no compiled extensions, limited memory, constrained CPU. Making this a hard constitutional floor means that ADAAD's evolution is permanently bounded by what can run on a phone. As the mutation engine becomes more sophisticated, this constraint will become increasingly binding — particularly for the LineageLedgerV2 O(n) fix (which could benefit from a compiled index), for any machine learning components, and for parallel sandbox evaluation.</w:t>
      </w:r>
    </w:p>
    <w:p>
      <w:pPr>
        <w:spacing w:after="80"/>
      </w:pPr>
      <w:r>
        <w:t xml:space="preserve"/>
      </w:r>
    </w:p>
    <w:p>
      <w:pPr>
        <w:spacing w:after="160"/>
      </w:pPr>
      <w:r>
        <w:t xml:space="preserve">The mobile-first positioning is differentiating and the free distribution is genuinely admirable. But the governance commitment to 'no new C-compiled dependencies' may need to evolve as ADAAD scales. The current framing treats this as an immutable floor when it might be better positioned as a 'default assumption requiring explicit override justification' — still rigorous, but not architecturally permanent.</w:t>
      </w:r>
    </w:p>
    <w:p>
      <w:pPr>
        <w:spacing w:after="80"/>
      </w:pPr>
      <w:r>
        <w:t xml:space="preserve"/>
      </w:r>
    </w:p>
    <w:p>
      <w:pPr>
        <w:pStyle w:val="Heading2"/>
      </w:pPr>
      <w:r>
        <w:t xml:space="preserve">4.7 LLM Dependency Is Unaddressed</w:t>
      </w:r>
    </w:p>
    <w:p>
      <w:pPr>
        <w:spacing w:after="160"/>
      </w:pPr>
      <w:r>
        <w:t xml:space="preserve">ADAAD's ProposalEngine uses an LLM (Claude API, specifically claude-sonnet-4-20250514) to generate mutation proposals. This is acknowledged in the architecture. What is not addressed in the documentation: what happens if the Claude API is unavailable, rate-limited, or significantly changes its output behavior between versions?</w:t>
      </w:r>
    </w:p>
    <w:p>
      <w:pPr>
        <w:spacing w:after="80"/>
      </w:pPr>
      <w:r>
        <w:t xml:space="preserve"/>
      </w:r>
    </w:p>
    <w:p>
      <w:pPr>
        <w:spacing w:after="160"/>
      </w:pPr>
      <w:r>
        <w:t xml:space="preserve">The constitutional governance handles proposal evaluation deterministically. But proposal generation is LLM-dependent. A new Claude model version could produce systematically different proposals (better or worse), breaking the assumption that the WeightAdaptor's learned weights from prior epochs remain predictive. The CONSTITUTION.md notes that 'LLM agents are governed identically to ArchitectAgent. authority_level is always governor-review.' But the operational question — what is the failover strategy when the LLM is unavailable or changes? — has no documented answer.</w:t>
      </w:r>
    </w:p>
    <w:p>
      <w:pPr>
        <w:spacing w:after="80"/>
      </w:pPr>
      <w:r>
        <w:t xml:space="preserve"/>
      </w:r>
    </w:p>
    <w:p>
      <w:pPr>
        <w:pStyle w:val="Heading2"/>
      </w:pPr>
      <w:r>
        <w:t xml:space="preserve">4.8 The 'Emergence' Claim Needs Tempering</w:t>
      </w:r>
    </w:p>
    <w:p>
      <w:pPr>
        <w:spacing w:after="160"/>
      </w:pPr>
      <w:r>
        <w:t xml:space="preserve">Phase 65 is titled 'Emergence: First Autonomous Capability Evolution.' The README describes it as ADAAD's 'first fully governed, self-directed capability evolution.' This is accurate, and it is a genuine milestone. But the word 'emergence' carries implications (in AI discourse) that go beyond what has actually been demonstrated.</w:t>
      </w:r>
    </w:p>
    <w:p>
      <w:pPr>
        <w:spacing w:after="80"/>
      </w:pPr>
      <w:r>
        <w:t xml:space="preserve"/>
      </w:r>
    </w:p>
    <w:p>
      <w:pPr>
        <w:spacing w:after="160"/>
      </w:pPr>
      <w:r>
        <w:t xml:space="preserve">What happened in Phase 65 is precisely documented: a human-defined pipeline executed its first end-to-end autonomous run, produced a patch, cleared all gates, and wrote a governance record. That is the automated execution of a pre-designed pipeline — impressive engineering, but not emergent behavior in the AI research sense. The documentation should be careful to distinguish 'first autonomous execution of a designed pipeline' from 'emergent capability.' The former is a strong claim; the latter would require evidence of behavior not anticipated by the architect.</w:t>
      </w:r>
    </w:p>
    <w:p>
      <w:pPr>
        <w:spacing w:after="80"/>
      </w:pPr>
      <w:r>
        <w:t xml:space="preserve"/>
      </w:r>
    </w:p>
    <w:p>
      <w:r>
        <w:br w:type="page"/>
      </w:r>
    </w:p>
    <w:p>
      <w:pPr>
        <w:pStyle w:val="Heading1"/>
      </w:pPr>
      <w:r>
        <w:t xml:space="preserve">Part V — Summary Scorecard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Dimension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Rating</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Core Architecture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Genuinely novel; GovernanceGate-as-substrate is the right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Constitutional Governance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21 rules, versioned, severity-tiered, fail-closed, cryptographically evidenced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Test Coverage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3,960+ tests is impressive; real-world mutation quality metrics are missing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Documentation Quality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Comprehensive but version-drifted; inconsistencies undermine enterprise credibility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AI Safety Design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Correctly inverts governance/autonomy relationship; earned autonomy model is right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Commercial Readiness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Architecture is strong; revenue signal, patent filing, and key ceremony are pending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Operational Maturity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CI version divergence, O(n) ledger scan, and federation key runbook are P0 gaps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Team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Single-architect concentration is the most significant structural risk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Differentiation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No other open-source system combines this governance depth with autonomous mutation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LLM Integration Resilience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LLM API dependency is unaddressed; no documented failover strategy</w:t>
            </w:r>
          </w:p>
        </w:tc>
      </w:tr>
    </w:tbl>
    <w:p>
      <w:pPr>
        <w:spacing w:after="80"/>
      </w:pPr>
      <w:r>
        <w:t xml:space="preserve"/>
      </w:r>
    </w:p>
    <w:p>
      <w:pPr>
        <w:pStyle w:val="Heading1"/>
      </w:pPr>
      <w:r>
        <w:t xml:space="preserve">Part VI — Priority Recommendations</w:t>
      </w:r>
    </w:p>
    <w:p>
      <w:pPr>
        <w:pStyle w:val="Heading2"/>
      </w:pPr>
      <w:r>
        <w:t xml:space="preserve">Immediate (30 Days)</w:t>
      </w:r>
    </w:p>
    <w:p>
      <w:pPr>
        <w:pStyle w:val="ListParagraph"/>
        <w:numPr>
          <w:ilvl w:val="0"/>
          <w:numId w:val="3"/>
        </w:numPr>
        <w:spacing w:after="80"/>
      </w:pPr>
      <w:r>
        <w:t xml:space="preserve">Resolve CI Python version divergence (PR-CI-01) — this is a P0 determinism risk that undermines ADAAD's core value proposition.</w:t>
      </w:r>
    </w:p>
    <w:p>
      <w:pPr>
        <w:pStyle w:val="ListParagraph"/>
        <w:numPr>
          <w:ilvl w:val="0"/>
          <w:numId w:val="3"/>
        </w:numPr>
        <w:spacing w:after="80"/>
      </w:pPr>
      <w:r>
        <w:t xml:space="preserve">Publish at least one real WeightAdaptor telemetry record showing prediction_accuracy progression to epoch 20. Even a single documented production run output would significantly strengthen the empirical case.</w:t>
      </w:r>
    </w:p>
    <w:p>
      <w:pPr>
        <w:pStyle w:val="ListParagraph"/>
        <w:numPr>
          <w:ilvl w:val="0"/>
          <w:numId w:val="3"/>
        </w:numPr>
        <w:spacing w:after="80"/>
      </w:pPr>
      <w:r>
        <w:t xml:space="preserve">Fix the cross-document version inconsistencies. The README, PLAIN_ENGLISH_OVERVIEW, FOUNDER_PLAN, and HORIZON_FORECAST must agree on the current version. Run the readme alignment guard against all top-level docs.</w:t>
      </w:r>
    </w:p>
    <w:p>
      <w:pPr>
        <w:pStyle w:val="ListParagraph"/>
        <w:numPr>
          <w:ilvl w:val="0"/>
          <w:numId w:val="3"/>
        </w:numPr>
        <w:spacing w:after="80"/>
      </w:pPr>
      <w:r>
        <w:t xml:space="preserve">Begin the patent filing process for the constitutional mutation governance method. This is identified as a high-value action and has a clear deadline: before v1.1-GA.</w:t>
      </w:r>
    </w:p>
    <w:p>
      <w:pPr>
        <w:spacing w:after="80"/>
      </w:pPr>
      <w:r>
        <w:t xml:space="preserve"/>
      </w:r>
    </w:p>
    <w:p>
      <w:pPr>
        <w:pStyle w:val="Heading2"/>
      </w:pPr>
      <w:r>
        <w:t xml:space="preserve">Medium Term (60–90 Days)</w:t>
      </w:r>
    </w:p>
    <w:p>
      <w:pPr>
        <w:pStyle w:val="ListParagraph"/>
        <w:numPr>
          <w:ilvl w:val="0"/>
          <w:numId w:val="3"/>
        </w:numPr>
        <w:spacing w:after="80"/>
      </w:pPr>
      <w:r>
        <w:t xml:space="preserve">Implement the LineageLedgerV2 O(n) fix with streaming verification and _verified_tail_hash (C-04 / PR-PERF-01). This is a correctness and scalability issue, not just a performance optimization.</w:t>
      </w:r>
    </w:p>
    <w:p>
      <w:pPr>
        <w:pStyle w:val="ListParagraph"/>
        <w:numPr>
          <w:ilvl w:val="0"/>
          <w:numId w:val="3"/>
        </w:numPr>
        <w:spacing w:after="80"/>
      </w:pPr>
      <w:r>
        <w:t xml:space="preserve">Execute the Governance Key Ceremony (PR-01): 2-of-3 Ed25519 threshold, canonical_engine_declaration.json. This converts a document into a governance event.</w:t>
      </w:r>
    </w:p>
    <w:p>
      <w:pPr>
        <w:pStyle w:val="ListParagraph"/>
        <w:numPr>
          <w:ilvl w:val="0"/>
          <w:numId w:val="3"/>
        </w:numPr>
        <w:spacing w:after="80"/>
      </w:pPr>
      <w:r>
        <w:t xml:space="preserve">Document a secondary maintainer and architecture transition protocol. The bus factor risk is real; mitigating it increases both organizational resilience and acquirer confidence.</w:t>
      </w:r>
    </w:p>
    <w:p>
      <w:pPr>
        <w:pStyle w:val="ListParagraph"/>
        <w:numPr>
          <w:ilvl w:val="0"/>
          <w:numId w:val="3"/>
        </w:numPr>
        <w:spacing w:after="80"/>
      </w:pPr>
      <w:r>
        <w:t xml:space="preserve">Document the LLM failover strategy: what happens when the Claude API is unavailable or a new model version produces significantly different proposals?</w:t>
      </w:r>
    </w:p>
    <w:p>
      <w:pPr>
        <w:spacing w:after="80"/>
      </w:pPr>
      <w:r>
        <w:t xml:space="preserve"/>
      </w:r>
    </w:p>
    <w:p>
      <w:pPr>
        <w:pStyle w:val="Heading2"/>
      </w:pPr>
      <w:r>
        <w:t xml:space="preserve">Strategic (90+ Days)</w:t>
      </w:r>
    </w:p>
    <w:p>
      <w:pPr>
        <w:pStyle w:val="ListParagraph"/>
        <w:numPr>
          <w:ilvl w:val="0"/>
          <w:numId w:val="3"/>
        </w:numPr>
        <w:spacing w:after="80"/>
      </w:pPr>
      <w:r>
        <w:t xml:space="preserve">Reconsider the Android/Pydroid3 hard floor framing. Suggest reframing as 'default assumption requiring justified override' rather than 'architectural permanent floor.'</w:t>
      </w:r>
    </w:p>
    <w:p>
      <w:pPr>
        <w:pStyle w:val="ListParagraph"/>
        <w:numPr>
          <w:ilvl w:val="0"/>
          <w:numId w:val="3"/>
        </w:numPr>
        <w:spacing w:after="80"/>
      </w:pPr>
      <w:r>
        <w:t xml:space="preserve">Develop a useful mutation rate metric (not just pass rate) and publish it as a public dashboard. This is the single most compelling commercial proof point ADAAD could produce.</w:t>
      </w:r>
    </w:p>
    <w:p>
      <w:pPr>
        <w:pStyle w:val="ListParagraph"/>
        <w:numPr>
          <w:ilvl w:val="0"/>
          <w:numId w:val="3"/>
        </w:numPr>
        <w:spacing w:after="80"/>
      </w:pPr>
      <w:r>
        <w:t xml:space="preserve">Use Phase 66 direction as a test of the full earned-autonomy model: ArchitectAgent proposes, human approves. Document this publicly as a demonstration that the governance model works end-to-end at the strategic level, not just the code level.</w:t>
      </w:r>
    </w:p>
    <w:p>
      <w:pPr>
        <w:spacing w:after="80"/>
      </w:pPr>
      <w:r>
        <w:t xml:space="preserve"/>
      </w:r>
    </w:p>
    <w:p>
      <w:pPr>
        <w:pBdr>
          <w:bottom w:val="single" w:color="1F4E79" w:sz="4" w:space="1"/>
        </w:pBdr>
        <w:spacing w:after="200"/>
      </w:pPr>
      <w:r>
        <w:t xml:space="preserve"/>
      </w:r>
    </w:p>
    <w:p>
      <w:pPr>
        <w:spacing w:after="80"/>
        <w:jc w:val="center"/>
      </w:pPr>
      <w:r>
        <w:rPr>
          <w:i/>
          <w:iCs/>
          <w:color w:val="888888"/>
          <w:sz w:val="18"/>
          <w:szCs w:val="18"/>
        </w:rPr>
        <w:t xml:space="preserve">ADAAD Deep Dive Analysis  ·  March 13, 2026</w:t>
      </w:r>
    </w:p>
    <w:p>
      <w:pPr>
        <w:spacing w:after="80"/>
        <w:jc w:val="center"/>
      </w:pPr>
      <w:r>
        <w:rPr>
          <w:i/>
          <w:iCs/>
          <w:color w:val="888888"/>
          <w:sz w:val="18"/>
          <w:szCs w:val="18"/>
        </w:rPr>
        <w:t xml:space="preserve">InnovativeAI LLC  ·  github.com/InnovativeAI-adaad/ADAAD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color w:val="888888"/>
        <w:sz w:val="16"/>
        <w:szCs w:val="16"/>
      </w:rPr>
      <w:t xml:space="preserve">Confidential Analysis · March 13, 2026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2"/>
      </w:pBdr>
      <w:jc w:val="right"/>
    </w:pPr>
    <w:r>
      <w:rPr>
        <w:color w:val="888888"/>
        <w:sz w:val="16"/>
        <w:szCs w:val="16"/>
      </w:rPr>
      <w:t xml:space="preserve">ADAAD Deep Dive — InnovativeAI LLC   |   v9.0.0 Phase 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2026-03-13T19:10:05.983Z</dcterms:created>
  <dcterms:modified xsi:type="dcterms:W3CDTF">2026-03-13T19:10:05.984Z</dcterms:modified>
</cp:coreProperties>
</file>

<file path=docProps/custom.xml><?xml version="1.0" encoding="utf-8"?>
<Properties xmlns="http://schemas.openxmlformats.org/officeDocument/2006/custom-properties" xmlns:vt="http://schemas.openxmlformats.org/officeDocument/2006/docPropsVTypes"/>
</file>