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Arial" w:cs="Arial" w:eastAsia="Arial" w:hAnsi="Arial"/>
        </w:rPr>
        <w:t xml:space="preserve"> </w:t>
      </w:r>
    </w:p>
    <w:p>
      <w:pPr>
        <w:spacing w:after="60"/>
        <w:jc w:val="center"/>
      </w:pPr>
      <w:r>
        <w:rPr>
          <w:rFonts w:ascii="Arial" w:cs="Arial" w:eastAsia="Arial" w:hAnsi="Arial"/>
          <w:caps/>
          <w:color w:val="9BA8B5"/>
          <w:sz w:val="20"/>
          <w:szCs w:val="20"/>
        </w:rPr>
        <w:t xml:space="preserve">INNOVATIVE AI LLC  ·  DUSTADAAD ENGINEERING</w:t>
      </w:r>
    </w:p>
    <w:p>
      <w:pPr>
        <w:spacing w:after="240"/>
      </w:pPr>
      <w:r>
        <w:rPr>
          <w:rFonts w:ascii="Arial" w:cs="Arial" w:eastAsia="Arial" w:hAnsi="Arial"/>
        </w:rPr>
        <w:t xml:space="preserve"> </w:t>
      </w:r>
    </w:p>
    <w:p>
      <w:pPr>
        <w:spacing w:after="80"/>
        <w:jc w:val="center"/>
      </w:pPr>
      <w:r>
        <w:rPr>
          <w:rFonts w:ascii="Arial" w:cs="Arial" w:eastAsia="Arial" w:hAnsi="Arial"/>
          <w:b/>
          <w:bCs/>
          <w:color w:val="1B3A6B"/>
          <w:sz w:val="80"/>
          <w:szCs w:val="80"/>
        </w:rPr>
        <w:t xml:space="preserve">ADAAD 2.0</w:t>
      </w:r>
    </w:p>
    <w:p>
      <w:pPr>
        <w:spacing w:after="120"/>
        <w:jc w:val="center"/>
      </w:pPr>
      <w:r>
        <w:rPr>
          <w:rFonts w:ascii="Arial" w:cs="Arial" w:eastAsia="Arial" w:hAnsi="Arial"/>
          <w:b/>
          <w:bCs/>
          <w:caps/>
          <w:color w:val="0D7EB5"/>
          <w:sz w:val="28"/>
          <w:szCs w:val="28"/>
        </w:rPr>
        <w:t xml:space="preserve">THE DEFINITIVE GOVERNED AUTONOMOUS DEVELOPMENT PLATFORM</w:t>
      </w:r>
    </w:p>
    <w:p>
      <w:pPr>
        <w:pBdr>
          <w:bottom w:val="single" w:color="0D7EB5" w:sz="8" w:space="1"/>
        </w:pBdr>
        <w:spacing w:after="0"/>
      </w:pPr>
    </w:p>
    <w:p>
      <w:pPr>
        <w:spacing w:after="80"/>
      </w:pPr>
      <w:r>
        <w:rPr>
          <w:rFonts w:ascii="Arial" w:cs="Arial" w:eastAsia="Arial" w:hAnsi="Arial"/>
        </w:rPr>
        <w:t xml:space="preserve"> </w:t>
      </w:r>
    </w:p>
    <w:p>
      <w:pPr>
        <w:spacing w:after="60"/>
        <w:jc w:val="center"/>
      </w:pPr>
      <w:r>
        <w:rPr>
          <w:rFonts w:ascii="Arial" w:cs="Arial" w:eastAsia="Arial" w:hAnsi="Arial"/>
          <w:i/>
          <w:iCs/>
          <w:color w:val="5A6475"/>
          <w:sz w:val="24"/>
          <w:szCs w:val="24"/>
        </w:rPr>
        <w:t xml:space="preserve">Engineering Proposal · Future Architecture &amp; Capability Roadmap</w:t>
      </w:r>
    </w:p>
    <w:p>
      <w:pPr>
        <w:spacing w:after="480"/>
        <w:jc w:val="center"/>
      </w:pPr>
      <w:r>
        <w:rPr>
          <w:rFonts w:ascii="Arial" w:cs="Arial" w:eastAsia="Arial" w:hAnsi="Arial"/>
          <w:color w:val="9BA8B5"/>
          <w:sz w:val="20"/>
          <w:szCs w:val="20"/>
        </w:rPr>
        <w:t xml:space="preserve">Classification: Internal Engineering  ·  Version 1.0  ·  March 2026</w:t>
      </w:r>
    </w:p>
    <w:p>
      <w:r>
        <w:br w:type="page"/>
      </w:r>
    </w:p>
    <w:p>
      <w:pPr>
        <w:pStyle w:val="Heading1"/>
        <w:spacing w:before="360" w:after="120"/>
      </w:pPr>
      <w:r>
        <w:rPr>
          <w:rFonts w:ascii="Arial" w:cs="Arial" w:eastAsia="Arial" w:hAnsi="Arial"/>
        </w:rPr>
        <w:t xml:space="preserve">Executive Summary</w:t>
      </w:r>
    </w:p>
    <w:p>
      <w:pPr>
        <w:pBdr>
          <w:bottom w:val="single" w:color="0D7EB5" w:sz="8" w:space="1"/>
        </w:pBdr>
        <w:spacing w:after="0"/>
      </w:pPr>
    </w:p>
    <w:p>
      <w:pPr>
        <w:spacing w:after="80"/>
      </w:pPr>
      <w:r>
        <w:rPr>
          <w:rFonts w:ascii="Arial" w:cs="Arial" w:eastAsia="Arial" w:hAnsi="Arial"/>
        </w:rPr>
        <w:t xml:space="preserve"> </w:t>
      </w:r>
    </w:p>
    <w:p>
      <w:pPr>
        <w:spacing w:after="160"/>
      </w:pPr>
      <w:r>
        <w:rPr>
          <w:rFonts w:ascii="Arial" w:cs="Arial" w:eastAsia="Arial" w:hAnsi="Arial"/>
          <w:sz w:val="22"/>
          <w:szCs w:val="22"/>
        </w:rPr>
        <w:t xml:space="preserve">ADAAD — Autonomous Device-Anchored Adaptive Development — is today the most rigorously governed autonomous code-evolution system in existence. It enforces constitutional mutation controls, append-only lineage journals, replay verification, and fail-closed safety gates across every execution layer. Version 0.65 has validated the core governance spine. </w:t>
      </w:r>
      <w:r>
        <w:rPr>
          <w:rFonts w:ascii="Arial" w:cs="Arial" w:eastAsia="Arial" w:hAnsi="Arial"/>
          <w:b/>
          <w:bCs/>
          <w:color w:val="1B3A6B"/>
          <w:sz w:val="22"/>
          <w:szCs w:val="22"/>
        </w:rPr>
        <w:t xml:space="preserve">ADAAD 2.0 is where ADAAD becomes irreplaceable.</w:t>
      </w:r>
    </w:p>
    <w:p>
      <w:pPr>
        <w:spacing w:after="160"/>
      </w:pPr>
      <w:r>
        <w:rPr>
          <w:rFonts w:ascii="Arial" w:cs="Arial" w:eastAsia="Arial" w:hAnsi="Arial"/>
          <w:sz w:val="22"/>
          <w:szCs w:val="22"/>
        </w:rPr>
        <w:t xml:space="preserve">This proposal defines ten transformative engineering pillars that collectively elevate ADAAD from a best-in-class governance framework into </w:t>
      </w:r>
      <w:r>
        <w:rPr>
          <w:rFonts w:ascii="Arial" w:cs="Arial" w:eastAsia="Arial" w:hAnsi="Arial"/>
          <w:b/>
          <w:bCs/>
          <w:color w:val="0D7EB5"/>
          <w:sz w:val="22"/>
          <w:szCs w:val="22"/>
        </w:rPr>
        <w:t xml:space="preserve">the most useful software development platform ever built</w:t>
      </w:r>
      <w:r>
        <w:rPr>
          <w:rFonts w:ascii="Arial" w:cs="Arial" w:eastAsia="Arial" w:hAnsi="Arial"/>
          <w:sz w:val="22"/>
          <w:szCs w:val="22"/>
        </w:rPr>
        <w:t xml:space="preserve"> — one that learns, adapts, proves its own correctness, federates across any infrastructure, speaks in plain language, and evolves its own laws. Every capability is technically achievable with current cryptographic, machine learning, and distributed systems tooling. Nothing here is speculative; all of it is </w:t>
      </w:r>
      <w:r>
        <w:rPr>
          <w:rFonts w:ascii="Arial" w:cs="Arial" w:eastAsia="Arial" w:hAnsi="Arial"/>
          <w:b/>
          <w:bCs/>
          <w:sz w:val="22"/>
          <w:szCs w:val="22"/>
        </w:rPr>
        <w:t xml:space="preserve">engineering, not science fiction.</w:t>
      </w:r>
    </w:p>
    <w:p>
      <w:pPr>
        <w:spacing w:after="160"/>
      </w:pPr>
      <w:r>
        <w:rPr>
          <w:rFonts w:ascii="Arial" w:cs="Arial" w:eastAsia="Arial" w:hAnsi="Arial"/>
          <w:color w:val="1B3A6B"/>
          <w:sz w:val="22"/>
          <w:szCs w:val="22"/>
        </w:rPr>
        <w:t xml:space="preserve">ADAAD 2.0 does not just govern code. It governs the act of building software itself — with the precision of a formal proof system, the intelligence of a senior architect, and the transparency of a public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 Area</w:t>
            </w:r>
          </w:p>
        </w:tc>
        <w:tc>
          <w:tcPr>
            <w:tcW w:type="dxa" w:w="348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 Innovation</w:t>
            </w:r>
          </w:p>
        </w:tc>
        <w:tc>
          <w:tcPr>
            <w:tcW w:type="dxa" w:w="328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Outcome</w:t>
            </w:r>
          </w:p>
        </w:tc>
      </w:tr>
      <w:tr>
        <w:tc>
          <w:tcPr>
            <w:tcW w:type="dxa" w:w="26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Neural Governance Intelligence</w:t>
            </w:r>
          </w:p>
        </w:tc>
        <w:tc>
          <w:tcPr>
            <w:tcW w:type="dxa" w:w="34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LLM-native semantic mutation scoring &amp; constitutional dialogue</w:t>
            </w:r>
          </w:p>
        </w:tc>
        <w:tc>
          <w:tcPr>
            <w:tcW w:type="dxa" w:w="32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60-80% reduction in false governance rejections</w:t>
            </w:r>
          </w:p>
        </w:tc>
      </w:tr>
      <w:tr>
        <w:tc>
          <w:tcPr>
            <w:tcW w:type="dxa" w:w="26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ZK Replay Attestation</w:t>
            </w:r>
          </w:p>
        </w:tc>
        <w:tc>
          <w:tcPr>
            <w:tcW w:type="dxa" w:w="34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Zero-knowledge proofs of deterministic replay correctness</w:t>
            </w:r>
          </w:p>
        </w:tc>
        <w:tc>
          <w:tcPr>
            <w:tcW w:type="dxa" w:w="32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Third-party verifiable replay without codebase disclosure</w:t>
            </w:r>
          </w:p>
        </w:tc>
      </w:tr>
      <w:tr>
        <w:tc>
          <w:tcPr>
            <w:tcW w:type="dxa" w:w="26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Federated Autonomy Mesh</w:t>
            </w:r>
          </w:p>
        </w:tc>
        <w:tc>
          <w:tcPr>
            <w:tcW w:type="dxa" w:w="34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Multi-node peer-to-peer governance consensus across orgs</w:t>
            </w:r>
          </w:p>
        </w:tc>
        <w:tc>
          <w:tcPr>
            <w:tcW w:type="dxa" w:w="32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Org-wide coherent mutation governance without central authority</w:t>
            </w:r>
          </w:p>
        </w:tc>
      </w:tr>
      <w:tr>
        <w:tc>
          <w:tcPr>
            <w:tcW w:type="dxa" w:w="26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Predictive Entropy Forecasting</w:t>
            </w:r>
          </w:p>
        </w:tc>
        <w:tc>
          <w:tcPr>
            <w:tcW w:type="dxa" w:w="34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ML-based nondeterminism risk prediction before execution</w:t>
            </w:r>
          </w:p>
        </w:tc>
        <w:tc>
          <w:tcPr>
            <w:tcW w:type="dxa" w:w="32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Prevent entropy violations before they occur</w:t>
            </w:r>
          </w:p>
        </w:tc>
      </w:tr>
      <w:tr>
        <w:tc>
          <w:tcPr>
            <w:tcW w:type="dxa" w:w="26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Self-Amending Constitution</w:t>
            </w:r>
          </w:p>
        </w:tc>
        <w:tc>
          <w:tcPr>
            <w:tcW w:type="dxa" w:w="34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Constitutional law that evolves under quorum governance</w:t>
            </w:r>
          </w:p>
        </w:tc>
        <w:tc>
          <w:tcPr>
            <w:tcW w:type="dxa" w:w="32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Living governance that improves without losing auditability</w:t>
            </w:r>
          </w:p>
        </w:tc>
      </w:tr>
      <w:tr>
        <w:tc>
          <w:tcPr>
            <w:tcW w:type="dxa" w:w="26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Darwinian Multi-Population Evolution</w:t>
            </w:r>
          </w:p>
        </w:tc>
        <w:tc>
          <w:tcPr>
            <w:tcW w:type="dxa" w:w="34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Parallel mutation populations competing under selection pressure</w:t>
            </w:r>
          </w:p>
        </w:tc>
        <w:tc>
          <w:tcPr>
            <w:tcW w:type="dxa" w:w="32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Optimal code changes emerge rather than being chosen manually</w:t>
            </w:r>
          </w:p>
        </w:tc>
      </w:tr>
      <w:tr>
        <w:tc>
          <w:tcPr>
            <w:tcW w:type="dxa" w:w="26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Universal Deployment Mesh</w:t>
            </w:r>
          </w:p>
        </w:tc>
        <w:tc>
          <w:tcPr>
            <w:tcW w:type="dxa" w:w="34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Identical governance on Linux, ARM, WASM, and edge devices</w:t>
            </w:r>
          </w:p>
        </w:tc>
        <w:tc>
          <w:tcPr>
            <w:tcW w:type="dxa" w:w="32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ADAAD runs anywhere: server, laptop, mobile, embedded</w:t>
            </w:r>
          </w:p>
        </w:tc>
      </w:tr>
      <w:tr>
        <w:tc>
          <w:tcPr>
            <w:tcW w:type="dxa" w:w="26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Aponi Command Intelligence</w:t>
            </w:r>
          </w:p>
        </w:tc>
        <w:tc>
          <w:tcPr>
            <w:tcW w:type="dxa" w:w="34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Natural language governance interface with full audit provenance</w:t>
            </w:r>
          </w:p>
        </w:tc>
        <w:tc>
          <w:tcPr>
            <w:tcW w:type="dxa" w:w="32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Any engineer can govern ADAAD with plain-language intent</w:t>
            </w:r>
          </w:p>
        </w:tc>
      </w:tr>
      <w:tr>
        <w:tc>
          <w:tcPr>
            <w:tcW w:type="dxa" w:w="26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Cryptographic Agent Identity</w:t>
            </w:r>
          </w:p>
        </w:tc>
        <w:tc>
          <w:tcPr>
            <w:tcW w:type="dxa" w:w="34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Hardware-anchored agent DNA with verifiable lineage chains</w:t>
            </w:r>
          </w:p>
        </w:tc>
        <w:tc>
          <w:tcPr>
            <w:tcW w:type="dxa" w:w="32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Unforgeable agent provenance across every mutation cycle</w:t>
            </w:r>
          </w:p>
        </w:tc>
      </w:tr>
      <w:tr>
        <w:tc>
          <w:tcPr>
            <w:tcW w:type="dxa" w:w="26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Real-Time Governance Stream</w:t>
            </w:r>
          </w:p>
        </w:tc>
        <w:tc>
          <w:tcPr>
            <w:tcW w:type="dxa" w:w="34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Event-sourced sub-100ms governance state with WebSocket push</w:t>
            </w:r>
          </w:p>
        </w:tc>
        <w:tc>
          <w:tcPr>
            <w:tcW w:type="dxa" w:w="32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Live observability into every governance decision as it happens</w:t>
            </w:r>
          </w:p>
        </w:tc>
      </w:tr>
    </w:tbl>
    <w:p>
      <w:pPr>
        <w:spacing w:after="160"/>
      </w:pPr>
      <w:r>
        <w:rPr>
          <w:rFonts w:ascii="Arial" w:cs="Arial" w:eastAsia="Arial" w:hAnsi="Arial"/>
        </w:rPr>
        <w:t xml:space="preserve"> </w:t>
      </w:r>
    </w:p>
    <w:p>
      <w:r>
        <w:br w:type="page"/>
      </w:r>
    </w:p>
    <w:p>
      <w:pPr>
        <w:pStyle w:val="Heading1"/>
        <w:spacing w:before="360" w:after="120"/>
      </w:pPr>
      <w:r>
        <w:rPr>
          <w:rFonts w:ascii="Arial" w:cs="Arial" w:eastAsia="Arial" w:hAnsi="Arial"/>
        </w:rPr>
        <w:t xml:space="preserve">Pillar 1: Neural Governance Intelligence</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Today, ADAAD's governance decisions are deterministic and rule-based — a constitutional strength. But the scoring pipeline cannot </w:t>
      </w:r>
      <w:r>
        <w:rPr>
          <w:rFonts w:ascii="Arial" w:cs="Arial" w:eastAsia="Arial" w:hAnsi="Arial"/>
          <w:i/>
          <w:iCs/>
          <w:sz w:val="22"/>
          <w:szCs w:val="22"/>
        </w:rPr>
        <w:t xml:space="preserve">understand</w:t>
      </w:r>
      <w:r>
        <w:rPr>
          <w:rFonts w:ascii="Arial" w:cs="Arial" w:eastAsia="Arial" w:hAnsi="Arial"/>
          <w:sz w:val="22"/>
          <w:szCs w:val="22"/>
        </w:rPr>
        <w:t xml:space="preserve"> what a mutation does semantically. A rename of a critical variable and the addition of a debug log may produce similar quantitative scores while carrying wildly different risk profiles. ADAAD 2.0 resolves this with a dedicated Neural Governance Intelligence (NGI) layer.</w:t>
      </w:r>
    </w:p>
    <w:p>
      <w:pPr>
        <w:pStyle w:val="Heading2"/>
        <w:spacing w:before="280" w:after="100"/>
      </w:pPr>
      <w:r>
        <w:rPr>
          <w:rFonts w:ascii="Arial" w:cs="Arial" w:eastAsia="Arial" w:hAnsi="Arial"/>
        </w:rPr>
        <w:t xml:space="preserve">1.1  Semantic Mutation Scoring Engine</w:t>
      </w:r>
    </w:p>
    <w:p>
      <w:pPr>
        <w:spacing w:after="80"/>
      </w:pPr>
      <w:r>
        <w:rPr>
          <w:rFonts w:ascii="Arial" w:cs="Arial" w:eastAsia="Arial" w:hAnsi="Arial"/>
          <w:sz w:val="22"/>
          <w:szCs w:val="22"/>
        </w:rPr>
        <w:t xml:space="preserve">A fine-tuned code-intelligence model (anchored on current-generation LLMs, running locally via a governed inference service) analyzes the semantic content of each mutation proposal — not just its LOC delta or file path. It answers:</w:t>
      </w:r>
    </w:p>
    <w:p>
      <w:pPr>
        <w:pStyle w:val="ListParagraph"/>
        <w:numPr>
          <w:ilvl w:val="0"/>
          <w:numId w:val="2"/>
        </w:numPr>
        <w:spacing w:after="80"/>
      </w:pPr>
      <w:r>
        <w:rPr>
          <w:rFonts w:ascii="Arial" w:cs="Arial" w:eastAsia="Arial" w:hAnsi="Arial"/>
          <w:sz w:val="22"/>
          <w:szCs w:val="22"/>
        </w:rPr>
        <w:t xml:space="preserve">What behavioral invariants does this mutation alter?</w:t>
      </w:r>
    </w:p>
    <w:p>
      <w:pPr>
        <w:pStyle w:val="ListParagraph"/>
        <w:numPr>
          <w:ilvl w:val="0"/>
          <w:numId w:val="2"/>
        </w:numPr>
        <w:spacing w:after="80"/>
      </w:pPr>
      <w:r>
        <w:rPr>
          <w:rFonts w:ascii="Arial" w:cs="Arial" w:eastAsia="Arial" w:hAnsi="Arial"/>
          <w:sz w:val="22"/>
          <w:szCs w:val="22"/>
        </w:rPr>
        <w:t xml:space="preserve">Does this change violate any documented architectural contract?</w:t>
      </w:r>
    </w:p>
    <w:p>
      <w:pPr>
        <w:pStyle w:val="ListParagraph"/>
        <w:numPr>
          <w:ilvl w:val="0"/>
          <w:numId w:val="2"/>
        </w:numPr>
        <w:spacing w:after="80"/>
      </w:pPr>
      <w:r>
        <w:rPr>
          <w:rFonts w:ascii="Arial" w:cs="Arial" w:eastAsia="Arial" w:hAnsi="Arial"/>
          <w:sz w:val="22"/>
          <w:szCs w:val="22"/>
        </w:rPr>
        <w:t xml:space="preserve">What is the blast radius if this mutation is incorrect?</w:t>
      </w:r>
    </w:p>
    <w:p>
      <w:pPr>
        <w:pStyle w:val="ListParagraph"/>
        <w:numPr>
          <w:ilvl w:val="0"/>
          <w:numId w:val="2"/>
        </w:numPr>
        <w:spacing w:after="80"/>
      </w:pPr>
      <w:r>
        <w:rPr>
          <w:rFonts w:ascii="Arial" w:cs="Arial" w:eastAsia="Arial" w:hAnsi="Arial"/>
          <w:sz w:val="22"/>
          <w:szCs w:val="22"/>
        </w:rPr>
        <w:t xml:space="preserve">Does the declared intent match the actual code change?</w:t>
      </w:r>
    </w:p>
    <w:p>
      <w:pPr>
        <w:spacing w:after="80"/>
      </w:pPr>
      <w:r>
        <w:rPr>
          <w:rFonts w:ascii="Arial" w:cs="Arial" w:eastAsia="Arial" w:hAnsi="Arial"/>
        </w:rPr>
        <w:t xml:space="preserve"> </w:t>
      </w:r>
    </w:p>
    <w:p>
      <w:pPr>
        <w:spacing w:after="140"/>
      </w:pPr>
      <w:r>
        <w:rPr>
          <w:rFonts w:ascii="Arial" w:cs="Arial" w:eastAsia="Arial" w:hAnsi="Arial"/>
          <w:sz w:val="22"/>
          <w:szCs w:val="22"/>
        </w:rPr>
        <w:t xml:space="preserve">NGI operates as a </w:t>
      </w:r>
      <w:r>
        <w:rPr>
          <w:rFonts w:ascii="Arial" w:cs="Arial" w:eastAsia="Arial" w:hAnsi="Arial"/>
          <w:b/>
          <w:bCs/>
          <w:sz w:val="22"/>
          <w:szCs w:val="22"/>
        </w:rPr>
        <w:t xml:space="preserve">governance axis</w:t>
      </w:r>
      <w:r>
        <w:rPr>
          <w:rFonts w:ascii="Arial" w:cs="Arial" w:eastAsia="Arial" w:hAnsi="Arial"/>
          <w:sz w:val="22"/>
          <w:szCs w:val="22"/>
        </w:rPr>
        <w:t xml:space="preserve"> — its output is a deterministic score component, not a final decision. The constitutional gate still governs. NGI augments the scoring vector with semantic intelligence that no static rule set can match.</w:t>
      </w:r>
    </w:p>
    <w:p>
      <w:pPr>
        <w:pStyle w:val="Heading2"/>
        <w:spacing w:before="280" w:after="100"/>
      </w:pPr>
      <w:r>
        <w:rPr>
          <w:rFonts w:ascii="Arial" w:cs="Arial" w:eastAsia="Arial" w:hAnsi="Arial"/>
        </w:rPr>
        <w:t xml:space="preserve">1.2  Constitutional Dialogue Protocol</w:t>
      </w:r>
    </w:p>
    <w:p>
      <w:pPr>
        <w:spacing w:after="80"/>
      </w:pPr>
      <w:r>
        <w:rPr>
          <w:rFonts w:ascii="Arial" w:cs="Arial" w:eastAsia="Arial" w:hAnsi="Arial"/>
          <w:sz w:val="22"/>
          <w:szCs w:val="22"/>
        </w:rPr>
        <w:t xml:space="preserve">When a mutation is ambiguous — neither a clear pass nor a clear fail — the NGI initiates a Constitutional Dialogue: a structured, multi-turn reasoning trace (chain-of-thought under governance constraints) that produces a written justification for or against approval. This trace is:</w:t>
      </w:r>
    </w:p>
    <w:p>
      <w:pPr>
        <w:pStyle w:val="ListParagraph"/>
        <w:numPr>
          <w:ilvl w:val="0"/>
          <w:numId w:val="2"/>
        </w:numPr>
        <w:spacing w:after="80"/>
      </w:pPr>
      <w:r>
        <w:rPr>
          <w:rFonts w:ascii="Arial" w:cs="Arial" w:eastAsia="Arial" w:hAnsi="Arial"/>
          <w:sz w:val="22"/>
          <w:szCs w:val="22"/>
        </w:rPr>
        <w:t xml:space="preserve">Signed and appended to the ledger as a governance artifact</w:t>
      </w:r>
    </w:p>
    <w:p>
      <w:pPr>
        <w:pStyle w:val="ListParagraph"/>
        <w:numPr>
          <w:ilvl w:val="0"/>
          <w:numId w:val="2"/>
        </w:numPr>
        <w:spacing w:after="80"/>
      </w:pPr>
      <w:r>
        <w:rPr>
          <w:rFonts w:ascii="Arial" w:cs="Arial" w:eastAsia="Arial" w:hAnsi="Arial"/>
          <w:sz w:val="22"/>
          <w:szCs w:val="22"/>
        </w:rPr>
        <w:t xml:space="preserve">Replayable: the exact reasoning is deterministic given the same prompt and model checkpoint</w:t>
      </w:r>
    </w:p>
    <w:p>
      <w:pPr>
        <w:pStyle w:val="ListParagraph"/>
        <w:numPr>
          <w:ilvl w:val="0"/>
          <w:numId w:val="2"/>
        </w:numPr>
        <w:spacing w:after="80"/>
      </w:pPr>
      <w:r>
        <w:rPr>
          <w:rFonts w:ascii="Arial" w:cs="Arial" w:eastAsia="Arial" w:hAnsi="Arial"/>
          <w:sz w:val="22"/>
          <w:szCs w:val="22"/>
        </w:rPr>
        <w:t xml:space="preserve">Human-readable: any engineer can read why a mutation was approved or rejected</w:t>
      </w:r>
    </w:p>
    <w:p>
      <w:pPr>
        <w:pStyle w:val="ListParagraph"/>
        <w:numPr>
          <w:ilvl w:val="0"/>
          <w:numId w:val="2"/>
        </w:numPr>
        <w:spacing w:after="80"/>
      </w:pPr>
      <w:r>
        <w:rPr>
          <w:rFonts w:ascii="Arial" w:cs="Arial" w:eastAsia="Arial" w:hAnsi="Arial"/>
          <w:sz w:val="22"/>
          <w:szCs w:val="22"/>
        </w:rPr>
        <w:t xml:space="preserve">Auditable: the model checkpoint hash is recorded alongside the trace</w:t>
      </w:r>
    </w:p>
    <w:p>
      <w:pPr>
        <w:spacing w:after="80"/>
      </w:pPr>
      <w:r>
        <w:rPr>
          <w:rFonts w:ascii="Arial" w:cs="Arial" w:eastAsia="Arial" w:hAnsi="Arial"/>
        </w:rPr>
        <w:t xml:space="preserve"> </w:t>
      </w:r>
    </w:p>
    <w:p>
      <w:pPr>
        <w:spacing w:after="140"/>
      </w:pPr>
      <w:r>
        <w:rPr>
          <w:rFonts w:ascii="Arial" w:cs="Arial" w:eastAsia="Arial" w:hAnsi="Arial"/>
          <w:sz w:val="22"/>
          <w:szCs w:val="22"/>
        </w:rPr>
        <w:t xml:space="preserve">The Constitutional Dialogue eliminates governance opacity — the single largest friction point in autonomous code evolution systems.</w:t>
      </w:r>
    </w:p>
    <w:p>
      <w:pPr>
        <w:pStyle w:val="Heading2"/>
        <w:spacing w:before="280" w:after="100"/>
      </w:pPr>
      <w:r>
        <w:rPr>
          <w:rFonts w:ascii="Arial" w:cs="Arial" w:eastAsia="Arial" w:hAnsi="Arial"/>
        </w:rPr>
        <w:t xml:space="preserve">1.3  Governed Inference Service</w:t>
      </w:r>
    </w:p>
    <w:p>
      <w:pPr>
        <w:spacing w:after="160"/>
      </w:pPr>
      <w:r>
        <w:rPr>
          <w:rFonts w:ascii="Arial" w:cs="Arial" w:eastAsia="Arial" w:hAnsi="Arial"/>
          <w:sz w:val="22"/>
          <w:szCs w:val="22"/>
        </w:rPr>
        <w:t xml:space="preserve">The inference service runs inside the ADAAD sandbox with full syscall restriction, output validation against a response schema, and a constitutional prompt prefix that cannot be overridden by mutation proposals. Model weights are pinned to a governance-signed manifest. Any weight update requires a constitutional amendment.</w:t>
      </w:r>
    </w:p>
    <w:p>
      <w:r>
        <w:br w:type="page"/>
      </w:r>
    </w:p>
    <w:p>
      <w:pPr>
        <w:pStyle w:val="Heading1"/>
        <w:spacing w:before="360" w:after="120"/>
      </w:pPr>
      <w:r>
        <w:rPr>
          <w:rFonts w:ascii="Arial" w:cs="Arial" w:eastAsia="Arial" w:hAnsi="Arial"/>
        </w:rPr>
        <w:t xml:space="preserve">Pillar 2: Zero-Knowledge Replay Attestation</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ADAAD's replay verification is today a first-party control: the system checks its own replay digests. For high-assurance environments — regulated industries, open-source public trust, multi-org federations — this is insufficient. ADAAD 2.0 produces cryptographic proofs that any third party can verify, without ever seeing the codebase.</w:t>
      </w:r>
    </w:p>
    <w:p>
      <w:pPr>
        <w:pStyle w:val="Heading2"/>
        <w:spacing w:before="280" w:after="100"/>
      </w:pPr>
      <w:r>
        <w:rPr>
          <w:rFonts w:ascii="Arial" w:cs="Arial" w:eastAsia="Arial" w:hAnsi="Arial"/>
        </w:rPr>
        <w:t xml:space="preserve">2.1  ZK-SNARK Replay Proof Architecture</w:t>
      </w:r>
    </w:p>
    <w:p>
      <w:pPr>
        <w:spacing w:after="80"/>
      </w:pPr>
      <w:r>
        <w:rPr>
          <w:rFonts w:ascii="Arial" w:cs="Arial" w:eastAsia="Arial" w:hAnsi="Arial"/>
          <w:sz w:val="22"/>
          <w:szCs w:val="22"/>
        </w:rPr>
        <w:t xml:space="preserve">Each governance epoch terminates with a ZK-SNARK (specifically Groth16 or PLONK, depending on verification target) that encodes:</w:t>
      </w:r>
    </w:p>
    <w:p>
      <w:pPr>
        <w:pStyle w:val="ListParagraph"/>
        <w:numPr>
          <w:ilvl w:val="0"/>
          <w:numId w:val="2"/>
        </w:numPr>
        <w:spacing w:after="80"/>
      </w:pPr>
      <w:r>
        <w:rPr>
          <w:rFonts w:ascii="Arial" w:cs="Arial" w:eastAsia="Arial" w:hAnsi="Arial"/>
          <w:sz w:val="22"/>
          <w:szCs w:val="22"/>
        </w:rPr>
        <w:t xml:space="preserve">The deterministic computation graph of the replay epoch</w:t>
      </w:r>
    </w:p>
    <w:p>
      <w:pPr>
        <w:pStyle w:val="ListParagraph"/>
        <w:numPr>
          <w:ilvl w:val="0"/>
          <w:numId w:val="2"/>
        </w:numPr>
        <w:spacing w:after="80"/>
      </w:pPr>
      <w:r>
        <w:rPr>
          <w:rFonts w:ascii="Arial" w:cs="Arial" w:eastAsia="Arial" w:hAnsi="Arial"/>
          <w:sz w:val="22"/>
          <w:szCs w:val="22"/>
        </w:rPr>
        <w:t xml:space="preserve">The input digest (baseline + mutation inputs + fitness config)</w:t>
      </w:r>
    </w:p>
    <w:p>
      <w:pPr>
        <w:pStyle w:val="ListParagraph"/>
        <w:numPr>
          <w:ilvl w:val="0"/>
          <w:numId w:val="2"/>
        </w:numPr>
        <w:spacing w:after="80"/>
      </w:pPr>
      <w:r>
        <w:rPr>
          <w:rFonts w:ascii="Arial" w:cs="Arial" w:eastAsia="Arial" w:hAnsi="Arial"/>
          <w:sz w:val="22"/>
          <w:szCs w:val="22"/>
        </w:rPr>
        <w:t xml:space="preserve">The output digest (governance decision + lineage hash)</w:t>
      </w:r>
    </w:p>
    <w:p>
      <w:pPr>
        <w:pStyle w:val="ListParagraph"/>
        <w:numPr>
          <w:ilvl w:val="0"/>
          <w:numId w:val="2"/>
        </w:numPr>
        <w:spacing w:after="80"/>
      </w:pPr>
      <w:r>
        <w:rPr>
          <w:rFonts w:ascii="Arial" w:cs="Arial" w:eastAsia="Arial" w:hAnsi="Arial"/>
          <w:sz w:val="22"/>
          <w:szCs w:val="22"/>
        </w:rPr>
        <w:t xml:space="preserve">Proof that the computation was executed without nondeterministic branches</w:t>
      </w:r>
    </w:p>
    <w:p>
      <w:pPr>
        <w:spacing w:after="80"/>
      </w:pPr>
      <w:r>
        <w:rPr>
          <w:rFonts w:ascii="Arial" w:cs="Arial" w:eastAsia="Arial" w:hAnsi="Arial"/>
        </w:rPr>
        <w:t xml:space="preserve"> </w:t>
      </w:r>
    </w:p>
    <w:p>
      <w:pPr>
        <w:spacing w:after="140"/>
      </w:pPr>
      <w:r>
        <w:rPr>
          <w:rFonts w:ascii="Arial" w:cs="Arial" w:eastAsia="Arial" w:hAnsi="Arial"/>
          <w:sz w:val="22"/>
          <w:szCs w:val="22"/>
        </w:rPr>
        <w:t xml:space="preserve">The proof is compact — typically under 2KB — and verifiable in milliseconds on any machine, including a browser. It contains </w:t>
      </w:r>
      <w:r>
        <w:rPr>
          <w:rFonts w:ascii="Arial" w:cs="Arial" w:eastAsia="Arial" w:hAnsi="Arial"/>
          <w:b/>
          <w:bCs/>
          <w:color w:val="C0392B"/>
          <w:sz w:val="22"/>
          <w:szCs w:val="22"/>
        </w:rPr>
        <w:t xml:space="preserve">no code content</w:t>
      </w:r>
      <w:r>
        <w:rPr>
          <w:rFonts w:ascii="Arial" w:cs="Arial" w:eastAsia="Arial" w:hAnsi="Arial"/>
          <w:sz w:val="22"/>
          <w:szCs w:val="22"/>
        </w:rPr>
        <w:t xml:space="preserve">: only the mathematical proof of correct, deterministic execution.</w:t>
      </w:r>
    </w:p>
    <w:p>
      <w:pPr>
        <w:pStyle w:val="Heading2"/>
        <w:spacing w:before="280" w:after="100"/>
      </w:pPr>
      <w:r>
        <w:rPr>
          <w:rFonts w:ascii="Arial" w:cs="Arial" w:eastAsia="Arial" w:hAnsi="Arial"/>
        </w:rPr>
        <w:t xml:space="preserve">2.2  Public Proof Registry</w:t>
      </w:r>
    </w:p>
    <w:p>
      <w:pPr>
        <w:spacing w:after="140"/>
      </w:pPr>
      <w:r>
        <w:rPr>
          <w:rFonts w:ascii="Arial" w:cs="Arial" w:eastAsia="Arial" w:hAnsi="Arial"/>
          <w:sz w:val="22"/>
          <w:szCs w:val="22"/>
        </w:rPr>
        <w:t xml:space="preserve">ADAAD 2.0 publishes epoch proofs to a publicly readable append-only registry (options: IPFS-anchored, a transparency log such as Rekor, or a dedicated ADAAD proof chain). Any external auditor can verify that any historical governance decision was produced correctly — without accessing proprietary code, secrets, or agent DNA.</w:t>
      </w:r>
    </w:p>
    <w:p>
      <w:pPr>
        <w:pStyle w:val="Heading2"/>
        <w:spacing w:before="280" w:after="100"/>
      </w:pPr>
      <w:r>
        <w:rPr>
          <w:rFonts w:ascii="Arial" w:cs="Arial" w:eastAsia="Arial" w:hAnsi="Arial"/>
        </w:rPr>
        <w:t xml:space="preserve">2.3  Governance Commitment Scheme</w:t>
      </w:r>
    </w:p>
    <w:p>
      <w:pPr>
        <w:spacing w:after="160"/>
      </w:pPr>
      <w:r>
        <w:rPr>
          <w:rFonts w:ascii="Arial" w:cs="Arial" w:eastAsia="Arial" w:hAnsi="Arial"/>
          <w:sz w:val="22"/>
          <w:szCs w:val="22"/>
        </w:rPr>
        <w:t xml:space="preserve">Before any mutation executes, ADAAD commits to its governance decision via a cryptographic commitment (Pedersen commitment or hash commitment) that is published to the ledger. Post-execution, the proof shows the commitment was honored. This makes retroactive governance manipulation mathematically impossible — not just policy-prohibited.</w:t>
      </w:r>
    </w:p>
    <w:p>
      <w:r>
        <w:br w:type="page"/>
      </w:r>
    </w:p>
    <w:p>
      <w:pPr>
        <w:pStyle w:val="Heading1"/>
        <w:spacing w:before="360" w:after="120"/>
      </w:pPr>
      <w:r>
        <w:rPr>
          <w:rFonts w:ascii="Arial" w:cs="Arial" w:eastAsia="Arial" w:hAnsi="Arial"/>
        </w:rPr>
        <w:t xml:space="preserve">Pillar 3: Federated Autonomy Mesh</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Real organizations are not single-node systems. ADAAD 2.0 operates as a mesh of peer ADAAD instances that coordinate mutation governance across teams, repositories, and organizations — without a single point of control, and without sacrificing auditability.</w:t>
      </w:r>
    </w:p>
    <w:p>
      <w:pPr>
        <w:pStyle w:val="Heading2"/>
        <w:spacing w:before="280" w:after="100"/>
      </w:pPr>
      <w:r>
        <w:rPr>
          <w:rFonts w:ascii="Arial" w:cs="Arial" w:eastAsia="Arial" w:hAnsi="Arial"/>
        </w:rPr>
        <w:t xml:space="preserve">3.1  Governance Consensus Layer</w:t>
      </w:r>
    </w:p>
    <w:p>
      <w:pPr>
        <w:spacing w:after="80"/>
      </w:pPr>
      <w:r>
        <w:rPr>
          <w:rFonts w:ascii="Arial" w:cs="Arial" w:eastAsia="Arial" w:hAnsi="Arial"/>
          <w:sz w:val="22"/>
          <w:szCs w:val="22"/>
        </w:rPr>
        <w:t xml:space="preserve">For cross-boundary mutations (mutations that touch code owned by multiple ADAAD-governed teams), ADAAD 2.0 introduces a lightweight Byzantine-fault-tolerant consensus protocol over the governance gate decision. Participating nodes:</w:t>
      </w:r>
    </w:p>
    <w:p>
      <w:pPr>
        <w:pStyle w:val="ListParagraph"/>
        <w:numPr>
          <w:ilvl w:val="0"/>
          <w:numId w:val="2"/>
        </w:numPr>
        <w:spacing w:after="80"/>
      </w:pPr>
      <w:r>
        <w:rPr>
          <w:rFonts w:ascii="Arial" w:cs="Arial" w:eastAsia="Arial" w:hAnsi="Arial"/>
          <w:sz w:val="22"/>
          <w:szCs w:val="22"/>
        </w:rPr>
        <w:t xml:space="preserve">Each run their own constitutional evaluation independently</w:t>
      </w:r>
    </w:p>
    <w:p>
      <w:pPr>
        <w:pStyle w:val="ListParagraph"/>
        <w:numPr>
          <w:ilvl w:val="0"/>
          <w:numId w:val="2"/>
        </w:numPr>
        <w:spacing w:after="80"/>
      </w:pPr>
      <w:r>
        <w:rPr>
          <w:rFonts w:ascii="Arial" w:cs="Arial" w:eastAsia="Arial" w:hAnsi="Arial"/>
          <w:sz w:val="22"/>
          <w:szCs w:val="22"/>
        </w:rPr>
        <w:t xml:space="preserve">Exchange signed decision attestations over an authenticated channel</w:t>
      </w:r>
    </w:p>
    <w:p>
      <w:pPr>
        <w:pStyle w:val="ListParagraph"/>
        <w:numPr>
          <w:ilvl w:val="0"/>
          <w:numId w:val="2"/>
        </w:numPr>
        <w:spacing w:after="80"/>
      </w:pPr>
      <w:r>
        <w:rPr>
          <w:rFonts w:ascii="Arial" w:cs="Arial" w:eastAsia="Arial" w:hAnsi="Arial"/>
          <w:sz w:val="22"/>
          <w:szCs w:val="22"/>
        </w:rPr>
        <w:t xml:space="preserve">Reach consensus via a 2/3 supermajority before the mutation is approved</w:t>
      </w:r>
    </w:p>
    <w:p>
      <w:pPr>
        <w:pStyle w:val="ListParagraph"/>
        <w:numPr>
          <w:ilvl w:val="0"/>
          <w:numId w:val="2"/>
        </w:numPr>
        <w:spacing w:after="80"/>
      </w:pPr>
      <w:r>
        <w:rPr>
          <w:rFonts w:ascii="Arial" w:cs="Arial" w:eastAsia="Arial" w:hAnsi="Arial"/>
          <w:sz w:val="22"/>
          <w:szCs w:val="22"/>
        </w:rPr>
        <w:t xml:space="preserve">Record all partial decisions in their local ledgers, cross-linked by epoch ID</w:t>
      </w:r>
    </w:p>
    <w:p>
      <w:pPr>
        <w:spacing w:after="80"/>
      </w:pPr>
      <w:r>
        <w:rPr>
          <w:rFonts w:ascii="Arial" w:cs="Arial" w:eastAsia="Arial" w:hAnsi="Arial"/>
        </w:rPr>
        <w:t xml:space="preserve"> </w:t>
      </w:r>
    </w:p>
    <w:p>
      <w:pPr>
        <w:spacing w:after="140"/>
      </w:pPr>
      <w:r>
        <w:rPr>
          <w:rFonts w:ascii="Arial" w:cs="Arial" w:eastAsia="Arial" w:hAnsi="Arial"/>
          <w:sz w:val="22"/>
          <w:szCs w:val="22"/>
        </w:rPr>
        <w:t xml:space="preserve">No node can single-handedly approve a cross-boundary high-risk mutation. This makes ADAAD 2.0 resistant to both compromised nodes and insider governance manipulation.</w:t>
      </w:r>
    </w:p>
    <w:p>
      <w:pPr>
        <w:pStyle w:val="Heading2"/>
        <w:spacing w:before="280" w:after="100"/>
      </w:pPr>
      <w:r>
        <w:rPr>
          <w:rFonts w:ascii="Arial" w:cs="Arial" w:eastAsia="Arial" w:hAnsi="Arial"/>
        </w:rPr>
        <w:t xml:space="preserve">3.2  Federated Lineage Protocol</w:t>
      </w:r>
    </w:p>
    <w:p>
      <w:pPr>
        <w:spacing w:after="140"/>
      </w:pPr>
      <w:r>
        <w:rPr>
          <w:rFonts w:ascii="Arial" w:cs="Arial" w:eastAsia="Arial" w:hAnsi="Arial"/>
          <w:sz w:val="22"/>
          <w:szCs w:val="22"/>
        </w:rPr>
        <w:t xml:space="preserve">Each node maintains its own append-only lineage ledger. Cross-node mutations produce a </w:t>
      </w:r>
      <w:r>
        <w:rPr>
          <w:rFonts w:ascii="Arial" w:cs="Arial" w:eastAsia="Arial" w:hAnsi="Arial"/>
          <w:b/>
          <w:bCs/>
          <w:sz w:val="22"/>
          <w:szCs w:val="22"/>
        </w:rPr>
        <w:t xml:space="preserve">federated lineage event</w:t>
      </w:r>
      <w:r>
        <w:rPr>
          <w:rFonts w:ascii="Arial" w:cs="Arial" w:eastAsia="Arial" w:hAnsi="Arial"/>
          <w:sz w:val="22"/>
          <w:szCs w:val="22"/>
        </w:rPr>
        <w:t xml:space="preserve">: a compound entry referencing both local and remote ledger hashes, creating a cross-repository audit trail with cryptographic linkage. Any auditor can reconstruct the complete provenance of any change across any number of participating organizations.</w:t>
      </w:r>
    </w:p>
    <w:p>
      <w:pPr>
        <w:pStyle w:val="Heading2"/>
        <w:spacing w:before="280" w:after="100"/>
      </w:pPr>
      <w:r>
        <w:rPr>
          <w:rFonts w:ascii="Arial" w:cs="Arial" w:eastAsia="Arial" w:hAnsi="Arial"/>
        </w:rPr>
        <w:t xml:space="preserve">3.3  Trust Tiers Between Nodes</w:t>
      </w:r>
    </w:p>
    <w:p>
      <w:pPr>
        <w:spacing w:after="80"/>
      </w:pPr>
      <w:r>
        <w:rPr>
          <w:rFonts w:ascii="Arial" w:cs="Arial" w:eastAsia="Arial" w:hAnsi="Arial"/>
          <w:sz w:val="22"/>
          <w:szCs w:val="22"/>
        </w:rPr>
        <w:t xml:space="preserve">Federated nodes are not equal. ADAAD 2.0 implements a tiered trust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Trust Tier</w:t>
            </w:r>
          </w:p>
        </w:tc>
        <w:tc>
          <w:tcPr>
            <w:tcW w:type="dxa" w:w="300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Requirements</w:t>
            </w:r>
          </w:p>
        </w:tc>
        <w:tc>
          <w:tcPr>
            <w:tcW w:type="dxa" w:w="436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Cross-Node Mutation Permissions</w:t>
            </w:r>
          </w:p>
        </w:tc>
      </w:tr>
      <w:tr>
        <w:tc>
          <w:tcPr>
            <w:tcW w:type="dxa" w:w="20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Sovereign</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Same org, same KMS root</w:t>
            </w:r>
          </w:p>
        </w:tc>
        <w:tc>
          <w:tcPr>
            <w:tcW w:type="dxa" w:w="4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Full cross-boundary mutation with single-node approval</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Allied</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Different org, mutual TLS + signed charter</w:t>
            </w:r>
          </w:p>
        </w:tc>
        <w:tc>
          <w:tcPr>
            <w:tcW w:type="dxa" w:w="4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Cross-boundary mutations require 2/3 consensus vote</w:t>
            </w:r>
          </w:p>
        </w:tc>
      </w:tr>
      <w:tr>
        <w:tc>
          <w:tcPr>
            <w:tcW w:type="dxa" w:w="20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Observer</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Any signed participant</w:t>
            </w:r>
          </w:p>
        </w:tc>
        <w:tc>
          <w:tcPr>
            <w:tcW w:type="dxa" w:w="4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Read-only: proof verification and lineage inspection only</w:t>
            </w:r>
          </w:p>
        </w:tc>
      </w:tr>
    </w:tbl>
    <w:p>
      <w:pPr>
        <w:spacing w:after="160"/>
      </w:pPr>
      <w:r>
        <w:rPr>
          <w:rFonts w:ascii="Arial" w:cs="Arial" w:eastAsia="Arial" w:hAnsi="Arial"/>
        </w:rPr>
        <w:t xml:space="preserve"> </w:t>
      </w:r>
    </w:p>
    <w:p>
      <w:r>
        <w:br w:type="page"/>
      </w:r>
    </w:p>
    <w:p>
      <w:pPr>
        <w:pStyle w:val="Heading1"/>
        <w:spacing w:before="360" w:after="120"/>
      </w:pPr>
      <w:r>
        <w:rPr>
          <w:rFonts w:ascii="Arial" w:cs="Arial" w:eastAsia="Arial" w:hAnsi="Arial"/>
        </w:rPr>
        <w:t xml:space="preserve">Pillar 4: Predictive Entropy Forecasting</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ADAAD's current entropy discipline detects nondeterminism at evaluation time. This is reactive — the mutation has already been proposed and partially processed before entropy violations surface. ADAAD 2.0 inverts this: it predicts entropy risk before proposal, and shapes the mutation pipeline proactively.</w:t>
      </w:r>
    </w:p>
    <w:p>
      <w:pPr>
        <w:pStyle w:val="Heading2"/>
        <w:spacing w:before="280" w:after="100"/>
      </w:pPr>
      <w:r>
        <w:rPr>
          <w:rFonts w:ascii="Arial" w:cs="Arial" w:eastAsia="Arial" w:hAnsi="Arial"/>
        </w:rPr>
        <w:t xml:space="preserve">4.1  Entropy Risk Model</w:t>
      </w:r>
    </w:p>
    <w:p>
      <w:pPr>
        <w:spacing w:after="80"/>
      </w:pPr>
      <w:r>
        <w:rPr>
          <w:rFonts w:ascii="Arial" w:cs="Arial" w:eastAsia="Arial" w:hAnsi="Arial"/>
          <w:sz w:val="22"/>
          <w:szCs w:val="22"/>
        </w:rPr>
        <w:t xml:space="preserve">A lightweight supervised model (gradient-boosted trees, trained on ADAAD's own historical mutation + entropy telemetry) predicts the entropy bit-estimate for a mutation candidate given:</w:t>
      </w:r>
    </w:p>
    <w:p>
      <w:pPr>
        <w:pStyle w:val="ListParagraph"/>
        <w:numPr>
          <w:ilvl w:val="0"/>
          <w:numId w:val="2"/>
        </w:numPr>
        <w:spacing w:after="80"/>
      </w:pPr>
      <w:r>
        <w:rPr>
          <w:rFonts w:ascii="Arial" w:cs="Arial" w:eastAsia="Arial" w:hAnsi="Arial"/>
          <w:sz w:val="22"/>
          <w:szCs w:val="22"/>
        </w:rPr>
        <w:t xml:space="preserve">Files touched and their historical entropy contamination rate</w:t>
      </w:r>
    </w:p>
    <w:p>
      <w:pPr>
        <w:pStyle w:val="ListParagraph"/>
        <w:numPr>
          <w:ilvl w:val="0"/>
          <w:numId w:val="2"/>
        </w:numPr>
        <w:spacing w:after="80"/>
      </w:pPr>
      <w:r>
        <w:rPr>
          <w:rFonts w:ascii="Arial" w:cs="Arial" w:eastAsia="Arial" w:hAnsi="Arial"/>
          <w:sz w:val="22"/>
          <w:szCs w:val="22"/>
        </w:rPr>
        <w:t xml:space="preserve">Agent identity and its entropy discipline history</w:t>
      </w:r>
    </w:p>
    <w:p>
      <w:pPr>
        <w:pStyle w:val="ListParagraph"/>
        <w:numPr>
          <w:ilvl w:val="0"/>
          <w:numId w:val="2"/>
        </w:numPr>
        <w:spacing w:after="80"/>
      </w:pPr>
      <w:r>
        <w:rPr>
          <w:rFonts w:ascii="Arial" w:cs="Arial" w:eastAsia="Arial" w:hAnsi="Arial"/>
          <w:sz w:val="22"/>
          <w:szCs w:val="22"/>
        </w:rPr>
        <w:t xml:space="preserve">Declared intent and op types</w:t>
      </w:r>
    </w:p>
    <w:p>
      <w:pPr>
        <w:pStyle w:val="ListParagraph"/>
        <w:numPr>
          <w:ilvl w:val="0"/>
          <w:numId w:val="2"/>
        </w:numPr>
        <w:spacing w:after="80"/>
      </w:pPr>
      <w:r>
        <w:rPr>
          <w:rFonts w:ascii="Arial" w:cs="Arial" w:eastAsia="Arial" w:hAnsi="Arial"/>
          <w:sz w:val="22"/>
          <w:szCs w:val="22"/>
        </w:rPr>
        <w:t xml:space="preserve">Time-of-day and environmental entropy baseline (from Cryovant signals)</w:t>
      </w:r>
    </w:p>
    <w:p>
      <w:pPr>
        <w:spacing w:after="80"/>
      </w:pPr>
      <w:r>
        <w:rPr>
          <w:rFonts w:ascii="Arial" w:cs="Arial" w:eastAsia="Arial" w:hAnsi="Arial"/>
        </w:rPr>
        <w:t xml:space="preserve"> </w:t>
      </w:r>
    </w:p>
    <w:p>
      <w:pPr>
        <w:spacing w:after="140"/>
      </w:pPr>
      <w:r>
        <w:rPr>
          <w:rFonts w:ascii="Arial" w:cs="Arial" w:eastAsia="Arial" w:hAnsi="Arial"/>
          <w:sz w:val="22"/>
          <w:szCs w:val="22"/>
        </w:rPr>
        <w:t xml:space="preserve">The model outputs an entropy confidence interval. Mutations with predicted entropy above the deny threshold are rejected at the routing layer — before any sandbox is spun up, before any scoring work begins. This eliminates a major class of expensive late-cycle failures.</w:t>
      </w:r>
    </w:p>
    <w:p>
      <w:pPr>
        <w:pStyle w:val="Heading2"/>
        <w:spacing w:before="280" w:after="100"/>
      </w:pPr>
      <w:r>
        <w:rPr>
          <w:rFonts w:ascii="Arial" w:cs="Arial" w:eastAsia="Arial" w:hAnsi="Arial"/>
        </w:rPr>
        <w:t xml:space="preserve">4.2  Entropy Baseline Adaptation</w:t>
      </w:r>
    </w:p>
    <w:p>
      <w:pPr>
        <w:spacing w:after="140"/>
      </w:pPr>
      <w:r>
        <w:rPr>
          <w:rFonts w:ascii="Arial" w:cs="Arial" w:eastAsia="Arial" w:hAnsi="Arial"/>
          <w:sz w:val="22"/>
          <w:szCs w:val="22"/>
        </w:rPr>
        <w:t xml:space="preserve">The entropy baseline is not static. ADAAD 2.0 continuously profiles the environment (CPU jitter, scheduler variance, I/O timing) and dynamically adjusts entropy budgets via a constitutional amendment workflow — ensuring the baseline is always calibrated to the actual execution environment, not a historical snapshot.</w:t>
      </w:r>
    </w:p>
    <w:p>
      <w:pPr>
        <w:pStyle w:val="Heading2"/>
        <w:spacing w:before="280" w:after="100"/>
      </w:pPr>
      <w:r>
        <w:rPr>
          <w:rFonts w:ascii="Arial" w:cs="Arial" w:eastAsia="Arial" w:hAnsi="Arial"/>
        </w:rPr>
        <w:t xml:space="preserve">4.3  Determinism Budget Allocation</w:t>
      </w:r>
    </w:p>
    <w:p>
      <w:pPr>
        <w:spacing w:after="160"/>
      </w:pPr>
      <w:r>
        <w:rPr>
          <w:rFonts w:ascii="Arial" w:cs="Arial" w:eastAsia="Arial" w:hAnsi="Arial"/>
          <w:sz w:val="22"/>
          <w:szCs w:val="22"/>
        </w:rPr>
        <w:t xml:space="preserve">ADAAD 2.0 introduces the concept of a </w:t>
      </w:r>
      <w:r>
        <w:rPr>
          <w:rFonts w:ascii="Arial" w:cs="Arial" w:eastAsia="Arial" w:hAnsi="Arial"/>
          <w:b/>
          <w:bCs/>
          <w:color w:val="0A9396"/>
          <w:sz w:val="22"/>
          <w:szCs w:val="22"/>
        </w:rPr>
        <w:t xml:space="preserve">Determinism Budget</w:t>
      </w:r>
      <w:r>
        <w:rPr>
          <w:rFonts w:ascii="Arial" w:cs="Arial" w:eastAsia="Arial" w:hAnsi="Arial"/>
          <w:sz w:val="22"/>
          <w:szCs w:val="22"/>
        </w:rPr>
        <w:t xml:space="preserve">: a governed per-epoch allocation of permissible entropy that degrades gracefully. Low-risk mutations consume minimal budget. High-complexity multi-file mutations consume more. When the epoch budget is exhausted, further mutations are queued to the next epoch — not rejected — preserving throughput without sacrificing governance.</w:t>
      </w:r>
    </w:p>
    <w:p>
      <w:r>
        <w:br w:type="page"/>
      </w:r>
    </w:p>
    <w:p>
      <w:pPr>
        <w:pStyle w:val="Heading1"/>
        <w:spacing w:before="360" w:after="120"/>
      </w:pPr>
      <w:r>
        <w:rPr>
          <w:rFonts w:ascii="Arial" w:cs="Arial" w:eastAsia="Arial" w:hAnsi="Arial"/>
        </w:rPr>
        <w:t xml:space="preserve">Pillar 5: The Self-Amending Constitution</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ADAAD's constitution is its highest governance artifact. In v0.65 it is a static YAML policy. In ADAAD 2.0, the constitution is a living document that evolves under its own governance — subject to quorum, cryptographic attestation, and full lineage traceability. ADAAD's laws improve as ADAAD's world changes.</w:t>
      </w:r>
    </w:p>
    <w:p>
      <w:pPr>
        <w:pStyle w:val="Heading2"/>
        <w:spacing w:before="280" w:after="100"/>
      </w:pPr>
      <w:r>
        <w:rPr>
          <w:rFonts w:ascii="Arial" w:cs="Arial" w:eastAsia="Arial" w:hAnsi="Arial"/>
        </w:rPr>
        <w:t xml:space="preserve">5.1  Constitutional Amendment Workflow</w:t>
      </w:r>
    </w:p>
    <w:p>
      <w:pPr>
        <w:spacing w:after="80"/>
      </w:pPr>
      <w:r>
        <w:rPr>
          <w:rFonts w:ascii="Arial" w:cs="Arial" w:eastAsia="Arial" w:hAnsi="Arial"/>
          <w:sz w:val="22"/>
          <w:szCs w:val="22"/>
        </w:rPr>
        <w:t xml:space="preserve">Any ADAAD agent (or human operator) can propose a constitutional amendment by submitting a structured amendment request through the governance gate. An amendment passes only when:</w:t>
      </w:r>
    </w:p>
    <w:p>
      <w:pPr>
        <w:pStyle w:val="ListParagraph"/>
        <w:numPr>
          <w:ilvl w:val="0"/>
          <w:numId w:val="3"/>
        </w:numPr>
        <w:spacing w:after="80"/>
      </w:pPr>
      <w:r>
        <w:rPr>
          <w:rFonts w:ascii="Arial" w:cs="Arial" w:eastAsia="Arial" w:hAnsi="Arial"/>
          <w:sz w:val="22"/>
          <w:szCs w:val="22"/>
        </w:rPr>
        <w:t xml:space="preserve">It passes all existing constitutional rules (a constitution cannot self-violate)</w:t>
      </w:r>
    </w:p>
    <w:p>
      <w:pPr>
        <w:pStyle w:val="ListParagraph"/>
        <w:numPr>
          <w:ilvl w:val="0"/>
          <w:numId w:val="3"/>
        </w:numPr>
        <w:spacing w:after="80"/>
      </w:pPr>
      <w:r>
        <w:rPr>
          <w:rFonts w:ascii="Arial" w:cs="Arial" w:eastAsia="Arial" w:hAnsi="Arial"/>
          <w:sz w:val="22"/>
          <w:szCs w:val="22"/>
        </w:rPr>
        <w:t xml:space="preserve">A supermajority quorum of designated governance principals sign the amendment</w:t>
      </w:r>
    </w:p>
    <w:p>
      <w:pPr>
        <w:pStyle w:val="ListParagraph"/>
        <w:numPr>
          <w:ilvl w:val="0"/>
          <w:numId w:val="3"/>
        </w:numPr>
        <w:spacing w:after="80"/>
      </w:pPr>
      <w:r>
        <w:rPr>
          <w:rFonts w:ascii="Arial" w:cs="Arial" w:eastAsia="Arial" w:hAnsi="Arial"/>
          <w:sz w:val="22"/>
          <w:szCs w:val="22"/>
        </w:rPr>
        <w:t xml:space="preserve">A mandatory deliberation period elapses (configurable: 24h–72h)</w:t>
      </w:r>
    </w:p>
    <w:p>
      <w:pPr>
        <w:pStyle w:val="ListParagraph"/>
        <w:numPr>
          <w:ilvl w:val="0"/>
          <w:numId w:val="3"/>
        </w:numPr>
        <w:spacing w:after="80"/>
      </w:pPr>
      <w:r>
        <w:rPr>
          <w:rFonts w:ascii="Arial" w:cs="Arial" w:eastAsia="Arial" w:hAnsi="Arial"/>
          <w:sz w:val="22"/>
          <w:szCs w:val="22"/>
        </w:rPr>
        <w:t xml:space="preserve">A retrospective replay of the last N epochs under the new constitution shows no regressions</w:t>
      </w:r>
    </w:p>
    <w:p>
      <w:pPr>
        <w:pStyle w:val="ListParagraph"/>
        <w:numPr>
          <w:ilvl w:val="0"/>
          <w:numId w:val="3"/>
        </w:numPr>
        <w:spacing w:after="80"/>
      </w:pPr>
      <w:r>
        <w:rPr>
          <w:rFonts w:ascii="Arial" w:cs="Arial" w:eastAsia="Arial" w:hAnsi="Arial"/>
          <w:sz w:val="22"/>
          <w:szCs w:val="22"/>
        </w:rPr>
        <w:t xml:space="preserve">The amendment is appended to the constitutional lineage ledger with full attestation chain</w:t>
      </w:r>
    </w:p>
    <w:p>
      <w:pPr>
        <w:spacing w:after="80"/>
      </w:pPr>
      <w:r>
        <w:rPr>
          <w:rFonts w:ascii="Arial" w:cs="Arial" w:eastAsia="Arial" w:hAnsi="Arial"/>
        </w:rPr>
        <w:t xml:space="preserve"> </w:t>
      </w:r>
    </w:p>
    <w:p>
      <w:pPr>
        <w:spacing w:after="140"/>
      </w:pPr>
      <w:r>
        <w:rPr>
          <w:rFonts w:ascii="Arial" w:cs="Arial" w:eastAsia="Arial" w:hAnsi="Arial"/>
          <w:sz w:val="22"/>
          <w:szCs w:val="22"/>
        </w:rPr>
        <w:t xml:space="preserve">The deliberation period is non-waivable, even for emergency amendments. This prevents governance capture — no single actor, however trusted, can instantly modify the constitutional foundation.</w:t>
      </w:r>
    </w:p>
    <w:p>
      <w:pPr>
        <w:pStyle w:val="Heading2"/>
        <w:spacing w:before="280" w:after="100"/>
      </w:pPr>
      <w:r>
        <w:rPr>
          <w:rFonts w:ascii="Arial" w:cs="Arial" w:eastAsia="Arial" w:hAnsi="Arial"/>
        </w:rPr>
        <w:t xml:space="preserve">5.2  Constitutional Version Control</w:t>
      </w:r>
    </w:p>
    <w:p>
      <w:pPr>
        <w:spacing w:after="140"/>
      </w:pPr>
      <w:r>
        <w:rPr>
          <w:rFonts w:ascii="Arial" w:cs="Arial" w:eastAsia="Arial" w:hAnsi="Arial"/>
          <w:sz w:val="22"/>
          <w:szCs w:val="22"/>
        </w:rPr>
        <w:t xml:space="preserve">Every version of the constitution is immutably stored in the lineage ledger with a deterministic digest. All governance decisions reference the constitution version under which they were made. This makes every historical decision fully reproducible: given the same constitution version, the same inputs will always produce the same decision — across any ADAAD instance, anywhere, at any time.</w:t>
      </w:r>
    </w:p>
    <w:p>
      <w:pPr>
        <w:pStyle w:val="Heading2"/>
        <w:spacing w:before="280" w:after="100"/>
      </w:pPr>
      <w:r>
        <w:rPr>
          <w:rFonts w:ascii="Arial" w:cs="Arial" w:eastAsia="Arial" w:hAnsi="Arial"/>
        </w:rPr>
        <w:t xml:space="preserve">5.3  Founders-Law Primacy</w:t>
      </w:r>
    </w:p>
    <w:p>
      <w:pPr>
        <w:spacing w:after="160"/>
      </w:pPr>
      <w:r>
        <w:rPr>
          <w:rFonts w:ascii="Arial" w:cs="Arial" w:eastAsia="Arial" w:hAnsi="Arial"/>
          <w:sz w:val="22"/>
          <w:szCs w:val="22"/>
        </w:rPr>
        <w:t xml:space="preserve">The Founders' Law is the one constitutional element that cannot be amended through the standard workflow. It requires a special </w:t>
      </w:r>
      <w:r>
        <w:rPr>
          <w:rFonts w:ascii="Arial" w:cs="Arial" w:eastAsia="Arial" w:hAnsi="Arial"/>
          <w:b/>
          <w:bCs/>
          <w:color w:val="B5882D"/>
          <w:sz w:val="22"/>
          <w:szCs w:val="22"/>
        </w:rPr>
        <w:t xml:space="preserve">Founders-Law Protocol</w:t>
      </w:r>
      <w:r>
        <w:rPr>
          <w:rFonts w:ascii="Arial" w:cs="Arial" w:eastAsia="Arial" w:hAnsi="Arial"/>
          <w:sz w:val="22"/>
          <w:szCs w:val="22"/>
        </w:rPr>
        <w:t xml:space="preserve">: a human-only quorum of designated founders (identified via HSM-backed identity), a 7-day deliberation, and a fresh ZK proof that the proposed change does not violate any pre-committed invariant. This ensures ADAAD can never be governed away from its safety core.</w:t>
      </w:r>
    </w:p>
    <w:p>
      <w:r>
        <w:br w:type="page"/>
      </w:r>
    </w:p>
    <w:p>
      <w:pPr>
        <w:pStyle w:val="Heading1"/>
        <w:spacing w:before="360" w:after="120"/>
      </w:pPr>
      <w:r>
        <w:rPr>
          <w:rFonts w:ascii="Arial" w:cs="Arial" w:eastAsia="Arial" w:hAnsi="Arial"/>
        </w:rPr>
        <w:t xml:space="preserve">Pillar 6: Darwinian Multi-Population Evolution</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Current ADAAD runs a single mutation population through a single evaluation pipeline. This means the first viable mutation proposal for a given intent is the one that gets promoted. ADAAD 2.0 introduces genuine evolutionary competition: multiple mutation strategies run in parallel, compete under selection pressure, and the fittest candidates emerge through constitutional gates.</w:t>
      </w:r>
    </w:p>
    <w:p>
      <w:pPr>
        <w:pStyle w:val="Heading2"/>
        <w:spacing w:before="280" w:after="100"/>
      </w:pPr>
      <w:r>
        <w:rPr>
          <w:rFonts w:ascii="Arial" w:cs="Arial" w:eastAsia="Arial" w:hAnsi="Arial"/>
        </w:rPr>
        <w:t xml:space="preserve">6.1  Population Architecture</w:t>
      </w:r>
    </w:p>
    <w:p>
      <w:pPr>
        <w:spacing w:after="80"/>
      </w:pPr>
      <w:r>
        <w:rPr>
          <w:rFonts w:ascii="Arial" w:cs="Arial" w:eastAsia="Arial" w:hAnsi="Arial"/>
          <w:sz w:val="22"/>
          <w:szCs w:val="22"/>
        </w:rPr>
        <w:t xml:space="preserve">For each governance-approved mutation cycle, ADAAD 2.0 spawns up to N parallel candidate populations (default: 5, constitutional max: 20). Each population:</w:t>
      </w:r>
    </w:p>
    <w:p>
      <w:pPr>
        <w:pStyle w:val="ListParagraph"/>
        <w:numPr>
          <w:ilvl w:val="0"/>
          <w:numId w:val="2"/>
        </w:numPr>
        <w:spacing w:after="80"/>
      </w:pPr>
      <w:r>
        <w:rPr>
          <w:rFonts w:ascii="Arial" w:cs="Arial" w:eastAsia="Arial" w:hAnsi="Arial"/>
          <w:sz w:val="22"/>
          <w:szCs w:val="22"/>
        </w:rPr>
        <w:t xml:space="preserve">Starts from the same lineage baseline</w:t>
      </w:r>
    </w:p>
    <w:p>
      <w:pPr>
        <w:pStyle w:val="ListParagraph"/>
        <w:numPr>
          <w:ilvl w:val="0"/>
          <w:numId w:val="2"/>
        </w:numPr>
        <w:spacing w:after="80"/>
      </w:pPr>
      <w:r>
        <w:rPr>
          <w:rFonts w:ascii="Arial" w:cs="Arial" w:eastAsia="Arial" w:hAnsi="Arial"/>
          <w:sz w:val="22"/>
          <w:szCs w:val="22"/>
        </w:rPr>
        <w:t xml:space="preserve">Uses a distinct mutation strategy (e.g., conservative refactor, aggressive optimization, test-coverage-first, performance-first, readability-first)</w:t>
      </w:r>
    </w:p>
    <w:p>
      <w:pPr>
        <w:pStyle w:val="ListParagraph"/>
        <w:numPr>
          <w:ilvl w:val="0"/>
          <w:numId w:val="2"/>
        </w:numPr>
        <w:spacing w:after="80"/>
      </w:pPr>
      <w:r>
        <w:rPr>
          <w:rFonts w:ascii="Arial" w:cs="Arial" w:eastAsia="Arial" w:hAnsi="Arial"/>
          <w:sz w:val="22"/>
          <w:szCs w:val="22"/>
        </w:rPr>
        <w:t xml:space="preserve">Runs its own full fitness evaluation pipeline in an isolated sandbox</w:t>
      </w:r>
    </w:p>
    <w:p>
      <w:pPr>
        <w:pStyle w:val="ListParagraph"/>
        <w:numPr>
          <w:ilvl w:val="0"/>
          <w:numId w:val="2"/>
        </w:numPr>
        <w:spacing w:after="80"/>
      </w:pPr>
      <w:r>
        <w:rPr>
          <w:rFonts w:ascii="Arial" w:cs="Arial" w:eastAsia="Arial" w:hAnsi="Arial"/>
          <w:sz w:val="22"/>
          <w:szCs w:val="22"/>
        </w:rPr>
        <w:t xml:space="preserve">Produces its own governance artifacts and replay proofs</w:t>
      </w:r>
    </w:p>
    <w:p>
      <w:pPr>
        <w:spacing w:after="80"/>
      </w:pPr>
      <w:r>
        <w:rPr>
          <w:rFonts w:ascii="Arial" w:cs="Arial" w:eastAsia="Arial" w:hAnsi="Arial"/>
        </w:rPr>
        <w:t xml:space="preserve"> </w:t>
      </w:r>
    </w:p>
    <w:p>
      <w:pPr>
        <w:pStyle w:val="Heading2"/>
        <w:spacing w:before="280" w:after="100"/>
      </w:pPr>
      <w:r>
        <w:rPr>
          <w:rFonts w:ascii="Arial" w:cs="Arial" w:eastAsia="Arial" w:hAnsi="Arial"/>
        </w:rPr>
        <w:t xml:space="preserve">6.2  Selection &amp; Promotion</w:t>
      </w:r>
    </w:p>
    <w:p>
      <w:pPr>
        <w:spacing w:after="140"/>
      </w:pPr>
      <w:r>
        <w:rPr>
          <w:rFonts w:ascii="Arial" w:cs="Arial" w:eastAsia="Arial" w:hAnsi="Arial"/>
          <w:sz w:val="22"/>
          <w:szCs w:val="22"/>
        </w:rPr>
        <w:t xml:space="preserve">After all populations complete evaluation, a governed selection tournament determines the winner. The tournament is deterministic: given identical fitness landscapes and scoring configurations, the same population always wins. The winning population's mutation is promoted through the constitutional gate. Losing populations' artifacts are preserved in the lineage for retrospective analysis.</w:t>
      </w:r>
    </w:p>
    <w:p>
      <w:pPr>
        <w:pStyle w:val="Heading2"/>
        <w:spacing w:before="280" w:after="100"/>
      </w:pPr>
      <w:r>
        <w:rPr>
          <w:rFonts w:ascii="Arial" w:cs="Arial" w:eastAsia="Arial" w:hAnsi="Arial"/>
        </w:rPr>
        <w:t xml:space="preserve">6.3  Fitness Landscape Diversity</w:t>
      </w:r>
    </w:p>
    <w:p>
      <w:pPr>
        <w:spacing w:after="160"/>
      </w:pPr>
      <w:r>
        <w:rPr>
          <w:rFonts w:ascii="Arial" w:cs="Arial" w:eastAsia="Arial" w:hAnsi="Arial"/>
          <w:sz w:val="22"/>
          <w:szCs w:val="22"/>
        </w:rPr>
        <w:t xml:space="preserve">Each population can be configured with a different fitness weight profile — so ADAAD simultaneously asks: what is the best performance-optimized mutation? The best security-hardened mutation? The best test-coverage mutation? The constitutional gate selects the one best aligned with current policy priorities. This makes ADAAD a genuine optimization system, not just a governance filter.</w:t>
      </w:r>
    </w:p>
    <w:p>
      <w:r>
        <w:br w:type="page"/>
      </w:r>
    </w:p>
    <w:p>
      <w:pPr>
        <w:pStyle w:val="Heading1"/>
        <w:spacing w:before="360" w:after="120"/>
      </w:pPr>
      <w:r>
        <w:rPr>
          <w:rFonts w:ascii="Arial" w:cs="Arial" w:eastAsia="Arial" w:hAnsi="Arial"/>
        </w:rPr>
        <w:t xml:space="preserve">Pillar 7: Universal Deployment Mesh</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ADAAD 2.0 runs everywhere. The same governance framework, the same constitutional guarantees, the same lineage model — on a developer's MacBook, an ARM edge server, a WebAssembly runtime in a browser, or a constrained embedded system. This is not a port. It is a first-class architecture designed for universal governance.</w:t>
      </w:r>
    </w:p>
    <w:p>
      <w:pPr>
        <w:pStyle w:val="Heading2"/>
        <w:spacing w:before="280" w:after="100"/>
      </w:pPr>
      <w:r>
        <w:rPr>
          <w:rFonts w:ascii="Arial" w:cs="Arial" w:eastAsia="Arial" w:hAnsi="Arial"/>
        </w:rPr>
        <w:t xml:space="preserve">7.1  Governance Core Compilation</w:t>
      </w:r>
    </w:p>
    <w:p>
      <w:pPr>
        <w:spacing w:after="80"/>
      </w:pPr>
      <w:r>
        <w:rPr>
          <w:rFonts w:ascii="Arial" w:cs="Arial" w:eastAsia="Arial" w:hAnsi="Arial"/>
          <w:sz w:val="22"/>
          <w:szCs w:val="22"/>
        </w:rPr>
        <w:t xml:space="preserve">The ADAAD governance core — the constitutional gate, the hashing primitives, the replay verifier, and the ledger append logic — is rewritten in a systems language (Rust) that compiles to:</w:t>
      </w:r>
    </w:p>
    <w:p>
      <w:pPr>
        <w:pStyle w:val="ListParagraph"/>
        <w:numPr>
          <w:ilvl w:val="0"/>
          <w:numId w:val="2"/>
        </w:numPr>
        <w:spacing w:after="80"/>
      </w:pPr>
      <w:r>
        <w:rPr>
          <w:rFonts w:ascii="Arial" w:cs="Arial" w:eastAsia="Arial" w:hAnsi="Arial"/>
          <w:sz w:val="22"/>
          <w:szCs w:val="22"/>
        </w:rPr>
        <w:t xml:space="preserve">Native Linux x86-64 (current primary target)</w:t>
      </w:r>
    </w:p>
    <w:p>
      <w:pPr>
        <w:pStyle w:val="ListParagraph"/>
        <w:numPr>
          <w:ilvl w:val="0"/>
          <w:numId w:val="2"/>
        </w:numPr>
        <w:spacing w:after="80"/>
      </w:pPr>
      <w:r>
        <w:rPr>
          <w:rFonts w:ascii="Arial" w:cs="Arial" w:eastAsia="Arial" w:hAnsi="Arial"/>
          <w:sz w:val="22"/>
          <w:szCs w:val="22"/>
        </w:rPr>
        <w:t xml:space="preserve">ARM64 for embedded and mobile deployment</w:t>
      </w:r>
    </w:p>
    <w:p>
      <w:pPr>
        <w:pStyle w:val="ListParagraph"/>
        <w:numPr>
          <w:ilvl w:val="0"/>
          <w:numId w:val="2"/>
        </w:numPr>
        <w:spacing w:after="80"/>
      </w:pPr>
      <w:r>
        <w:rPr>
          <w:rFonts w:ascii="Arial" w:cs="Arial" w:eastAsia="Arial" w:hAnsi="Arial"/>
          <w:sz w:val="22"/>
          <w:szCs w:val="22"/>
        </w:rPr>
        <w:t xml:space="preserve">WebAssembly (WASM) for browser-embedded governance and CI/CD integration</w:t>
      </w:r>
    </w:p>
    <w:p>
      <w:pPr>
        <w:pStyle w:val="ListParagraph"/>
        <w:numPr>
          <w:ilvl w:val="0"/>
          <w:numId w:val="2"/>
        </w:numPr>
        <w:spacing w:after="80"/>
      </w:pPr>
      <w:r>
        <w:rPr>
          <w:rFonts w:ascii="Arial" w:cs="Arial" w:eastAsia="Arial" w:hAnsi="Arial"/>
          <w:sz w:val="22"/>
          <w:szCs w:val="22"/>
        </w:rPr>
        <w:t xml:space="preserve">RISC-V for experimental hardware-anchored governance on secure enclaves</w:t>
      </w:r>
    </w:p>
    <w:p>
      <w:pPr>
        <w:spacing w:after="80"/>
      </w:pPr>
      <w:r>
        <w:rPr>
          <w:rFonts w:ascii="Arial" w:cs="Arial" w:eastAsia="Arial" w:hAnsi="Arial"/>
        </w:rPr>
        <w:t xml:space="preserve"> </w:t>
      </w:r>
    </w:p>
    <w:p>
      <w:pPr>
        <w:spacing w:after="140"/>
      </w:pPr>
      <w:r>
        <w:rPr>
          <w:rFonts w:ascii="Arial" w:cs="Arial" w:eastAsia="Arial" w:hAnsi="Arial"/>
          <w:sz w:val="22"/>
          <w:szCs w:val="22"/>
        </w:rPr>
        <w:t xml:space="preserve">The Python orchestration layer remains for developer ergonomics. The governance core is the compiled hot path. This produces a 10–50x performance improvement for high-throughput mutation cycles while keeping the codebase approachable.</w:t>
      </w:r>
    </w:p>
    <w:p>
      <w:pPr>
        <w:pStyle w:val="Heading2"/>
        <w:spacing w:before="280" w:after="100"/>
      </w:pPr>
      <w:r>
        <w:rPr>
          <w:rFonts w:ascii="Arial" w:cs="Arial" w:eastAsia="Arial" w:hAnsi="Arial"/>
        </w:rPr>
        <w:t xml:space="preserve">7.2  Governance-as-a-Sidecar</w:t>
      </w:r>
    </w:p>
    <w:p>
      <w:pPr>
        <w:spacing w:after="140"/>
      </w:pPr>
      <w:r>
        <w:rPr>
          <w:rFonts w:ascii="Arial" w:cs="Arial" w:eastAsia="Arial" w:hAnsi="Arial"/>
          <w:sz w:val="22"/>
          <w:szCs w:val="22"/>
        </w:rPr>
        <w:t xml:space="preserve">ADAAD 2.0 ships as a lightweight sidecar container that can attach to any CI/CD pipeline (GitHub Actions, GitLab CI, Jenkins, Buildkite, Tekton) and provide governed mutation evaluation as a service. Any team, any codebase, any language gets ADAAD governance without adopting the full ADAAD ecosystem. This is ADAAD's path to universal adoption.</w:t>
      </w:r>
    </w:p>
    <w:p>
      <w:pPr>
        <w:pStyle w:val="Heading2"/>
        <w:spacing w:before="280" w:after="100"/>
      </w:pPr>
      <w:r>
        <w:rPr>
          <w:rFonts w:ascii="Arial" w:cs="Arial" w:eastAsia="Arial" w:hAnsi="Arial"/>
        </w:rPr>
        <w:t xml:space="preserve">7.3  Edge-Sovereign Mode</w:t>
      </w:r>
    </w:p>
    <w:p>
      <w:pPr>
        <w:spacing w:after="160"/>
      </w:pPr>
      <w:r>
        <w:rPr>
          <w:rFonts w:ascii="Arial" w:cs="Arial" w:eastAsia="Arial" w:hAnsi="Arial"/>
          <w:sz w:val="22"/>
          <w:szCs w:val="22"/>
        </w:rPr>
        <w:t xml:space="preserve">For air-gapped, offline, or sovereign cloud deployments, ADAAD 2.0 ships an Edge-Sovereign Mode: the complete governance engine runs with no external network dependencies. Proofs are produced locally, lineage is local, and the constitutional gate enforces policy without any cloud call. When connectivity is restored, edge lineage syncs to the federation mesh via a deterministic merge protocol.</w:t>
      </w:r>
    </w:p>
    <w:p>
      <w:r>
        <w:br w:type="page"/>
      </w:r>
    </w:p>
    <w:p>
      <w:pPr>
        <w:pStyle w:val="Heading1"/>
        <w:spacing w:before="360" w:after="120"/>
      </w:pPr>
      <w:r>
        <w:rPr>
          <w:rFonts w:ascii="Arial" w:cs="Arial" w:eastAsia="Arial" w:hAnsi="Arial"/>
        </w:rPr>
        <w:t xml:space="preserve">Pillar 8: Aponi Command Intelligence</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The Aponi Dashboard today is a read-only governance nerve center. ADAAD 2.0 transforms it into a full Command Intelligence interface — where any engineer, regardless of ADAAD expertise, can govern the system using plain language, and receive actionable, auditable results.</w:t>
      </w:r>
    </w:p>
    <w:p>
      <w:pPr>
        <w:pStyle w:val="Heading2"/>
        <w:spacing w:before="280" w:after="100"/>
      </w:pPr>
      <w:r>
        <w:rPr>
          <w:rFonts w:ascii="Arial" w:cs="Arial" w:eastAsia="Arial" w:hAnsi="Arial"/>
        </w:rPr>
        <w:t xml:space="preserve">8.1  Natural Language Governance Interface</w:t>
      </w:r>
    </w:p>
    <w:p>
      <w:pPr>
        <w:spacing w:after="80"/>
      </w:pPr>
      <w:r>
        <w:rPr>
          <w:rFonts w:ascii="Arial" w:cs="Arial" w:eastAsia="Arial" w:hAnsi="Arial"/>
          <w:sz w:val="22"/>
          <w:szCs w:val="22"/>
        </w:rPr>
        <w:t xml:space="preserve">Engineers interact with Aponi in plain English:</w:t>
      </w:r>
    </w:p>
    <w:p>
      <w:pPr>
        <w:pStyle w:val="ListParagraph"/>
        <w:numPr>
          <w:ilvl w:val="0"/>
          <w:numId w:val="2"/>
        </w:numPr>
        <w:spacing w:after="80"/>
      </w:pPr>
      <w:r>
        <w:rPr>
          <w:rFonts w:ascii="Arial" w:cs="Arial" w:eastAsia="Arial" w:hAnsi="Arial"/>
          <w:sz w:val="22"/>
          <w:szCs w:val="22"/>
        </w:rPr>
        <w:t xml:space="preserve">"What mutations are safe to promote this week?"</w:t>
      </w:r>
    </w:p>
    <w:p>
      <w:pPr>
        <w:pStyle w:val="ListParagraph"/>
        <w:numPr>
          <w:ilvl w:val="0"/>
          <w:numId w:val="2"/>
        </w:numPr>
        <w:spacing w:after="80"/>
      </w:pPr>
      <w:r>
        <w:rPr>
          <w:rFonts w:ascii="Arial" w:cs="Arial" w:eastAsia="Arial" w:hAnsi="Arial"/>
          <w:sz w:val="22"/>
          <w:szCs w:val="22"/>
        </w:rPr>
        <w:t xml:space="preserve">"Show me every governance decision that touched the authentication module in the last 90 days"</w:t>
      </w:r>
    </w:p>
    <w:p>
      <w:pPr>
        <w:pStyle w:val="ListParagraph"/>
        <w:numPr>
          <w:ilvl w:val="0"/>
          <w:numId w:val="2"/>
        </w:numPr>
        <w:spacing w:after="80"/>
      </w:pPr>
      <w:r>
        <w:rPr>
          <w:rFonts w:ascii="Arial" w:cs="Arial" w:eastAsia="Arial" w:hAnsi="Arial"/>
          <w:sz w:val="22"/>
          <w:szCs w:val="22"/>
        </w:rPr>
        <w:t xml:space="preserve">"Why was mutation mut_abc123 rejected, and what would I need to change to get it approved?"</w:t>
      </w:r>
    </w:p>
    <w:p>
      <w:pPr>
        <w:pStyle w:val="ListParagraph"/>
        <w:numPr>
          <w:ilvl w:val="0"/>
          <w:numId w:val="2"/>
        </w:numPr>
        <w:spacing w:after="80"/>
      </w:pPr>
      <w:r>
        <w:rPr>
          <w:rFonts w:ascii="Arial" w:cs="Arial" w:eastAsia="Arial" w:hAnsi="Arial"/>
          <w:sz w:val="22"/>
          <w:szCs w:val="22"/>
        </w:rPr>
        <w:t xml:space="preserve">"Simulate the effect of raising the high-impact score threshold from 0.50 to 0.65"</w:t>
      </w:r>
    </w:p>
    <w:p>
      <w:pPr>
        <w:pStyle w:val="ListParagraph"/>
        <w:numPr>
          <w:ilvl w:val="0"/>
          <w:numId w:val="2"/>
        </w:numPr>
        <w:spacing w:after="80"/>
      </w:pPr>
      <w:r>
        <w:rPr>
          <w:rFonts w:ascii="Arial" w:cs="Arial" w:eastAsia="Arial" w:hAnsi="Arial"/>
          <w:sz w:val="22"/>
          <w:szCs w:val="22"/>
        </w:rPr>
        <w:t xml:space="preserve">"Generate a constitutional amendment proposal to allow doc-only mutations to skip human review"</w:t>
      </w:r>
    </w:p>
    <w:p>
      <w:pPr>
        <w:spacing w:after="80"/>
      </w:pPr>
      <w:r>
        <w:rPr>
          <w:rFonts w:ascii="Arial" w:cs="Arial" w:eastAsia="Arial" w:hAnsi="Arial"/>
        </w:rPr>
        <w:t xml:space="preserve"> </w:t>
      </w:r>
    </w:p>
    <w:p>
      <w:pPr>
        <w:spacing w:after="140"/>
      </w:pPr>
      <w:r>
        <w:rPr>
          <w:rFonts w:ascii="Arial" w:cs="Arial" w:eastAsia="Arial" w:hAnsi="Arial"/>
          <w:sz w:val="22"/>
          <w:szCs w:val="22"/>
        </w:rPr>
        <w:t xml:space="preserve">Aponi translates each query into deterministic API calls, ledger lookups, and policy simulations — never bypassing governance — and returns structured answers with full audit provenance. Every Aponi response is itself a ledger event.</w:t>
      </w:r>
    </w:p>
    <w:p>
      <w:pPr>
        <w:pStyle w:val="Heading2"/>
        <w:spacing w:before="280" w:after="100"/>
      </w:pPr>
      <w:r>
        <w:rPr>
          <w:rFonts w:ascii="Arial" w:cs="Arial" w:eastAsia="Arial" w:hAnsi="Arial"/>
        </w:rPr>
        <w:t xml:space="preserve">8.2  Governance Narrative Engine</w:t>
      </w:r>
    </w:p>
    <w:p>
      <w:pPr>
        <w:spacing w:after="140"/>
      </w:pPr>
      <w:r>
        <w:rPr>
          <w:rFonts w:ascii="Arial" w:cs="Arial" w:eastAsia="Arial" w:hAnsi="Arial"/>
          <w:sz w:val="22"/>
          <w:szCs w:val="22"/>
        </w:rPr>
        <w:t xml:space="preserve">For every governance decision, Aponi can generate a plain-language narrative explaining what happened, why, what the alternatives were, and what to do next. These narratives are machine-verifiable (they reference specific ledger entries and digests) and human-readable. They replace opaque governance logs with living audit documentation.</w:t>
      </w:r>
    </w:p>
    <w:p>
      <w:pPr>
        <w:pStyle w:val="Heading2"/>
        <w:spacing w:before="280" w:after="100"/>
      </w:pPr>
      <w:r>
        <w:rPr>
          <w:rFonts w:ascii="Arial" w:cs="Arial" w:eastAsia="Arial" w:hAnsi="Arial"/>
        </w:rPr>
        <w:t xml:space="preserve">8.3  Intent-to-Mutation Pipeline</w:t>
      </w:r>
    </w:p>
    <w:p>
      <w:pPr>
        <w:spacing w:after="160"/>
      </w:pPr>
      <w:r>
        <w:rPr>
          <w:rFonts w:ascii="Arial" w:cs="Arial" w:eastAsia="Arial" w:hAnsi="Arial"/>
          <w:sz w:val="22"/>
          <w:szCs w:val="22"/>
        </w:rPr>
        <w:t xml:space="preserve">An engineer types: </w:t>
      </w:r>
      <w:r>
        <w:rPr>
          <w:rFonts w:ascii="Arial" w:cs="Arial" w:eastAsia="Arial" w:hAnsi="Arial"/>
          <w:i/>
          <w:iCs/>
          <w:color w:val="0A9396"/>
          <w:sz w:val="22"/>
          <w:szCs w:val="22"/>
        </w:rPr>
        <w:t xml:space="preserve">"Improve the performance of the scoring pipeline by at least 15% without changing its governance surface."</w:t>
      </w:r>
      <w:r>
        <w:rPr>
          <w:rFonts w:ascii="Arial" w:cs="Arial" w:eastAsia="Arial" w:hAnsi="Arial"/>
          <w:sz w:val="22"/>
          <w:szCs w:val="22"/>
        </w:rPr>
        <w:t xml:space="preserve"> Aponi translates this intent into a constrained mutation proposal, routes it through the ELEVATED tier (performance mutations touching scoring), runs the full constitutional gate, and returns a promotion-ready mutation artifact or a clear explanation of what blocked it. This is the </w:t>
      </w:r>
      <w:r>
        <w:rPr>
          <w:rFonts w:ascii="Arial" w:cs="Arial" w:eastAsia="Arial" w:hAnsi="Arial"/>
          <w:b/>
          <w:bCs/>
          <w:color w:val="1B3A6B"/>
          <w:sz w:val="22"/>
          <w:szCs w:val="22"/>
        </w:rPr>
        <w:t xml:space="preserve">intent-driven development loop</w:t>
      </w:r>
      <w:r>
        <w:rPr>
          <w:rFonts w:ascii="Arial" w:cs="Arial" w:eastAsia="Arial" w:hAnsi="Arial"/>
          <w:sz w:val="22"/>
          <w:szCs w:val="22"/>
        </w:rPr>
        <w:t xml:space="preserve"> — governance-first, human-language first.</w:t>
      </w:r>
    </w:p>
    <w:p>
      <w:r>
        <w:br w:type="page"/>
      </w:r>
    </w:p>
    <w:p>
      <w:pPr>
        <w:pStyle w:val="Heading1"/>
        <w:spacing w:before="360" w:after="120"/>
      </w:pPr>
      <w:r>
        <w:rPr>
          <w:rFonts w:ascii="Arial" w:cs="Arial" w:eastAsia="Arial" w:hAnsi="Arial"/>
        </w:rPr>
        <w:t xml:space="preserve">Pillar 9: Cryptographic Agent Identity</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ADAAD's agents today carry DNA and certificate files. ADAAD 2.0 anchors agent identity in hardware — making agent provenance unforgeable, agent lineage verifiable across federation boundaries, and agent trust levels cryptographically enforced rather than policy-declared.</w:t>
      </w:r>
    </w:p>
    <w:p>
      <w:pPr>
        <w:pStyle w:val="Heading2"/>
        <w:spacing w:before="280" w:after="100"/>
      </w:pPr>
      <w:r>
        <w:rPr>
          <w:rFonts w:ascii="Arial" w:cs="Arial" w:eastAsia="Arial" w:hAnsi="Arial"/>
        </w:rPr>
        <w:t xml:space="preserve">9.1  Hardware-Anchored Agent DNA</w:t>
      </w:r>
    </w:p>
    <w:p>
      <w:pPr>
        <w:spacing w:after="140"/>
      </w:pPr>
      <w:r>
        <w:rPr>
          <w:rFonts w:ascii="Arial" w:cs="Arial" w:eastAsia="Arial" w:hAnsi="Arial"/>
          <w:sz w:val="22"/>
          <w:szCs w:val="22"/>
        </w:rPr>
        <w:t xml:space="preserve">Each ADAAD agent's DNA is generated by, and sealed to, a hardware root of trust: a TPM 2.0, a hardware security module (HSM), or a secure enclave (Intel TDX, AMD SEV, Apple Secure Enclave). The DNA keypair is generated inside the hardware boundary and never leaves it. Mutation proposals are signed with this key at the hardware level.</w:t>
      </w:r>
    </w:p>
    <w:p>
      <w:pPr>
        <w:pStyle w:val="Heading2"/>
        <w:spacing w:before="280" w:after="100"/>
      </w:pPr>
      <w:r>
        <w:rPr>
          <w:rFonts w:ascii="Arial" w:cs="Arial" w:eastAsia="Arial" w:hAnsi="Arial"/>
        </w:rPr>
        <w:t xml:space="preserve">9.2  Verifiable Agent Lineage Chains</w:t>
      </w:r>
    </w:p>
    <w:p>
      <w:pPr>
        <w:spacing w:after="140"/>
      </w:pPr>
      <w:r>
        <w:rPr>
          <w:rFonts w:ascii="Arial" w:cs="Arial" w:eastAsia="Arial" w:hAnsi="Arial"/>
          <w:sz w:val="22"/>
          <w:szCs w:val="22"/>
        </w:rPr>
        <w:t xml:space="preserve">Every agent has a lineage chain: a tamper-evident sequence of signed identity attestations recording every major lifecycle event — creation, capability grant, mutation cycle participation, constitutional violation, and retirement. This chain is stored in the federated lineage mesh and is readable (with appropriate access) by any participant.</w:t>
      </w:r>
    </w:p>
    <w:p>
      <w:pPr>
        <w:pStyle w:val="Heading2"/>
        <w:spacing w:before="280" w:after="100"/>
      </w:pPr>
      <w:r>
        <w:rPr>
          <w:rFonts w:ascii="Arial" w:cs="Arial" w:eastAsia="Arial" w:hAnsi="Arial"/>
        </w:rPr>
        <w:t xml:space="preserve">9.3  Dynamic Capability Revocation</w:t>
      </w:r>
    </w:p>
    <w:p>
      <w:pPr>
        <w:spacing w:after="160"/>
      </w:pPr>
      <w:r>
        <w:rPr>
          <w:rFonts w:ascii="Arial" w:cs="Arial" w:eastAsia="Arial" w:hAnsi="Arial"/>
          <w:sz w:val="22"/>
          <w:szCs w:val="22"/>
        </w:rPr>
        <w:t xml:space="preserve">Agent capabilities can be revoked mid-cycle with immediate effect: the revocation is signed by a governance principal, appended to the lineage chain, and broadcast to all mesh participants. Any in-flight mutation from the revoked agent is immediately quarantined pending review. This makes ADAAD's agent model as strong as the strongest enterprise identity management systems.</w:t>
      </w:r>
    </w:p>
    <w:p>
      <w:r>
        <w:br w:type="page"/>
      </w:r>
    </w:p>
    <w:p>
      <w:pPr>
        <w:pStyle w:val="Heading1"/>
        <w:spacing w:before="360" w:after="120"/>
      </w:pPr>
      <w:r>
        <w:rPr>
          <w:rFonts w:ascii="Arial" w:cs="Arial" w:eastAsia="Arial" w:hAnsi="Arial"/>
        </w:rPr>
        <w:t xml:space="preserve">Pillar 10: Real-Time Governance Stream</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ADAAD's current observability model is polling-based and dashboard-driven. ADAAD 2.0 is event-sourced from the ground up: every governance event — mutation proposed, axis evaluated, gate decided, lineage appended, constitution checked — is a real-time stream event delivered to any consumer within 100ms of occurrence.</w:t>
      </w:r>
    </w:p>
    <w:p>
      <w:pPr>
        <w:pStyle w:val="Heading2"/>
        <w:spacing w:before="280" w:after="100"/>
      </w:pPr>
      <w:r>
        <w:rPr>
          <w:rFonts w:ascii="Arial" w:cs="Arial" w:eastAsia="Arial" w:hAnsi="Arial"/>
        </w:rPr>
        <w:t xml:space="preserve">10.1  Event-Sourced Governance State</w:t>
      </w:r>
    </w:p>
    <w:p>
      <w:pPr>
        <w:spacing w:after="80"/>
      </w:pPr>
      <w:r>
        <w:rPr>
          <w:rFonts w:ascii="Arial" w:cs="Arial" w:eastAsia="Arial" w:hAnsi="Arial"/>
          <w:sz w:val="22"/>
          <w:szCs w:val="22"/>
        </w:rPr>
        <w:t xml:space="preserve">ADAAD 2.0's governance state is the sum of its events — not a derived snapshot. This means:</w:t>
      </w:r>
    </w:p>
    <w:p>
      <w:pPr>
        <w:pStyle w:val="ListParagraph"/>
        <w:numPr>
          <w:ilvl w:val="0"/>
          <w:numId w:val="2"/>
        </w:numPr>
        <w:spacing w:after="80"/>
      </w:pPr>
      <w:r>
        <w:rPr>
          <w:rFonts w:ascii="Arial" w:cs="Arial" w:eastAsia="Arial" w:hAnsi="Arial"/>
          <w:sz w:val="22"/>
          <w:szCs w:val="22"/>
        </w:rPr>
        <w:t xml:space="preserve">Any historical governance state can be reconstructed by replaying the event log</w:t>
      </w:r>
    </w:p>
    <w:p>
      <w:pPr>
        <w:pStyle w:val="ListParagraph"/>
        <w:numPr>
          <w:ilvl w:val="0"/>
          <w:numId w:val="2"/>
        </w:numPr>
        <w:spacing w:after="80"/>
      </w:pPr>
      <w:r>
        <w:rPr>
          <w:rFonts w:ascii="Arial" w:cs="Arial" w:eastAsia="Arial" w:hAnsi="Arial"/>
          <w:sz w:val="22"/>
          <w:szCs w:val="22"/>
        </w:rPr>
        <w:t xml:space="preserve">The current state is always consistent with the event log — no hidden side-effects</w:t>
      </w:r>
    </w:p>
    <w:p>
      <w:pPr>
        <w:pStyle w:val="ListParagraph"/>
        <w:numPr>
          <w:ilvl w:val="0"/>
          <w:numId w:val="2"/>
        </w:numPr>
        <w:spacing w:after="80"/>
      </w:pPr>
      <w:r>
        <w:rPr>
          <w:rFonts w:ascii="Arial" w:cs="Arial" w:eastAsia="Arial" w:hAnsi="Arial"/>
          <w:sz w:val="22"/>
          <w:szCs w:val="22"/>
        </w:rPr>
        <w:t xml:space="preserve">New consumers can subscribe at any point and receive the complete state projection</w:t>
      </w:r>
    </w:p>
    <w:p>
      <w:pPr>
        <w:pStyle w:val="ListParagraph"/>
        <w:numPr>
          <w:ilvl w:val="0"/>
          <w:numId w:val="2"/>
        </w:numPr>
        <w:spacing w:after="80"/>
      </w:pPr>
      <w:r>
        <w:rPr>
          <w:rFonts w:ascii="Arial" w:cs="Arial" w:eastAsia="Arial" w:hAnsi="Arial"/>
          <w:sz w:val="22"/>
          <w:szCs w:val="22"/>
        </w:rPr>
        <w:t xml:space="preserve">Governance state can be migrated across systems by migrating the event log</w:t>
      </w:r>
    </w:p>
    <w:p>
      <w:pPr>
        <w:spacing w:after="80"/>
      </w:pPr>
      <w:r>
        <w:rPr>
          <w:rFonts w:ascii="Arial" w:cs="Arial" w:eastAsia="Arial" w:hAnsi="Arial"/>
        </w:rPr>
        <w:t xml:space="preserve"> </w:t>
      </w:r>
    </w:p>
    <w:p>
      <w:pPr>
        <w:pStyle w:val="Heading2"/>
        <w:spacing w:before="280" w:after="100"/>
      </w:pPr>
      <w:r>
        <w:rPr>
          <w:rFonts w:ascii="Arial" w:cs="Arial" w:eastAsia="Arial" w:hAnsi="Arial"/>
        </w:rPr>
        <w:t xml:space="preserve">10.2  WebSocket Push API</w:t>
      </w:r>
    </w:p>
    <w:p>
      <w:pPr>
        <w:spacing w:after="80"/>
      </w:pPr>
      <w:r>
        <w:rPr>
          <w:rFonts w:ascii="Arial" w:cs="Arial" w:eastAsia="Arial" w:hAnsi="Arial"/>
          <w:sz w:val="22"/>
          <w:szCs w:val="22"/>
        </w:rPr>
        <w:t xml:space="preserve">The Aponi Dashboard and any external integration subscribes to governance events via a typed WebSocket API. Events are schema-validated, signed, and include the ledger entry reference. This enables:</w:t>
      </w:r>
    </w:p>
    <w:p>
      <w:pPr>
        <w:pStyle w:val="ListParagraph"/>
        <w:numPr>
          <w:ilvl w:val="0"/>
          <w:numId w:val="2"/>
        </w:numPr>
        <w:spacing w:after="80"/>
      </w:pPr>
      <w:r>
        <w:rPr>
          <w:rFonts w:ascii="Arial" w:cs="Arial" w:eastAsia="Arial" w:hAnsi="Arial"/>
          <w:sz w:val="22"/>
          <w:szCs w:val="22"/>
        </w:rPr>
        <w:t xml:space="preserve">Live mutation cycle progress in the Aponi UI with sub-second updates</w:t>
      </w:r>
    </w:p>
    <w:p>
      <w:pPr>
        <w:pStyle w:val="ListParagraph"/>
        <w:numPr>
          <w:ilvl w:val="0"/>
          <w:numId w:val="2"/>
        </w:numPr>
        <w:spacing w:after="80"/>
      </w:pPr>
      <w:r>
        <w:rPr>
          <w:rFonts w:ascii="Arial" w:cs="Arial" w:eastAsia="Arial" w:hAnsi="Arial"/>
          <w:sz w:val="22"/>
          <w:szCs w:val="22"/>
        </w:rPr>
        <w:t xml:space="preserve">External alerting systems (PagerDuty, Slack, OpsGenie) receiving governance alerts in real time</w:t>
      </w:r>
    </w:p>
    <w:p>
      <w:pPr>
        <w:pStyle w:val="ListParagraph"/>
        <w:numPr>
          <w:ilvl w:val="0"/>
          <w:numId w:val="2"/>
        </w:numPr>
        <w:spacing w:after="80"/>
      </w:pPr>
      <w:r>
        <w:rPr>
          <w:rFonts w:ascii="Arial" w:cs="Arial" w:eastAsia="Arial" w:hAnsi="Arial"/>
          <w:sz w:val="22"/>
          <w:szCs w:val="22"/>
        </w:rPr>
        <w:t xml:space="preserve">CI/CD pipeline gates that block deployment until ADAAD governance confirms the mutation is approved</w:t>
      </w:r>
    </w:p>
    <w:p>
      <w:pPr>
        <w:pStyle w:val="ListParagraph"/>
        <w:numPr>
          <w:ilvl w:val="0"/>
          <w:numId w:val="2"/>
        </w:numPr>
        <w:spacing w:after="80"/>
      </w:pPr>
      <w:r>
        <w:rPr>
          <w:rFonts w:ascii="Arial" w:cs="Arial" w:eastAsia="Arial" w:hAnsi="Arial"/>
          <w:sz w:val="22"/>
          <w:szCs w:val="22"/>
        </w:rPr>
        <w:t xml:space="preserve">Compliance dashboards updated in real time as governance decisions occur</w:t>
      </w:r>
    </w:p>
    <w:p>
      <w:pPr>
        <w:spacing w:after="80"/>
      </w:pPr>
      <w:r>
        <w:rPr>
          <w:rFonts w:ascii="Arial" w:cs="Arial" w:eastAsia="Arial" w:hAnsi="Arial"/>
        </w:rPr>
        <w:t xml:space="preserve"> </w:t>
      </w:r>
    </w:p>
    <w:p>
      <w:pPr>
        <w:pStyle w:val="Heading2"/>
        <w:spacing w:before="280" w:after="100"/>
      </w:pPr>
      <w:r>
        <w:rPr>
          <w:rFonts w:ascii="Arial" w:cs="Arial" w:eastAsia="Arial" w:hAnsi="Arial"/>
        </w:rPr>
        <w:t xml:space="preserve">10.3  Governance Event Schema Registry</w:t>
      </w:r>
    </w:p>
    <w:p>
      <w:pPr>
        <w:spacing w:after="160"/>
      </w:pPr>
      <w:r>
        <w:rPr>
          <w:rFonts w:ascii="Arial" w:cs="Arial" w:eastAsia="Arial" w:hAnsi="Arial"/>
          <w:sz w:val="22"/>
          <w:szCs w:val="22"/>
        </w:rPr>
        <w:t xml:space="preserve">All governance event types are versioned, schema-validated, and published to a typed schema registry. External consumers can generate strongly-typed clients in any language. Schema evolution is governed — breaking changes require a constitutional amendment. This makes ADAAD's event API as stable and trustworthy as its governance decisions.</w:t>
      </w:r>
    </w:p>
    <w:p>
      <w:r>
        <w:br w:type="page"/>
      </w:r>
    </w:p>
    <w:p>
      <w:pPr>
        <w:pStyle w:val="Heading1"/>
        <w:spacing w:before="360" w:after="120"/>
      </w:pPr>
      <w:r>
        <w:rPr>
          <w:rFonts w:ascii="Arial" w:cs="Arial" w:eastAsia="Arial" w:hAnsi="Arial"/>
        </w:rPr>
        <w:t xml:space="preserve">Implementation Roadmap</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ADAAD 2.0 is delivered in four phases, each independently valuable and backward-compatible with the existing v0.65 governance spine. No phase requires a breaking change to the existing constitution, ledger format, or replay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360"/>
        <w:gridCol w:w="3000"/>
      </w:tblGrid>
      <w:tr>
        <w:tc>
          <w:tcPr>
            <w:tcW w:type="dxa" w:w="140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60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336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Deliverables</w:t>
            </w:r>
          </w:p>
        </w:tc>
        <w:tc>
          <w:tcPr>
            <w:tcW w:type="dxa" w:w="300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Pillars</w:t>
            </w:r>
          </w:p>
        </w:tc>
      </w:tr>
      <w:tr>
        <w:tc>
          <w:tcPr>
            <w:tcW w:type="dxa" w:w="14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FOUNDATION</w:t>
            </w:r>
          </w:p>
        </w:tc>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Q2 2026</w:t>
            </w:r>
          </w:p>
        </w:tc>
        <w:tc>
          <w:tcPr>
            <w:tcW w:type="dxa" w:w="3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Real-Time Governance Stream, Governance Core in Rust (WASM/ARM), Governance-as-a-Sidecar, Entropy Forecasting Model v1</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Pillar 10, 7, 4</w:t>
            </w:r>
          </w:p>
        </w:tc>
      </w:tr>
      <w:tr>
        <w:tc>
          <w:tcPr>
            <w:tcW w:type="dxa" w:w="1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INTELLIGENCE</w:t>
            </w:r>
          </w:p>
        </w:tc>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Q3 2026</w:t>
            </w:r>
          </w:p>
        </w:tc>
        <w:tc>
          <w:tcPr>
            <w:tcW w:type="dxa" w:w="3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Neural Governance Intelligence (local LLM inference), Constitutional Dialogue Protocol, Aponi Command Interface v1, Intent-to-Mutation Pipeline</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Pillar 1, 8</w:t>
            </w:r>
          </w:p>
        </w:tc>
      </w:tr>
      <w:tr>
        <w:tc>
          <w:tcPr>
            <w:tcW w:type="dxa" w:w="14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PROOF</w:t>
            </w:r>
          </w:p>
        </w:tc>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Q4 2026</w:t>
            </w:r>
          </w:p>
        </w:tc>
        <w:tc>
          <w:tcPr>
            <w:tcW w:type="dxa" w:w="3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ZK-SNARK Replay Attestation, Governance Commitment Scheme, Public Proof Registry, Hardware-Anchored Agent DNA, Dynamic Capability Revocation</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Pillar 2, 9</w:t>
            </w:r>
          </w:p>
        </w:tc>
      </w:tr>
      <w:tr>
        <w:tc>
          <w:tcPr>
            <w:tcW w:type="dxa" w:w="1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EVOLUTION</w:t>
            </w:r>
          </w:p>
        </w:tc>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Q1–Q2 2027</w:t>
            </w:r>
          </w:p>
        </w:tc>
        <w:tc>
          <w:tcPr>
            <w:tcW w:type="dxa" w:w="3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Self-Amending Constitution, Darwinian Multi-Population Evolution, Federated Autonomy Mesh, Founders-Law Protocol, Constitutional Version Control</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Pillar 3, 5, 6</w:t>
            </w:r>
          </w:p>
        </w:tc>
      </w:tr>
    </w:tbl>
    <w:p>
      <w:pPr>
        <w:spacing w:after="160"/>
      </w:pPr>
      <w:r>
        <w:rPr>
          <w:rFonts w:ascii="Arial" w:cs="Arial" w:eastAsia="Arial" w:hAnsi="Arial"/>
        </w:rPr>
        <w:t xml:space="preserve"> </w:t>
      </w:r>
    </w:p>
    <w:p>
      <w:r>
        <w:br w:type="page"/>
      </w:r>
    </w:p>
    <w:p>
      <w:pPr>
        <w:pStyle w:val="Heading1"/>
        <w:spacing w:before="360" w:after="120"/>
      </w:pPr>
      <w:r>
        <w:rPr>
          <w:rFonts w:ascii="Arial" w:cs="Arial" w:eastAsia="Arial" w:hAnsi="Arial"/>
        </w:rPr>
        <w:t xml:space="preserve">Governance &amp; Risk Assessment</w:t>
      </w:r>
    </w:p>
    <w:p>
      <w:pPr>
        <w:pBdr>
          <w:bottom w:val="single" w:color="0D7EB5" w:sz="8" w:space="1"/>
        </w:pBdr>
        <w:spacing w:after="0"/>
      </w:pPr>
    </w:p>
    <w:p>
      <w:pPr>
        <w:spacing w:after="80"/>
      </w:pPr>
      <w:r>
        <w:rPr>
          <w:rFonts w:ascii="Arial" w:cs="Arial" w:eastAsia="Arial" w:hAnsi="Arial"/>
        </w:rPr>
        <w:t xml:space="preserve"> </w:t>
      </w:r>
    </w:p>
    <w:p>
      <w:pPr>
        <w:pStyle w:val="Heading2"/>
        <w:spacing w:before="280" w:after="100"/>
      </w:pPr>
      <w:r>
        <w:rPr>
          <w:rFonts w:ascii="Arial" w:cs="Arial" w:eastAsia="Arial" w:hAnsi="Arial"/>
        </w:rPr>
        <w:t xml:space="preserve">Technical Feasibility</w:t>
      </w:r>
    </w:p>
    <w:p>
      <w:pPr>
        <w:spacing w:after="100"/>
      </w:pPr>
      <w:r>
        <w:rPr>
          <w:rFonts w:ascii="Arial" w:cs="Arial" w:eastAsia="Arial" w:hAnsi="Arial"/>
          <w:sz w:val="22"/>
          <w:szCs w:val="22"/>
        </w:rPr>
        <w:t xml:space="preserve">Every capability described in this proposal is grounded in existing, production-grade technology. The following table maps each pillar to its primary enabling technology and the maturity of that technology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780"/>
        <w:gridCol w:w="1780"/>
      </w:tblGrid>
      <w:tr>
        <w:tc>
          <w:tcPr>
            <w:tcW w:type="dxa" w:w="280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Pillar</w:t>
            </w:r>
          </w:p>
        </w:tc>
        <w:tc>
          <w:tcPr>
            <w:tcW w:type="dxa" w:w="300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Enabling Technology</w:t>
            </w:r>
          </w:p>
        </w:tc>
        <w:tc>
          <w:tcPr>
            <w:tcW w:type="dxa" w:w="178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 Maturity</w:t>
            </w:r>
          </w:p>
        </w:tc>
        <w:tc>
          <w:tcPr>
            <w:tcW w:type="dxa" w:w="1780"/>
            <w:tcBorders>
              <w:top w:val="single" w:color="0D7EB5" w:sz="1"/>
              <w:left w:val="single" w:color="0D7EB5" w:sz="1"/>
              <w:bottom w:val="single" w:color="0D7EB5" w:sz="1"/>
              <w:right w:val="single" w:color="0D7EB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r>
      <w:tr>
        <w:tc>
          <w:tcPr>
            <w:tcW w:type="dxa" w:w="28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Neural Gov. Intelligence</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Local LLM inference (llama.cpp, Ollama), fine-tuning</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Production-ready</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LOW</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ZK Replay Attestation</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Groth16/PLONK ZK-SNARKs (bellman, snarkjs, arkworks)</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Mature, active</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B5882D"/>
                <w:sz w:val="20"/>
                <w:szCs w:val="20"/>
              </w:rPr>
              <w:t xml:space="preserve">MEDIUM</w:t>
            </w:r>
          </w:p>
        </w:tc>
      </w:tr>
      <w:tr>
        <w:tc>
          <w:tcPr>
            <w:tcW w:type="dxa" w:w="28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Federated Mesh</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BFT consensus (Tendermint-derived), mTLS peer mesh</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Production-ready</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B5882D"/>
                <w:sz w:val="20"/>
                <w:szCs w:val="20"/>
              </w:rPr>
              <w:t xml:space="preserve">MEDIUM</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Entropy Forecasting</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LightGBM / XGBoost, online learning, existing telemetry</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Mature</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LOW</w:t>
            </w:r>
          </w:p>
        </w:tc>
      </w:tr>
      <w:tr>
        <w:tc>
          <w:tcPr>
            <w:tcW w:type="dxa" w:w="28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Self-Amending Constitution</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Constitutional amendment protocol (new, built on existing governance gate)</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D7EB5"/>
                <w:sz w:val="20"/>
                <w:szCs w:val="20"/>
              </w:rPr>
              <w:t xml:space="preserve">Novel — ADAAD-native</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B5882D"/>
                <w:sz w:val="20"/>
                <w:szCs w:val="20"/>
              </w:rPr>
              <w:t xml:space="preserve">MEDIUM</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Darwinian Evolution</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Parallel sandboxed evaluation, tournament selection</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Extensions of existing</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LOW</w:t>
            </w:r>
          </w:p>
        </w:tc>
      </w:tr>
      <w:tr>
        <w:tc>
          <w:tcPr>
            <w:tcW w:type="dxa" w:w="28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Universal Deployment</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Rust + WASM (wasm-pack), Docker sidecar</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Production-ready</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LOW</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Aponi Command Intelligence</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LLM + structured API translation, existing Aponi endpoints</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Production-ready</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LOW</w:t>
            </w:r>
          </w:p>
        </w:tc>
      </w:tr>
      <w:tr>
        <w:tc>
          <w:tcPr>
            <w:tcW w:type="dxa" w:w="2800"/>
            <w:tcBorders>
              <w:top w:val="single" w:color="C5D8EE" w:sz="1"/>
              <w:left w:val="single" w:color="C5D8EE" w:sz="1"/>
              <w:bottom w:val="single" w:color="C5D8EE" w:sz="1"/>
              <w:right w:val="single" w:color="C5D8EE" w:sz="1"/>
            </w:tcBorders>
            <w:shd w:fill="E8F1FA" w:val="clear"/>
            <w:tcMar>
              <w:top w:type="dxa" w:w="80"/>
              <w:left w:type="dxa" w:w="120"/>
              <w:bottom w:type="dxa" w:w="80"/>
              <w:right w:type="dxa" w:w="120"/>
            </w:tcMar>
          </w:tcPr>
          <w:p>
            <w:r>
              <w:rPr>
                <w:rFonts w:ascii="Arial" w:cs="Arial" w:eastAsia="Arial" w:hAnsi="Arial"/>
                <w:b/>
                <w:bCs/>
                <w:color w:val="1B3A6B"/>
                <w:sz w:val="20"/>
                <w:szCs w:val="20"/>
              </w:rPr>
              <w:t xml:space="preserve">Cryptographic Agent Identity</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TPM 2.0, HSM, Intel TDX / AMD SEV</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Mature</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LOW</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Real-Time Gov. Stream</w:t>
            </w:r>
          </w:p>
        </w:tc>
        <w:tc>
          <w:tcPr>
            <w:tcW w:type="dxa" w:w="3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left"/>
            </w:pPr>
            <w:r>
              <w:rPr>
                <w:rFonts w:ascii="Arial" w:cs="Arial" w:eastAsia="Arial" w:hAnsi="Arial"/>
                <w:color w:val="0A0E1A"/>
                <w:sz w:val="20"/>
                <w:szCs w:val="20"/>
              </w:rPr>
              <w:t xml:space="preserve">Event sourcing, WebSocket, schema registry (Confluent-compatible)</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Mature</w:t>
            </w:r>
          </w:p>
        </w:tc>
        <w:tc>
          <w:tcPr>
            <w:tcW w:type="dxa" w:w="1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vAlign w:val="center"/>
          </w:tcPr>
          <w:p>
            <w:pPr>
              <w:jc w:val="center"/>
            </w:pPr>
            <w:r>
              <w:rPr>
                <w:rFonts w:ascii="Arial" w:cs="Arial" w:eastAsia="Arial" w:hAnsi="Arial"/>
                <w:color w:val="0A9396"/>
                <w:sz w:val="20"/>
                <w:szCs w:val="20"/>
              </w:rPr>
              <w:t xml:space="preserve">LOW</w:t>
            </w:r>
          </w:p>
        </w:tc>
      </w:tr>
    </w:tbl>
    <w:p>
      <w:pPr>
        <w:spacing w:after="160"/>
      </w:pPr>
      <w:r>
        <w:rPr>
          <w:rFonts w:ascii="Arial" w:cs="Arial" w:eastAsia="Arial" w:hAnsi="Arial"/>
        </w:rPr>
        <w:t xml:space="preserve"> </w:t>
      </w:r>
    </w:p>
    <w:p>
      <w:pPr>
        <w:pStyle w:val="Heading2"/>
        <w:spacing w:before="280" w:after="100"/>
      </w:pPr>
      <w:r>
        <w:rPr>
          <w:rFonts w:ascii="Arial" w:cs="Arial" w:eastAsia="Arial" w:hAnsi="Arial"/>
        </w:rPr>
        <w:t xml:space="preserve">Governance Invariants — Non-Negotiable Throughout</w:t>
      </w:r>
    </w:p>
    <w:p>
      <w:pPr>
        <w:spacing w:after="80"/>
      </w:pPr>
      <w:r>
        <w:rPr>
          <w:rFonts w:ascii="Arial" w:cs="Arial" w:eastAsia="Arial" w:hAnsi="Arial"/>
          <w:sz w:val="22"/>
          <w:szCs w:val="22"/>
        </w:rPr>
        <w:t xml:space="preserve">Regardless of which pillar is in scope, the following invariants must hold in every line of ADAAD 2.0 code:</w:t>
      </w:r>
    </w:p>
    <w:p>
      <w:pPr>
        <w:pStyle w:val="ListParagraph"/>
        <w:numPr>
          <w:ilvl w:val="0"/>
          <w:numId w:val="2"/>
        </w:numPr>
        <w:spacing w:after="80"/>
      </w:pPr>
      <w:r>
        <w:rPr>
          <w:rFonts w:ascii="Arial" w:cs="Arial" w:eastAsia="Arial" w:hAnsi="Arial"/>
          <w:sz w:val="22"/>
          <w:szCs w:val="22"/>
        </w:rPr>
        <w:t xml:space="preserve">All governance decisions are deterministic given identical inputs and configuration</w:t>
      </w:r>
    </w:p>
    <w:p>
      <w:pPr>
        <w:pStyle w:val="ListParagraph"/>
        <w:numPr>
          <w:ilvl w:val="0"/>
          <w:numId w:val="2"/>
        </w:numPr>
        <w:spacing w:after="80"/>
      </w:pPr>
      <w:r>
        <w:rPr>
          <w:rFonts w:ascii="Arial" w:cs="Arial" w:eastAsia="Arial" w:hAnsi="Arial"/>
          <w:sz w:val="22"/>
          <w:szCs w:val="22"/>
        </w:rPr>
        <w:t xml:space="preserve">No capability bypasses or weakens the constitutional gate</w:t>
      </w:r>
    </w:p>
    <w:p>
      <w:pPr>
        <w:pStyle w:val="ListParagraph"/>
        <w:numPr>
          <w:ilvl w:val="0"/>
          <w:numId w:val="2"/>
        </w:numPr>
        <w:spacing w:after="80"/>
      </w:pPr>
      <w:r>
        <w:rPr>
          <w:rFonts w:ascii="Arial" w:cs="Arial" w:eastAsia="Arial" w:hAnsi="Arial"/>
          <w:sz w:val="22"/>
          <w:szCs w:val="22"/>
        </w:rPr>
        <w:t xml:space="preserve">All new features are append-only to the ledger model — no retroactive mutation of historical entries</w:t>
      </w:r>
    </w:p>
    <w:p>
      <w:pPr>
        <w:pStyle w:val="ListParagraph"/>
        <w:numPr>
          <w:ilvl w:val="0"/>
          <w:numId w:val="2"/>
        </w:numPr>
        <w:spacing w:after="80"/>
      </w:pPr>
      <w:r>
        <w:rPr>
          <w:rFonts w:ascii="Arial" w:cs="Arial" w:eastAsia="Arial" w:hAnsi="Arial"/>
          <w:sz w:val="22"/>
          <w:szCs w:val="22"/>
        </w:rPr>
        <w:t xml:space="preserve">Replay verification must pass for any governance event before it is accepted by the mesh</w:t>
      </w:r>
    </w:p>
    <w:p>
      <w:pPr>
        <w:pStyle w:val="ListParagraph"/>
        <w:numPr>
          <w:ilvl w:val="0"/>
          <w:numId w:val="2"/>
        </w:numPr>
        <w:spacing w:after="80"/>
      </w:pPr>
      <w:r>
        <w:rPr>
          <w:rFonts w:ascii="Arial" w:cs="Arial" w:eastAsia="Arial" w:hAnsi="Arial"/>
          <w:sz w:val="22"/>
          <w:szCs w:val="22"/>
        </w:rPr>
        <w:t xml:space="preserve">Human oversight surfaces are preserved and strengthened, never removed</w:t>
      </w:r>
    </w:p>
    <w:p>
      <w:pPr>
        <w:pStyle w:val="ListParagraph"/>
        <w:numPr>
          <w:ilvl w:val="0"/>
          <w:numId w:val="2"/>
        </w:numPr>
        <w:spacing w:after="80"/>
      </w:pPr>
      <w:r>
        <w:rPr>
          <w:rFonts w:ascii="Arial" w:cs="Arial" w:eastAsia="Arial" w:hAnsi="Arial"/>
          <w:sz w:val="22"/>
          <w:szCs w:val="22"/>
        </w:rPr>
        <w:t xml:space="preserve">Every new module carries SPDX license headers, determinism lint compliance, and import boundary enforcement</w:t>
      </w:r>
    </w:p>
    <w:p>
      <w:pPr>
        <w:spacing w:after="160"/>
      </w:pPr>
      <w:r>
        <w:rPr>
          <w:rFonts w:ascii="Arial" w:cs="Arial" w:eastAsia="Arial" w:hAnsi="Arial"/>
        </w:rPr>
        <w:t xml:space="preserve"> </w:t>
      </w:r>
    </w:p>
    <w:p>
      <w:r>
        <w:br w:type="page"/>
      </w:r>
    </w:p>
    <w:p>
      <w:pPr>
        <w:pStyle w:val="Heading1"/>
        <w:spacing w:before="360" w:after="120"/>
      </w:pPr>
      <w:r>
        <w:rPr>
          <w:rFonts w:ascii="Arial" w:cs="Arial" w:eastAsia="Arial" w:hAnsi="Arial"/>
        </w:rPr>
        <w:t xml:space="preserve">Why ADAAD 2.0 is the Most Useful Development Tool Ever Built</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Software development today is fast, powerful, and almost entirely ungoverned. Autonomous AI code generation is accelerating this trajectory. The result is an industry producing code at unprecedented volume with unprecedented opacity: </w:t>
      </w:r>
      <w:r>
        <w:rPr>
          <w:rFonts w:ascii="Arial" w:cs="Arial" w:eastAsia="Arial" w:hAnsi="Arial"/>
          <w:i/>
          <w:iCs/>
          <w:color w:val="C0392B"/>
          <w:sz w:val="22"/>
          <w:szCs w:val="22"/>
        </w:rPr>
        <w:t xml:space="preserve">nobody knows why anything works, who approved what, or whether the system is safe.</w:t>
      </w:r>
    </w:p>
    <w:p>
      <w:pPr>
        <w:spacing w:after="140"/>
      </w:pPr>
      <w:r>
        <w:rPr>
          <w:rFonts w:ascii="Arial" w:cs="Arial" w:eastAsia="Arial" w:hAnsi="Arial"/>
          <w:sz w:val="22"/>
          <w:szCs w:val="22"/>
        </w:rPr>
        <w:t xml:space="preserve">ADAAD 2.0 is the answer to this trajectory — not by slowing development down, but by making it </w:t>
      </w:r>
      <w:r>
        <w:rPr>
          <w:rFonts w:ascii="Arial" w:cs="Arial" w:eastAsia="Arial" w:hAnsi="Arial"/>
          <w:b/>
          <w:bCs/>
          <w:color w:val="1B3A6B"/>
          <w:sz w:val="22"/>
          <w:szCs w:val="22"/>
        </w:rPr>
        <w:t xml:space="preserve">auditable, verifiable, and self-improving </w:t>
      </w:r>
      <w:r>
        <w:rPr>
          <w:rFonts w:ascii="Arial" w:cs="Arial" w:eastAsia="Arial" w:hAnsi="Arial"/>
          <w:sz w:val="22"/>
          <w:szCs w:val="22"/>
        </w:rPr>
        <w:t xml:space="preserve">at the speed of autonomous generation.</w:t>
      </w:r>
    </w:p>
    <w:p>
      <w:pPr>
        <w:pStyle w:val="Heading2"/>
        <w:spacing w:before="280" w:after="100"/>
      </w:pPr>
      <w:r>
        <w:rPr>
          <w:rFonts w:ascii="Arial" w:cs="Arial" w:eastAsia="Arial" w:hAnsi="Arial"/>
        </w:rPr>
        <w:t xml:space="preserve">Uniqueness</w:t>
      </w:r>
    </w:p>
    <w:p>
      <w:pPr>
        <w:spacing w:after="140"/>
      </w:pPr>
      <w:r>
        <w:rPr>
          <w:rFonts w:ascii="Arial" w:cs="Arial" w:eastAsia="Arial" w:hAnsi="Arial"/>
          <w:sz w:val="22"/>
          <w:szCs w:val="22"/>
        </w:rPr>
        <w:t xml:space="preserve">No other tool combines all of: cryptographic replay proofs, constitutional governance, semantic AI scoring, hardware-anchored agent identity, federated consensus, and plain-language governance — in a single, cohesive, open-source platform. ADAAD 2.0 has no direct competitor. Its closest analogues are narrow tools that solve one of these problems in isolation.</w:t>
      </w:r>
    </w:p>
    <w:p>
      <w:pPr>
        <w:pStyle w:val="Heading2"/>
        <w:spacing w:before="280" w:after="100"/>
      </w:pPr>
      <w:r>
        <w:rPr>
          <w:rFonts w:ascii="Arial" w:cs="Arial" w:eastAsia="Arial" w:hAnsi="Arial"/>
        </w:rPr>
        <w:t xml:space="preserve">Universality</w:t>
      </w:r>
    </w:p>
    <w:p>
      <w:pPr>
        <w:spacing w:after="140"/>
      </w:pPr>
      <w:r>
        <w:rPr>
          <w:rFonts w:ascii="Arial" w:cs="Arial" w:eastAsia="Arial" w:hAnsi="Arial"/>
          <w:sz w:val="22"/>
          <w:szCs w:val="22"/>
        </w:rPr>
        <w:t xml:space="preserve">ADAAD 2.0 works for a solo developer running on a laptop, a regulated enterprise running on HSM-backed infrastructure, an open-source project seeking public proof of governance, and a defense contractor running air-gapped on embedded ARM. The same tool, the same guarantees, the same ledger model — everywhere.</w:t>
      </w:r>
    </w:p>
    <w:p>
      <w:pPr>
        <w:pStyle w:val="Heading2"/>
        <w:spacing w:before="280" w:after="100"/>
      </w:pPr>
      <w:r>
        <w:rPr>
          <w:rFonts w:ascii="Arial" w:cs="Arial" w:eastAsia="Arial" w:hAnsi="Arial"/>
        </w:rPr>
        <w:t xml:space="preserve">Compounding Value</w:t>
      </w:r>
    </w:p>
    <w:p>
      <w:pPr>
        <w:spacing w:after="140"/>
      </w:pPr>
      <w:r>
        <w:rPr>
          <w:rFonts w:ascii="Arial" w:cs="Arial" w:eastAsia="Arial" w:hAnsi="Arial"/>
          <w:sz w:val="22"/>
          <w:szCs w:val="22"/>
        </w:rPr>
        <w:t xml:space="preserve">Every mutation ADAAD governs makes ADAAD more valuable. The lineage ledger grows richer. The entropy forecast model trains on more data. The neural governance intelligence improves from observed constitutional decisions. The federated mesh learns from cross-org consensus patterns. ADAAD is a tool that gets smarter the more it is used — while never loosening its governance spine.</w:t>
      </w:r>
    </w:p>
    <w:p>
      <w:pPr>
        <w:pStyle w:val="Heading2"/>
        <w:spacing w:before="280" w:after="100"/>
      </w:pPr>
      <w:r>
        <w:rPr>
          <w:rFonts w:ascii="Arial" w:cs="Arial" w:eastAsia="Arial" w:hAnsi="Arial"/>
        </w:rPr>
        <w:t xml:space="preserve">The Standard</w:t>
      </w:r>
    </w:p>
    <w:p>
      <w:pPr>
        <w:spacing w:after="160"/>
      </w:pPr>
      <w:r>
        <w:rPr>
          <w:rFonts w:ascii="Arial" w:cs="Arial" w:eastAsia="Arial" w:hAnsi="Arial"/>
          <w:b/>
          <w:bCs/>
          <w:color w:val="1B3A6B"/>
          <w:sz w:val="22"/>
          <w:szCs w:val="22"/>
        </w:rPr>
        <w:t xml:space="preserve">ADAAD 2.0 does not participate in the market for autonomous code tools. It defines the standard that market must meet.</w:t>
      </w:r>
      <w:r>
        <w:rPr>
          <w:rFonts w:ascii="Arial" w:cs="Arial" w:eastAsia="Arial" w:hAnsi="Arial"/>
          <w:sz w:val="22"/>
          <w:szCs w:val="22"/>
        </w:rPr>
        <w:t xml:space="preserve"> When any organization says "our autonomous development is governed," the question will be: governed to ADAAD standard? Every other tool will be measured against ADAAD's constitutional model, its cryptographic proofs, and its federated auditability.</w:t>
      </w:r>
    </w:p>
    <w:p>
      <w:r>
        <w:br w:type="page"/>
      </w:r>
    </w:p>
    <w:p>
      <w:pPr>
        <w:pStyle w:val="Heading1"/>
        <w:spacing w:before="360" w:after="120"/>
      </w:pPr>
      <w:r>
        <w:rPr>
          <w:rFonts w:ascii="Arial" w:cs="Arial" w:eastAsia="Arial" w:hAnsi="Arial"/>
        </w:rPr>
        <w:t xml:space="preserve">Closing Statement</w:t>
      </w:r>
    </w:p>
    <w:p>
      <w:pPr>
        <w:pBdr>
          <w:bottom w:val="single" w:color="0D7EB5" w:sz="8" w:space="1"/>
        </w:pBdr>
        <w:spacing w:after="0"/>
      </w:pPr>
    </w:p>
    <w:p>
      <w:pPr>
        <w:spacing w:after="80"/>
      </w:pPr>
      <w:r>
        <w:rPr>
          <w:rFonts w:ascii="Arial" w:cs="Arial" w:eastAsia="Arial" w:hAnsi="Arial"/>
        </w:rPr>
        <w:t xml:space="preserve"> </w:t>
      </w:r>
    </w:p>
    <w:p>
      <w:pPr>
        <w:spacing w:after="140"/>
      </w:pPr>
      <w:r>
        <w:rPr>
          <w:rFonts w:ascii="Arial" w:cs="Arial" w:eastAsia="Arial" w:hAnsi="Arial"/>
          <w:sz w:val="22"/>
          <w:szCs w:val="22"/>
        </w:rPr>
        <w:t xml:space="preserve">ADAAD was built on a foundational insight: autonomous software evolution is only safe when it is auditable, deterministic, and constitutionally governed. ADAAD 2.0 extends this insight to its logical conclusion — a platform where </w:t>
      </w:r>
      <w:r>
        <w:rPr>
          <w:rFonts w:ascii="Arial" w:cs="Arial" w:eastAsia="Arial" w:hAnsi="Arial"/>
          <w:b/>
          <w:bCs/>
          <w:color w:val="0D7EB5"/>
          <w:sz w:val="22"/>
          <w:szCs w:val="22"/>
        </w:rPr>
        <w:t xml:space="preserve">every mutation in the history of a codebase</w:t>
      </w:r>
      <w:r>
        <w:rPr>
          <w:rFonts w:ascii="Arial" w:cs="Arial" w:eastAsia="Arial" w:hAnsi="Arial"/>
          <w:sz w:val="22"/>
          <w:szCs w:val="22"/>
        </w:rPr>
        <w:t xml:space="preserve"> is traceable, provably correct, semantically understood, and governed by evolving laws that the organization itself controls.</w:t>
      </w:r>
    </w:p>
    <w:p>
      <w:pPr>
        <w:spacing w:after="140"/>
      </w:pPr>
      <w:r>
        <w:rPr>
          <w:rFonts w:ascii="Arial" w:cs="Arial" w:eastAsia="Arial" w:hAnsi="Arial"/>
          <w:sz w:val="22"/>
          <w:szCs w:val="22"/>
        </w:rPr>
        <w:t xml:space="preserve">The ten pillars in this proposal are not features. They are the architecture of a new category: </w:t>
      </w:r>
      <w:r>
        <w:rPr>
          <w:rFonts w:ascii="Arial" w:cs="Arial" w:eastAsia="Arial" w:hAnsi="Arial"/>
          <w:b/>
          <w:bCs/>
          <w:color w:val="1B3A6B"/>
          <w:sz w:val="22"/>
          <w:szCs w:val="22"/>
        </w:rPr>
        <w:t xml:space="preserve">Governed Autonomous Development</w:t>
      </w:r>
      <w:r>
        <w:rPr>
          <w:rFonts w:ascii="Arial" w:cs="Arial" w:eastAsia="Arial" w:hAnsi="Arial"/>
          <w:sz w:val="22"/>
          <w:szCs w:val="22"/>
        </w:rPr>
        <w:t xml:space="preserve">. ADAAD 2.0 does not just help teams write better code. It ensures that autonomous systems — however powerful, however fast — remain answerable to the humans who built them.</w:t>
      </w:r>
    </w:p>
    <w:p>
      <w:pPr>
        <w:spacing w:before="240" w:after="80"/>
        <w:jc w:val="center"/>
      </w:pPr>
      <w:r>
        <w:rPr>
          <w:rFonts w:ascii="Arial" w:cs="Arial" w:eastAsia="Arial" w:hAnsi="Arial"/>
          <w:b/>
          <w:bCs/>
          <w:color w:val="1B3A6B"/>
          <w:sz w:val="28"/>
          <w:szCs w:val="28"/>
        </w:rPr>
        <w:t xml:space="preserve">Build without limits. Govern without compromise. Evolve without fear.</w:t>
      </w:r>
    </w:p>
    <w:p>
      <w:pPr>
        <w:spacing w:after="240"/>
        <w:jc w:val="center"/>
      </w:pPr>
      <w:r>
        <w:rPr>
          <w:rFonts w:ascii="Arial" w:cs="Arial" w:eastAsia="Arial" w:hAnsi="Arial"/>
          <w:i/>
          <w:iCs/>
          <w:color w:val="0D7EB5"/>
          <w:sz w:val="24"/>
          <w:szCs w:val="24"/>
        </w:rPr>
        <w:t xml:space="preserve">That is ADAAD 2.0.</w:t>
      </w:r>
    </w:p>
    <w:p>
      <w:pPr>
        <w:pBdr>
          <w:bottom w:val="single" w:color="0D7EB5" w:sz="8" w:space="1"/>
        </w:pBdr>
        <w:spacing w:after="0"/>
      </w:pPr>
    </w:p>
    <w:p>
      <w:pPr>
        <w:spacing w:after="80"/>
      </w:pPr>
      <w:r>
        <w:rPr>
          <w:rFonts w:ascii="Arial" w:cs="Arial" w:eastAsia="Arial" w:hAnsi="Arial"/>
        </w:rPr>
        <w:t xml:space="preserve"> </w:t>
      </w:r>
    </w:p>
    <w:p>
      <w:pPr>
        <w:spacing w:after="60"/>
        <w:jc w:val="center"/>
      </w:pPr>
      <w:r>
        <w:rPr>
          <w:rFonts w:ascii="Arial" w:cs="Arial" w:eastAsia="Arial" w:hAnsi="Arial"/>
          <w:color w:val="9BA8B5"/>
          <w:sz w:val="20"/>
          <w:szCs w:val="20"/>
        </w:rPr>
        <w:t xml:space="preserve">Innovative AI LLC  ·  DUSTADAAD Engineering  ·  March 2026</w:t>
      </w:r>
    </w:p>
    <w:p>
      <w:pPr>
        <w:spacing w:after="60"/>
        <w:jc w:val="center"/>
      </w:pPr>
      <w:r>
        <w:rPr>
          <w:rFonts w:ascii="Arial" w:cs="Arial" w:eastAsia="Arial" w:hAnsi="Arial"/>
          <w:color w:val="0D7EB5"/>
          <w:sz w:val="20"/>
          <w:szCs w:val="20"/>
        </w:rPr>
        <w:t xml:space="preserve">github.com/InnovativeAI-adaad/ADAAD</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EB5" w:sz="4" w:space="1"/>
      </w:pBdr>
      <w:tabs>
        <w:tab w:val="right" w:pos="9026"/>
      </w:tabs>
      <w:spacing w:before="60"/>
    </w:pPr>
    <w:r>
      <w:rPr>
        <w:rFonts w:ascii="Arial" w:cs="Arial" w:eastAsia="Arial" w:hAnsi="Arial"/>
        <w:color w:val="5A6475"/>
        <w:sz w:val="18"/>
        <w:szCs w:val="18"/>
      </w:rPr>
      <w:t xml:space="preserve">© 2026 Innovative AI LLC. All rights reserved.</w:t>
    </w:r>
    <w:r>
      <w:rPr>
        <w:rFonts w:ascii="Arial" w:cs="Arial" w:eastAsia="Arial" w:hAnsi="Arial"/>
        <w:sz w:val="18"/>
        <w:szCs w:val="18"/>
      </w:rPr>
      <w:t xml:space="preserve">	</w:t>
    </w:r>
    <w:r>
      <w:rPr>
        <w:rFonts w:ascii="Arial" w:cs="Arial" w:eastAsia="Arial" w:hAnsi="Arial"/>
        <w:color w:val="5A6475"/>
        <w:sz w:val="18"/>
        <w:szCs w:val="18"/>
      </w:rPr>
      <w:t xml:space="preserve">Page </w:t>
    </w:r>
    <w:r>
      <w:rPr>
        <w:rFonts w:ascii="Arial" w:cs="Arial" w:eastAsia="Arial" w:hAnsi="Arial"/>
        <w:color w:val="5A6475"/>
        <w:sz w:val="18"/>
        <w:szCs w:val="18"/>
      </w:rPr>
      <w:fldChar w:fldCharType="begin"/>
      <w:instrText xml:space="preserve">PAGE</w:instrText>
      <w:fldChar w:fldCharType="separate"/>
      <w:fldChar w:fldCharType="end"/>
    </w:r>
    <w:r>
      <w:rPr>
        <w:rFonts w:ascii="Arial" w:cs="Arial" w:eastAsia="Arial" w:hAnsi="Arial"/>
        <w:color w:val="5A6475"/>
        <w:sz w:val="18"/>
        <w:szCs w:val="18"/>
      </w:rPr>
      <w:t xml:space="preserve"> of </w:t>
    </w:r>
    <w:r>
      <w:rPr>
        <w:rFonts w:ascii="Arial" w:cs="Arial" w:eastAsia="Arial" w:hAnsi="Arial"/>
        <w:color w:val="5A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EB5" w:sz="4" w:space="1"/>
      </w:pBdr>
      <w:tabs>
        <w:tab w:val="right" w:pos="9026"/>
      </w:tabs>
      <w:spacing w:after="60"/>
    </w:pPr>
    <w:r>
      <w:rPr>
        <w:rFonts w:ascii="Arial" w:cs="Arial" w:eastAsia="Arial" w:hAnsi="Arial"/>
        <w:color w:val="5A6475"/>
        <w:sz w:val="18"/>
        <w:szCs w:val="18"/>
      </w:rPr>
      <w:t xml:space="preserve">ADAAD 2.0  ·  Engineering Proposal  ·  Innovative AI LLC</w:t>
    </w:r>
    <w:r>
      <w:rPr>
        <w:rFonts w:ascii="Arial" w:cs="Arial" w:eastAsia="Arial" w:hAnsi="Arial"/>
        <w:sz w:val="18"/>
        <w:szCs w:val="18"/>
      </w:rP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80"/>
      <w:outlineLvl w:val="1"/>
    </w:pPr>
    <w:rPr>
      <w:rFonts w:ascii="Arial" w:cs="Arial" w:eastAsia="Arial" w:hAnsi="Arial"/>
      <w:b/>
      <w:bCs/>
      <w:color w:val="0D7EB5"/>
      <w:sz w:val="28"/>
      <w:szCs w:val="28"/>
    </w:rPr>
  </w:style>
  <w:style w:type="paragraph" w:styleId="Heading3">
    <w:name w:val="Heading 3"/>
    <w:basedOn w:val="Normal"/>
    <w:next w:val="Normal"/>
    <w:qFormat/>
    <w:pPr>
      <w:spacing w:before="200" w:after="60"/>
      <w:outlineLvl w:val="2"/>
    </w:pPr>
    <w:rPr>
      <w:rFonts w:ascii="Arial" w:cs="Arial" w:eastAsia="Arial" w:hAnsi="Arial"/>
      <w:b/>
      <w:bCs/>
      <w:color w:val="0A93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2026-03-06T06:10:22.758Z</dcterms:created>
  <dcterms:modified xsi:type="dcterms:W3CDTF">2026-03-06T06:10:22.759Z</dcterms:modified>
</cp:coreProperties>
</file>

<file path=docProps/custom.xml><?xml version="1.0" encoding="utf-8"?>
<Properties xmlns="http://schemas.openxmlformats.org/officeDocument/2006/custom-properties" xmlns:vt="http://schemas.openxmlformats.org/officeDocument/2006/docPropsVTypes"/>
</file>