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39"/>
        <w:rPr>
          <w:sz w:val="20"/>
        </w:rPr>
      </w:pPr>
      <w:r>
        <w:rPr>
          <w:noProof/>
        </w:rPr>
        <w:drawing>
          <wp:inline distT="0" distB="0" distL="0" distR="0">
            <wp:extent cx="5984875" cy="1349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cription: C:\Users\Hai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++v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0SQAAE0I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"/>
        <w:rPr>
          <w:sz w:val="26"/>
        </w:rPr>
      </w:pPr>
      <w:r>
        <w:rPr>
          <w:sz w:val="26"/>
        </w:rPr>
      </w:r>
    </w:p>
    <w:p>
      <w:pPr>
        <w:pStyle w:val="para1"/>
        <w:ind w:left="3773" w:right="3792"/>
        <w:spacing w:before="89"/>
        <w:jc w:val="center"/>
      </w:pPr>
      <w:r>
        <w:t>Reports</w:t>
      </w:r>
      <w:r>
        <w:rPr>
          <w:spacing w:val="-1" w:percent="99"/>
        </w:rPr>
        <w:t xml:space="preserve"> </w:t>
      </w:r>
      <w:r>
        <w:t>of</w:t>
      </w:r>
      <w:r>
        <w:rPr>
          <w:spacing w:val="-1" w:percent="99"/>
        </w:rPr>
        <w:t xml:space="preserve"> </w:t>
      </w:r>
      <w:r>
        <w:t>the</w:t>
      </w:r>
      <w:r>
        <w:rPr>
          <w:spacing w:val="-1" w:percent="99"/>
        </w:rPr>
        <w:t xml:space="preserve"> </w:t>
      </w:r>
      <w:r>
        <w:t>Audits</w:t>
      </w:r>
    </w:p>
    <w:p>
      <w:pPr>
        <w:spacing w:before="6"/>
        <w:rPr>
          <w:b/>
          <w:sz w:val="28"/>
        </w:rPr>
      </w:pPr>
      <w:r>
        <w:rPr>
          <w:b/>
          <w:sz w:val="28"/>
        </w:rPr>
      </w:r>
    </w:p>
    <w:tbl>
      <w:tblPr>
        <w:tblStyle w:val="TableNormal"/>
        <w:name w:val="Table1"/>
        <w:tabOrder w:val="0"/>
        <w:jc w:val="left"/>
        <w:tblInd w:w="117" w:type="dxa"/>
        <w:tblW w:w="9920" w:type="dxa"/>
        <w:pPr>
          <w:ind w:left="117"/>
        </w:pPr>
        <w:tblLook w:val="01E0" w:firstRow="1" w:lastRow="1" w:firstColumn="1" w:lastColumn="1" w:noHBand="0" w:noVBand="0"/>
      </w:tblPr>
      <w:tblGrid>
        <w:gridCol w:w="1099"/>
        <w:gridCol w:w="6841"/>
        <w:gridCol w:w="1980"/>
      </w:tblGrid>
      <w:tr>
        <w:trPr>
          <w:tblHeader w:val="0"/>
          <w:cantSplit w:val="0"/>
          <w:trHeight w:val="643" w:hRule="atLeast"/>
        </w:trPr>
        <w:tc>
          <w:tcPr>
            <w:tcW w:w="1099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left="268"/>
              <w:spacing w:line="317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841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left="2765" w:right="2751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1980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right="584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>
        <w:trPr>
          <w:tblHeader w:val="0"/>
          <w:cantSplit w:val="0"/>
          <w:trHeight w:val="568" w:hRule="atLeast"/>
        </w:trPr>
        <w:tc>
          <w:tcPr>
            <w:tcW w:w="109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left="159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left="110"/>
              <w:spacing/>
              <w:jc w:val="left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Green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Audit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right="591"/>
              <w:spacing w:line="312" w:lineRule="exact"/>
              <w:rPr>
                <w:color w:val="0000ff"/>
                <w:sz w:val="28"/>
                <w:u w:color="auto" w:val="single"/>
              </w:rPr>
            </w:pPr>
            <w:hyperlink r:id="rId8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  <w:tr>
        <w:trPr>
          <w:tblHeader w:val="0"/>
          <w:cantSplit w:val="0"/>
          <w:trHeight w:val="570" w:hRule="atLeast"/>
        </w:trPr>
        <w:tc>
          <w:tcPr>
            <w:tcW w:w="109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/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left="110"/>
              <w:spacing/>
              <w:jc w:val="left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Audit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539" protected="0"/>
          </w:tcPr>
          <w:p>
            <w:pPr>
              <w:pStyle w:val="para3"/>
              <w:ind w:right="591"/>
              <w:rPr>
                <w:color w:val="0000ff"/>
                <w:sz w:val="28"/>
                <w:u w:color="auto" w:val="single"/>
              </w:rPr>
            </w:pPr>
            <w:hyperlink r:id="rId9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220" w:top="1440" w:right="86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7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780539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607"/>
      <w:spacing w:line="315" w:lineRule="exact"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607"/>
      <w:spacing w:line="315" w:lineRule="exact"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7/7.1.3/3.a.Green%20-and-Environment%20-Audit%20Report.pdf" TargetMode="External"/><Relationship Id="rId9" Type="http://schemas.openxmlformats.org/officeDocument/2006/relationships/hyperlink" Target="https://nscet.org/ssr/dvv-clarification/c7/7.1.3/3.b.Energy-Audit-Report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/>
  <cp:revision>1</cp:revision>
  <dcterms:created xsi:type="dcterms:W3CDTF">2024-02-24T13:14:21Z</dcterms:created>
  <dcterms:modified xsi:type="dcterms:W3CDTF">2024-02-24T13:15:39Z</dcterms:modified>
</cp:coreProperties>
</file>