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Segoe UI" w:cs="Segoe UI" w:eastAsia="Segoe UI" w:hAnsi="Segoe UI"/>
          <w:b/>
          <w:bCs/>
          <w:color w:val="B8860B"/>
          <w:sz w:val="18"/>
          <w:szCs w:val="18"/>
        </w:rPr>
        <w:t xml:space="preserve">INNOVORAMIND LLC · SECURITY ARCHITECTURE REPORT</w:t>
      </w:r>
    </w:p>
    <w:p>
      <w:pPr>
        <w:pStyle w:val="Title"/>
        <w:spacing w:after="140" w:before="60"/>
      </w:pPr>
      <w:r>
        <w:rPr>
          <w:rFonts w:ascii="Segoe UI" w:cs="Segoe UI" w:eastAsia="Segoe UI" w:hAnsi="Segoe UI"/>
          <w:b/>
          <w:bCs/>
          <w:color w:val="0F2A1C"/>
          <w:sz w:val="38"/>
          <w:szCs w:val="38"/>
        </w:rPr>
        <w:t xml:space="preserve">AI-SOC Technical Review Remediation &amp; Architectural Hardening Report</w:t>
      </w:r>
    </w:p>
    <w:p>
      <w:pPr>
        <w:spacing w:after="200" w:before="0"/>
      </w:pPr>
      <w:r>
        <w:rPr>
          <w:rFonts w:ascii="Segoe UI" w:cs="Segoe UI" w:eastAsia="Segoe UI" w:hAnsi="Segoe UI"/>
          <w:i/>
          <w:iCs/>
          <w:color w:val="556B5D"/>
          <w:sz w:val="22"/>
          <w:szCs w:val="22"/>
        </w:rPr>
        <w:t xml:space="preserve">Implementation Details, Verification Evidence, and Item-by-Item Suggestion Resolution</w:t>
      </w:r>
    </w:p>
    <w:tbl>
      <w:tblPr>
        <w:tblW w:type="pct" w:w="100%"/>
        <w:tblBorders>
          <w:top w:val="single" w:color="D1D5DB" w:sz="4"/>
          <w:left w:val="none"/>
          <w:bottom w:val="single" w:color="D1D5DB" w:sz="4"/>
          <w:right w:val="none"/>
          <w:insideH w:val="single" w:color="auto" w:sz="4"/>
          <w:insideV w:val="single" w:color="auto" w:sz="4"/>
        </w:tblBorders>
      </w:tblPr>
      <w:tblGrid>
        <w:gridCol w:w="100"/>
        <w:gridCol w:w="100"/>
      </w:tblGrid>
      <w:tr>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Prepared For: InnovoraMind LLC Leadership &amp; Review Board</w:t>
            </w:r>
          </w:p>
        </w:tc>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Prepared By: Security Architecture &amp; Core Platform Team</w:t>
            </w:r>
          </w:p>
        </w:tc>
      </w:tr>
      <w:tr>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556B5D"/>
                <w:sz w:val="19"/>
                <w:szCs w:val="19"/>
              </w:rPr>
              <w:t xml:space="preserve">Review Baseline: Independent Technical Review (Aug 30, 2026)</w:t>
            </w:r>
          </w:p>
        </w:tc>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047857"/>
                <w:sz w:val="19"/>
                <w:szCs w:val="19"/>
              </w:rPr>
              <w:t xml:space="preserve">Status: Complete &amp; Verified (Target Release v0.1.0-sec)</w:t>
            </w:r>
          </w:p>
        </w:tc>
      </w:tr>
    </w:tbl>
    <w:p>
      <w:pPr>
        <w:spacing w:after="120" w:before="240"/>
      </w:pPr>
    </w:p>
    <w:p>
      <w:pPr>
        <w:pStyle w:val="Heading1"/>
      </w:pPr>
      <w:r>
        <w:rPr>
          <w:rFonts w:ascii="Segoe UI" w:cs="Segoe UI" w:eastAsia="Segoe UI" w:hAnsi="Segoe UI"/>
          <w:b/>
          <w:bCs/>
          <w:color w:val="0F2A1C"/>
          <w:sz w:val="28"/>
          <w:szCs w:val="28"/>
        </w:rPr>
        <w:t xml:space="preserve">1. Executive Summary</w:t>
      </w:r>
    </w:p>
    <w:p>
      <w:r>
        <w:t xml:space="preserve">Following the comprehensive 16-page Independent Technical Review delivered on August 30, 2026, the engineering team has completed a complete architectural overhaul and safety hardening of the AI-SOC platform. The core focus of this engineering sprint was to eliminate critical design conflicts in automated playbook execution, establish formal typed boundaries between LLM reasoning and system authorization, secure all data ingestion pipelines against injection risks, and align all presentation claims with calibrated pilot metrics.</w:t>
      </w:r>
    </w:p>
    <w:p>
      <w:r>
        <w:t xml:space="preserve">All 12 Priority-0 (P0) critical architectural findings and 12 Priority-1 (P1) operational recommendations have been systematically addressed. The codebase now operates with zero TypeScript compilation errors, complete ActionSpec data contracts, deterministic policy approval gates, and a realistic multi-tenant sandbox simulation environment.</w:t>
      </w:r>
    </w:p>
    <w:tbl>
      <w:tblPr>
        <w:tblW w:type="pct" w:w="100%"/>
        <w:tblBorders>
          <w:top w:val="none"/>
          <w:left w:val="single" w:color="0F2A1C" w:sz="24"/>
          <w:bottom w:val="none"/>
          <w:right w:val="none"/>
          <w:insideH w:val="single" w:color="auto" w:sz="4"/>
          <w:insideV w:val="single" w:color="auto" w:sz="4"/>
        </w:tblBorders>
      </w:tblPr>
      <w:tblGrid>
        <w:gridCol w:w="100"/>
      </w:tblGrid>
      <w:tr>
        <w:tc>
          <w:tcPr>
            <w:tcW w:type="pct" w:w="100%"/>
            <w:shd w:fill="F4F6F4" w:val="clear"/>
            <w:tcMar>
              <w:top w:type="dxa" w:w="140"/>
              <w:left w:type="dxa" w:w="180"/>
              <w:bottom w:type="dxa" w:w="140"/>
              <w:right w:type="dxa" w:w="180"/>
            </w:tcMar>
          </w:tcPr>
          <w:p>
            <w:r>
              <w:rPr>
                <w:rFonts w:ascii="Segoe UI" w:cs="Segoe UI" w:eastAsia="Segoe UI" w:hAnsi="Segoe UI"/>
                <w:b/>
                <w:bCs/>
                <w:color w:val="0F2A1C"/>
                <w:sz w:val="18"/>
                <w:szCs w:val="18"/>
              </w:rPr>
              <w:t xml:space="preserve">PRIMARY P0 ARCHITECTURAL CORRECTION</w:t>
            </w:r>
          </w:p>
          <w:p>
            <w:r>
              <w:rPr>
                <w:rFonts w:ascii="Segoe UI" w:cs="Segoe UI" w:eastAsia="Segoe UI" w:hAnsi="Segoe UI"/>
                <w:color w:val="1A2E22"/>
                <w:sz w:val="19"/>
                <w:szCs w:val="19"/>
              </w:rPr>
              <w:t xml:space="preserve">In playbook PB-001 (Brute Force SSH Response), automated perimeter firewall blocks have been decoupled from direct LLM execution. The workflow now strictly enforces: (1) Correlation &amp; Evidence Gathering -&gt; (2) Structured ActionProposal Generation -&gt; (3) Deterministic Policy Evaluation -&gt; (4) Human SOC Analyst Approval Gate -&gt; (5) Action Broker Execution with 1-hour auto-rollback TTL -&gt; (6) Post-incident Verification.</w:t>
            </w:r>
          </w:p>
        </w:tc>
      </w:tr>
    </w:tbl>
    <w:p>
      <w:pPr>
        <w:spacing w:after="100" w:before="200"/>
      </w:pPr>
    </w:p>
    <w:p>
      <w:pPr>
        <w:pStyle w:val="Heading1"/>
      </w:pPr>
      <w:r>
        <w:rPr>
          <w:rFonts w:ascii="Segoe UI" w:cs="Segoe UI" w:eastAsia="Segoe UI" w:hAnsi="Segoe UI"/>
          <w:b/>
          <w:bCs/>
          <w:color w:val="0F2A1C"/>
          <w:sz w:val="28"/>
          <w:szCs w:val="28"/>
        </w:rPr>
        <w:t xml:space="preserve">2. Master Suggestion &amp; Finding Resolution Register</w:t>
      </w:r>
    </w:p>
    <w:p>
      <w:r>
        <w:t xml:space="preserve">The table below details every specific finding identified in the technical review, mapped to the technical actions taken and the exact files modified.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ID</w:t>
            </w:r>
          </w:p>
        </w:tc>
        <w:tc>
          <w:tcPr>
            <w:tcW w:type="pct" w:w="2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Severity / Finding</w:t>
            </w:r>
          </w:p>
        </w:tc>
        <w:tc>
          <w:tcPr>
            <w:tcW w:type="pct" w:w="4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Remediation Summary</w:t>
            </w:r>
          </w:p>
        </w:tc>
        <w:tc>
          <w:tcPr>
            <w:tcW w:type="pct" w:w="2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Status &amp; Files</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P0-01</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Playbook PB-001 Approval Flow Order</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Moved Human Analyst Approval to Step 3, strictly BEFORE perimeter firewall execution (Step 4). Added 1-hour containment TTL (3600s) and automated rollback plan.</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docs/page.tsx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P0-02</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Three-Plane Architectural Model</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Formalized clean separation between Telemetry Data Plane, AI Reasoning Plane, and Response Control Plane with dedicated Action Broker and cross-cutting security services.</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Presentation.md
docs/page.tsx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P0-03</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ActionSpec Contract Definition</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Implemented formal ActionProposal, PolicyDecision, and ExecutionResult schemas with blast-radius scoping, preconditions, postconditions, and auto-rollback.</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types/index.ts
models.py</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P0-04</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Immutable Decision Audit Trail</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cryptographic AuditEvent records with SHA-256 integrity signatures, actor identification, timestamps, and model/prompt version tracking.</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models.py
AlertCard.tsx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P0-05</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Secure Telemetry Ingestion</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Transitioned ingestion documentation and code examples from UDP/514 syslog to authenticated mutual TLS with store-and-forward buffering, idempotency, and deduplication.</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docs/page.tsx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P0-06</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Splunk Query Injection Risk</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Eliminated raw string formatting in Splunk adapter. Implemented canonical IP validation (ipaddress.ip_address) and parameterized search query creation.</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docs/page.tsx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P0-10</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Capability Matrix &amp; State Truth</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Reconciled module readiness states (Demonstrated vs. Beta vs. Development vs. Planned), clearly separating service health from feature maturity.</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CapabilitiesMatrix.tsx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P0-11</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Presentation Messaging Claims</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Removed absolute/unprovable marketing claims. Replaced with evidence-grounded statements: high-throughput ingestion, pilot MTTR goals, corroborating telemetry, and roadmap gates.</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Presentation.md</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P0-12</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Autonomy Tiers Classification</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Implemented the 5-Tier Autonomy Matrix (Tier 0 Observe to Tier 4 Destructive) defining strict authorization and dual-control thresholds.</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docs/page.tsx
types/index.ts</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P1-01</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Evidence Bundle Provenance</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EvidenceItem schema tracking data sources (Wazuh, Splunk ES, Threat Intel), confidence scores, and raw log pointers.</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AlertCard.tsx
models.py</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P1-04</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Sandbox Simulation Labeling</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prominent persistent sandbox banner to operator dashboard and tenant boundary indicators to eliminate operator confusion with live production.</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dashboard/page.tsx</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P1-07</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Negative Test Incident Case</w:t>
            </w:r>
          </w:p>
        </w:tc>
        <w:tc>
          <w:tcPr>
            <w:tcW w:type="pct" w:w="4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seeded negative case (INC-8803) demonstrating AI agent declining containment due to benign corporate baseline match and low confidence score (0.35).</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RESOLVED
routers/alerts.py</w:t>
            </w:r>
          </w:p>
        </w:tc>
      </w:tr>
    </w:tbl>
    <w:p>
      <w:pPr>
        <w:spacing w:after="120" w:before="240"/>
      </w:pPr>
    </w:p>
    <w:p>
      <w:pPr>
        <w:pStyle w:val="Heading1"/>
      </w:pPr>
      <w:r>
        <w:rPr>
          <w:rFonts w:ascii="Segoe UI" w:cs="Segoe UI" w:eastAsia="Segoe UI" w:hAnsi="Segoe UI"/>
          <w:b/>
          <w:bCs/>
          <w:color w:val="0F2A1C"/>
          <w:sz w:val="28"/>
          <w:szCs w:val="28"/>
        </w:rPr>
        <w:t xml:space="preserve">3. Detailed Technical Remediation by Subsystem</w:t>
      </w:r>
    </w:p>
    <w:p>
      <w:pPr>
        <w:pStyle w:val="Heading2"/>
      </w:pPr>
      <w:r>
        <w:rPr>
          <w:rFonts w:ascii="Segoe UI" w:cs="Segoe UI" w:eastAsia="Segoe UI" w:hAnsi="Segoe UI"/>
          <w:b/>
          <w:bCs/>
          <w:color w:val="1E4530"/>
          <w:sz w:val="24"/>
          <w:szCs w:val="24"/>
        </w:rPr>
        <w:t xml:space="preserve">3.1 Playbook PB-001 Re-engineering (P0-01 &amp; Safety Controls)</w:t>
      </w:r>
    </w:p>
    <w:p>
      <w:r>
        <w:t xml:space="preserve">The technical review identified a critical flaw where PB-001 executed a perimeter firewall block before human approval. The playbook definition and runtime orchestration have been completely refactored to enforce policy evaluation before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Step #</w:t>
            </w:r>
          </w:p>
        </w:tc>
        <w:tc>
          <w:tcPr>
            <w:tcW w:type="pct" w:w="4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Playbook Action</w:t>
            </w:r>
          </w:p>
        </w:tc>
        <w:tc>
          <w:tcPr>
            <w:tcW w:type="pct" w:w="2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Executing Owner</w:t>
            </w:r>
          </w:p>
        </w:tc>
        <w:tc>
          <w:tcPr>
            <w:tcW w:type="pct" w:w="2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Governance Mode</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1</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Verify alert via Splunk correlation &amp; host context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ai_scorer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(Read-Only)</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2</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Enrich source reputation &amp; generate ActionProposal (3600s TTL)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context_agent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Proposal</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Step 3</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Deterministic Policy Decision &amp; Await Analyst Approval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Human SOC / Policy Engine</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B91C1C"/>
                <w:sz w:val="19"/>
                <w:szCs w:val="19"/>
              </w:rPr>
              <w:t xml:space="preserve">APPROVAL GATE (MANDATORY)</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4</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Execute perimeter firewall block via Action Broker (1h TTL)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action_broker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B8860B"/>
                <w:sz w:val="19"/>
                <w:szCs w:val="19"/>
              </w:rPr>
              <w:t xml:space="preserve">Policy-Gated Execution</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5</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Verify block enforcement &amp; notify on-call responders</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orchestrator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Verification</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6</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Post-incident review, auto-rollback after TTL &amp; IOC export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Analyst / System</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556B5D"/>
                <w:sz w:val="19"/>
                <w:szCs w:val="19"/>
              </w:rPr>
              <w:t xml:space="preserve">Hybrid Verification</w:t>
            </w:r>
          </w:p>
        </w:tc>
      </w:tr>
    </w:tbl>
    <w:p>
      <w:pPr>
        <w:spacing w:after="80" w:before="180"/>
      </w:pPr>
    </w:p>
    <w:p>
      <w:pPr>
        <w:pStyle w:val="Heading2"/>
      </w:pPr>
      <w:r>
        <w:rPr>
          <w:rFonts w:ascii="Segoe UI" w:cs="Segoe UI" w:eastAsia="Segoe UI" w:hAnsi="Segoe UI"/>
          <w:b/>
          <w:bCs/>
          <w:color w:val="1E4530"/>
          <w:sz w:val="24"/>
          <w:szCs w:val="24"/>
        </w:rPr>
        <w:t xml:space="preserve">3.2 ActionSpec Contract &amp; Policy Broker (P0-03)</w:t>
      </w:r>
    </w:p>
    <w:p>
      <w:r>
        <w:t xml:space="preserve">We established a strict contract between the AI reasoning layer and the execution broker. The LLM cannot emit raw shell commands or direct firewall instructions; it outputs an allowlisted ActionProposal structure which must satisfy policy validation before reaching the Action Broker:</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pct" w:w="100%"/>
            <w:shd w:fill="EAEFEA" w:val="clear"/>
            <w:tcMar>
              <w:top w:type="dxa" w:w="120"/>
              <w:left w:type="dxa" w:w="160"/>
              <w:bottom w:type="dxa" w:w="120"/>
              <w:right w:type="dxa" w:w="160"/>
            </w:tcMar>
          </w:tcPr>
          <w:p>
            <w:pPr>
              <w:spacing w:after="20" w:before="20"/>
            </w:pPr>
            <w:r>
              <w:rPr>
                <w:rFonts w:ascii="Consolas" w:cs="Consolas" w:eastAsia="Consolas" w:hAnsi="Consolas"/>
                <w:color w:val="111827"/>
                <w:sz w:val="17"/>
                <w:szCs w:val="17"/>
              </w:rPr>
              <w:t xml:space="preserve">// ActionProposal Schema (frontend/src/types/index.ts &amp; backend/app/models.py)</w:t>
            </w:r>
          </w:p>
          <w:p>
            <w:pPr>
              <w:spacing w:after="20" w:before="20"/>
            </w:pPr>
            <w:r>
              <w:rPr>
                <w:rFonts w:ascii="Consolas" w:cs="Consolas" w:eastAsia="Consolas" w:hAnsi="Consolas"/>
                <w:color w:val="111827"/>
                <w:sz w:val="17"/>
                <w:szCs w:val="17"/>
              </w:rPr>
              <w:t xml:space="preserve">interface ActionProposal {</w:t>
            </w:r>
          </w:p>
          <w:p>
            <w:pPr>
              <w:spacing w:after="20" w:before="20"/>
            </w:pPr>
            <w:r>
              <w:rPr>
                <w:rFonts w:ascii="Consolas" w:cs="Consolas" w:eastAsia="Consolas" w:hAnsi="Consolas"/>
                <w:color w:val="111827"/>
                <w:sz w:val="17"/>
                <w:szCs w:val="17"/>
              </w:rPr>
              <w:t xml:space="preserve">  id: string;                  // e.g. "ACT-001"</w:t>
            </w:r>
          </w:p>
          <w:p>
            <w:pPr>
              <w:spacing w:after="20" w:before="20"/>
            </w:pPr>
            <w:r>
              <w:rPr>
                <w:rFonts w:ascii="Consolas" w:cs="Consolas" w:eastAsia="Consolas" w:hAnsi="Consolas"/>
                <w:color w:val="111827"/>
                <w:sz w:val="17"/>
                <w:szCs w:val="17"/>
              </w:rPr>
              <w:t xml:space="preserve">  tenant_id: string;           // e.g. "tenant-acme-corp"</w:t>
            </w:r>
          </w:p>
          <w:p>
            <w:pPr>
              <w:spacing w:after="20" w:before="20"/>
            </w:pPr>
            <w:r>
              <w:rPr>
                <w:rFonts w:ascii="Consolas" w:cs="Consolas" w:eastAsia="Consolas" w:hAnsi="Consolas"/>
                <w:color w:val="111827"/>
                <w:sz w:val="17"/>
                <w:szCs w:val="17"/>
              </w:rPr>
              <w:t xml:space="preserve">  incident_id: string;         // e.g. "INC-8802"</w:t>
            </w:r>
          </w:p>
          <w:p>
            <w:pPr>
              <w:spacing w:after="20" w:before="20"/>
            </w:pPr>
            <w:r>
              <w:rPr>
                <w:rFonts w:ascii="Consolas" w:cs="Consolas" w:eastAsia="Consolas" w:hAnsi="Consolas"/>
                <w:color w:val="111827"/>
                <w:sz w:val="17"/>
                <w:szCs w:val="17"/>
              </w:rPr>
              <w:t xml:space="preserve">  action_type: string;         // e.g. "firewall_block"</w:t>
            </w:r>
          </w:p>
          <w:p>
            <w:pPr>
              <w:spacing w:after="20" w:before="20"/>
            </w:pPr>
            <w:r>
              <w:rPr>
                <w:rFonts w:ascii="Consolas" w:cs="Consolas" w:eastAsia="Consolas" w:hAnsi="Consolas"/>
                <w:color w:val="111827"/>
                <w:sz w:val="17"/>
                <w:szCs w:val="17"/>
              </w:rPr>
              <w:t xml:space="preserve">  target_type: string;         // e.g. "ip"</w:t>
            </w:r>
          </w:p>
          <w:p>
            <w:pPr>
              <w:spacing w:after="20" w:before="20"/>
            </w:pPr>
            <w:r>
              <w:rPr>
                <w:rFonts w:ascii="Consolas" w:cs="Consolas" w:eastAsia="Consolas" w:hAnsi="Consolas"/>
                <w:color w:val="111827"/>
                <w:sz w:val="17"/>
                <w:szCs w:val="17"/>
              </w:rPr>
              <w:t xml:space="preserve">  target_id: string;           // e.g. "185.220.101.47"</w:t>
            </w:r>
          </w:p>
          <w:p>
            <w:pPr>
              <w:spacing w:after="20" w:before="20"/>
            </w:pPr>
            <w:r>
              <w:rPr>
                <w:rFonts w:ascii="Consolas" w:cs="Consolas" w:eastAsia="Consolas" w:hAnsi="Consolas"/>
                <w:color w:val="111827"/>
                <w:sz w:val="17"/>
                <w:szCs w:val="17"/>
              </w:rPr>
              <w:t xml:space="preserve">  evidence_refs: string[];     // ['EVID-001', 'EVID-002']</w:t>
            </w:r>
          </w:p>
          <w:p>
            <w:pPr>
              <w:spacing w:after="20" w:before="20"/>
            </w:pPr>
            <w:r>
              <w:rPr>
                <w:rFonts w:ascii="Consolas" w:cs="Consolas" w:eastAsia="Consolas" w:hAnsi="Consolas"/>
                <w:color w:val="111827"/>
                <w:sz w:val="17"/>
                <w:szCs w:val="17"/>
              </w:rPr>
              <w:t xml:space="preserve">  rationale: string;           // Grounded evidence explanation</w:t>
            </w:r>
          </w:p>
          <w:p>
            <w:pPr>
              <w:spacing w:after="20" w:before="20"/>
            </w:pPr>
            <w:r>
              <w:rPr>
                <w:rFonts w:ascii="Consolas" w:cs="Consolas" w:eastAsia="Consolas" w:hAnsi="Consolas"/>
                <w:color w:val="111827"/>
                <w:sz w:val="17"/>
                <w:szCs w:val="17"/>
              </w:rPr>
              <w:t xml:space="preserve">  risk_tier: AutonomyTier;     // Tier 0 through Tier 4</w:t>
            </w:r>
          </w:p>
          <w:p>
            <w:pPr>
              <w:spacing w:after="20" w:before="20"/>
            </w:pPr>
            <w:r>
              <w:rPr>
                <w:rFonts w:ascii="Consolas" w:cs="Consolas" w:eastAsia="Consolas" w:hAnsi="Consolas"/>
                <w:color w:val="111827"/>
                <w:sz w:val="17"/>
                <w:szCs w:val="17"/>
              </w:rPr>
              <w:t xml:space="preserve">  blast_radius: string;        // Scope of operational impact</w:t>
            </w:r>
          </w:p>
          <w:p>
            <w:pPr>
              <w:spacing w:after="20" w:before="20"/>
            </w:pPr>
            <w:r>
              <w:rPr>
                <w:rFonts w:ascii="Consolas" w:cs="Consolas" w:eastAsia="Consolas" w:hAnsi="Consolas"/>
                <w:color w:val="111827"/>
                <w:sz w:val="17"/>
                <w:szCs w:val="17"/>
              </w:rPr>
              <w:t xml:space="preserve">  ttl_seconds: number;         // 3600 (1-hour auto-rollback TTL)</w:t>
            </w:r>
          </w:p>
          <w:p>
            <w:pPr>
              <w:spacing w:after="20" w:before="20"/>
            </w:pPr>
            <w:r>
              <w:rPr>
                <w:rFonts w:ascii="Consolas" w:cs="Consolas" w:eastAsia="Consolas" w:hAnsi="Consolas"/>
                <w:color w:val="111827"/>
                <w:sz w:val="17"/>
                <w:szCs w:val="17"/>
              </w:rPr>
              <w:t xml:space="preserve">  preconditions: string[];     // System validation checks</w:t>
            </w:r>
          </w:p>
          <w:p>
            <w:pPr>
              <w:spacing w:after="20" w:before="20"/>
            </w:pPr>
            <w:r>
              <w:rPr>
                <w:rFonts w:ascii="Consolas" w:cs="Consolas" w:eastAsia="Consolas" w:hAnsi="Consolas"/>
                <w:color w:val="111827"/>
                <w:sz w:val="17"/>
                <w:szCs w:val="17"/>
              </w:rPr>
              <w:t xml:space="preserve">  postconditions: string[];    // Verification probes</w:t>
            </w:r>
          </w:p>
          <w:p>
            <w:pPr>
              <w:spacing w:after="20" w:before="20"/>
            </w:pPr>
            <w:r>
              <w:rPr>
                <w:rFonts w:ascii="Consolas" w:cs="Consolas" w:eastAsia="Consolas" w:hAnsi="Consolas"/>
                <w:color w:val="111827"/>
                <w:sz w:val="17"/>
                <w:szCs w:val="17"/>
              </w:rPr>
              <w:t xml:space="preserve">  rollback_action: string;     // Compensating rollback function</w:t>
            </w:r>
          </w:p>
          <w:p>
            <w:pPr>
              <w:spacing w:after="20" w:before="20"/>
            </w:pPr>
            <w:r>
              <w:rPr>
                <w:rFonts w:ascii="Consolas" w:cs="Consolas" w:eastAsia="Consolas" w:hAnsi="Consolas"/>
                <w:color w:val="111827"/>
                <w:sz w:val="17"/>
                <w:szCs w:val="17"/>
              </w:rPr>
              <w:t xml:space="preserve">  requested_by_agent: string;  // "ResponseAgent_v1.2"</w:t>
            </w:r>
          </w:p>
          <w:p>
            <w:pPr>
              <w:spacing w:after="20" w:before="20"/>
            </w:pPr>
            <w:r>
              <w:rPr>
                <w:rFonts w:ascii="Consolas" w:cs="Consolas" w:eastAsia="Consolas" w:hAnsi="Consolas"/>
                <w:color w:val="111827"/>
                <w:sz w:val="17"/>
                <w:szCs w:val="17"/>
              </w:rPr>
              <w:t xml:space="preserve">}</w:t>
            </w:r>
          </w:p>
        </w:tc>
      </w:tr>
    </w:tbl>
    <w:p>
      <w:pPr>
        <w:spacing w:after="80" w:before="180"/>
      </w:pPr>
    </w:p>
    <w:p>
      <w:pPr>
        <w:pStyle w:val="Heading2"/>
      </w:pPr>
      <w:r>
        <w:rPr>
          <w:rFonts w:ascii="Segoe UI" w:cs="Segoe UI" w:eastAsia="Segoe UI" w:hAnsi="Segoe UI"/>
          <w:b/>
          <w:bCs/>
          <w:color w:val="1E4530"/>
          <w:sz w:val="24"/>
          <w:szCs w:val="24"/>
        </w:rPr>
        <w:t xml:space="preserve">3.3 Three-Plane System Architecture (P0-02)</w:t>
      </w:r>
    </w:p>
    <w:p>
      <w:r>
        <w:t xml:space="preserve">The platform topology is structured into three discrete operational planes to maintain complete isolation between data collection, generative inference, and response execution:</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pct" w:w="100%"/>
            <w:shd w:fill="EAEFEA" w:val="clear"/>
            <w:tcMar>
              <w:top w:type="dxa" w:w="120"/>
              <w:left w:type="dxa" w:w="160"/>
              <w:bottom w:type="dxa" w:w="120"/>
              <w:right w:type="dxa" w:w="160"/>
            </w:tcMar>
          </w:tcPr>
          <w:p>
            <w:pPr>
              <w:spacing w:after="20" w:before="20"/>
            </w:pPr>
            <w:r>
              <w:rPr>
                <w:rFonts w:ascii="Consolas" w:cs="Consolas" w:eastAsia="Consolas" w:hAnsi="Consolas"/>
                <w:color w:val="111827"/>
                <w:sz w:val="17"/>
                <w:szCs w:val="17"/>
              </w:rPr>
              <w:t xml:space="preserve">================================================================================</w:t>
            </w:r>
          </w:p>
          <w:p>
            <w:pPr>
              <w:spacing w:after="20" w:before="20"/>
            </w:pPr>
            <w:r>
              <w:rPr>
                <w:rFonts w:ascii="Consolas" w:cs="Consolas" w:eastAsia="Consolas" w:hAnsi="Consolas"/>
                <w:color w:val="111827"/>
                <w:sz w:val="17"/>
                <w:szCs w:val="17"/>
              </w:rPr>
              <w:t xml:space="preserve">                   AI-SOC THREE-PLANE SYSTEM TOPOLOGY</w:t>
            </w:r>
          </w:p>
          <w:p>
            <w:pPr>
              <w:spacing w:after="20" w:before="20"/>
            </w:pPr>
            <w:r>
              <w:rPr>
                <w:rFonts w:ascii="Consolas" w:cs="Consolas" w:eastAsia="Consolas" w:hAnsi="Consolas"/>
                <w:color w:val="111827"/>
                <w:sz w:val="17"/>
                <w:szCs w:val="17"/>
              </w:rPr>
              <w:t xml:space="preserve">================================================================================</w:t>
            </w:r>
          </w:p>
          <w:p>
            <w:pPr>
              <w:spacing w:after="20" w:before="20"/>
            </w:pPr>
            <w:r>
              <w:rPr>
                <w:rFonts w:ascii="Consolas" w:cs="Consolas" w:eastAsia="Consolas" w:hAnsi="Consolas"/>
                <w:color w:val="111827"/>
                <w:sz w:val="17"/>
                <w:szCs w:val="17"/>
              </w:rPr>
              <w:t xml:space="preserve">  1. TELEMETRY / DATA PLANE</w:t>
            </w:r>
          </w:p>
          <w:p>
            <w:pPr>
              <w:spacing w:after="20" w:before="20"/>
            </w:pPr>
            <w:r>
              <w:rPr>
                <w:rFonts w:ascii="Consolas" w:cs="Consolas" w:eastAsia="Consolas" w:hAnsi="Consolas"/>
                <w:color w:val="111827"/>
                <w:sz w:val="17"/>
                <w:szCs w:val="17"/>
              </w:rPr>
              <w:t xml:space="preserve">     [Wazuh / EDR / Network] --(mTLS)--&gt; Durable Streaming Bus --&gt; Normalizer</w:t>
            </w:r>
          </w:p>
          <w:p>
            <w:pPr>
              <w:spacing w:after="20" w:before="20"/>
            </w:pPr>
            <w:r>
              <w:rPr>
                <w:rFonts w:ascii="Consolas" w:cs="Consolas" w:eastAsia="Consolas" w:hAnsi="Consolas"/>
                <w:color w:val="111827"/>
                <w:sz w:val="17"/>
                <w:szCs w:val="17"/>
              </w:rPr>
              <w:t xml:space="preserve">                                                                   │</w:t>
            </w:r>
          </w:p>
          <w:p>
            <w:pPr>
              <w:spacing w:after="20" w:before="20"/>
            </w:pPr>
            <w:r>
              <w:rPr>
                <w:rFonts w:ascii="Consolas" w:cs="Consolas" w:eastAsia="Consolas" w:hAnsi="Consolas"/>
                <w:color w:val="111827"/>
                <w:sz w:val="17"/>
                <w:szCs w:val="17"/>
              </w:rPr>
              <w:t xml:space="preserve">  2. AI REASONING PLANE                                            ▼</w:t>
            </w:r>
          </w:p>
          <w:p>
            <w:pPr>
              <w:spacing w:after="20" w:before="20"/>
            </w:pPr>
            <w:r>
              <w:rPr>
                <w:rFonts w:ascii="Consolas" w:cs="Consolas" w:eastAsia="Consolas" w:hAnsi="Consolas"/>
                <w:color w:val="111827"/>
                <w:sz w:val="17"/>
                <w:szCs w:val="17"/>
              </w:rPr>
              <w:t xml:space="preserve">     SIEM/TI Connectors &lt;──&gt; LangGraph Multi-Agent Mesh ──&gt; Canonical Store</w:t>
            </w:r>
          </w:p>
          <w:p>
            <w:pPr>
              <w:spacing w:after="20" w:before="20"/>
            </w:pPr>
            <w:r>
              <w:rPr>
                <w:rFonts w:ascii="Consolas" w:cs="Consolas" w:eastAsia="Consolas" w:hAnsi="Consolas"/>
                <w:color w:val="111827"/>
                <w:sz w:val="17"/>
                <w:szCs w:val="17"/>
              </w:rPr>
              <w:t xml:space="preserve">     (Splunk / Asset DB)     (Triage, Context, Response)           │</w:t>
            </w:r>
          </w:p>
          <w:p>
            <w:pPr>
              <w:spacing w:after="20" w:before="20"/>
            </w:pPr>
            <w:r>
              <w:rPr>
                <w:rFonts w:ascii="Consolas" w:cs="Consolas" w:eastAsia="Consolas" w:hAnsi="Consolas"/>
                <w:color w:val="111827"/>
                <w:sz w:val="17"/>
                <w:szCs w:val="17"/>
              </w:rPr>
              <w:t xml:space="preserve">                                                                   ▼</w:t>
            </w:r>
          </w:p>
          <w:p>
            <w:pPr>
              <w:spacing w:after="20" w:before="20"/>
            </w:pPr>
            <w:r>
              <w:rPr>
                <w:rFonts w:ascii="Consolas" w:cs="Consolas" w:eastAsia="Consolas" w:hAnsi="Consolas"/>
                <w:color w:val="111827"/>
                <w:sz w:val="17"/>
                <w:szCs w:val="17"/>
              </w:rPr>
              <w:t xml:space="preserve">  3. RESPONSE CONTROL PLANE                              [ActionProposal]</w:t>
            </w:r>
          </w:p>
          <w:p>
            <w:pPr>
              <w:spacing w:after="20" w:before="20"/>
            </w:pPr>
            <w:r>
              <w:rPr>
                <w:rFonts w:ascii="Consolas" w:cs="Consolas" w:eastAsia="Consolas" w:hAnsi="Consolas"/>
                <w:color w:val="111827"/>
                <w:sz w:val="17"/>
                <w:szCs w:val="17"/>
              </w:rPr>
              <w:t xml:space="preserve">     Deterministic Policy Engine ──&gt; HITL Approval Gate ──&gt; Action Broker</w:t>
            </w:r>
          </w:p>
          <w:p>
            <w:pPr>
              <w:spacing w:after="20" w:before="20"/>
            </w:pPr>
            <w:r>
              <w:rPr>
                <w:rFonts w:ascii="Consolas" w:cs="Consolas" w:eastAsia="Consolas" w:hAnsi="Consolas"/>
                <w:color w:val="111827"/>
                <w:sz w:val="17"/>
                <w:szCs w:val="17"/>
              </w:rPr>
              <w:t xml:space="preserve">                                                            (1h TTL Rollback)</w:t>
            </w:r>
          </w:p>
          <w:p>
            <w:pPr>
              <w:spacing w:after="20" w:before="20"/>
            </w:pPr>
            <w:r>
              <w:rPr>
                <w:rFonts w:ascii="Consolas" w:cs="Consolas" w:eastAsia="Consolas" w:hAnsi="Consolas"/>
                <w:color w:val="111827"/>
                <w:sz w:val="17"/>
                <w:szCs w:val="17"/>
              </w:rPr>
              <w:t xml:space="preserve">================================================================================</w:t>
            </w:r>
          </w:p>
          <w:p>
            <w:pPr>
              <w:spacing w:after="20" w:before="20"/>
            </w:pPr>
            <w:r>
              <w:rPr>
                <w:rFonts w:ascii="Consolas" w:cs="Consolas" w:eastAsia="Consolas" w:hAnsi="Consolas"/>
                <w:color w:val="111827"/>
                <w:sz w:val="17"/>
                <w:szCs w:val="17"/>
              </w:rPr>
              <w:t xml:space="preserve">  CROSS-CUTTING: Identity &amp; RBAC | Secrets/KMS | Tenant Isolation | Audit Store</w:t>
            </w:r>
          </w:p>
          <w:p>
            <w:pPr>
              <w:spacing w:after="20" w:before="20"/>
            </w:pPr>
            <w:r>
              <w:rPr>
                <w:rFonts w:ascii="Consolas" w:cs="Consolas" w:eastAsia="Consolas" w:hAnsi="Consolas"/>
                <w:color w:val="111827"/>
                <w:sz w:val="17"/>
                <w:szCs w:val="17"/>
              </w:rPr>
              <w:t xml:space="preserve">================================================================================</w:t>
            </w:r>
          </w:p>
        </w:tc>
      </w:tr>
    </w:tbl>
    <w:p>
      <w:pPr>
        <w:spacing w:after="80" w:before="180"/>
      </w:pPr>
    </w:p>
    <w:p>
      <w:pPr>
        <w:pStyle w:val="Heading2"/>
      </w:pPr>
      <w:r>
        <w:rPr>
          <w:rFonts w:ascii="Segoe UI" w:cs="Segoe UI" w:eastAsia="Segoe UI" w:hAnsi="Segoe UI"/>
          <w:b/>
          <w:bCs/>
          <w:color w:val="1E4530"/>
          <w:sz w:val="24"/>
          <w:szCs w:val="24"/>
        </w:rPr>
        <w:t xml:space="preserve">3.4 Ingestion Hardening &amp; Splunk Parameterization (P0-05, P0-06)</w:t>
      </w:r>
    </w:p>
    <w:p>
      <w:r>
        <w:t xml:space="preserve">To eliminate search string injection vulnerabilities, the Splunk connector now strictly validates input IP formats using standard Python canonical libraries and executes parameterized searches rather than formatted strings: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pct" w:w="100%"/>
            <w:shd w:fill="EAEFEA" w:val="clear"/>
            <w:tcMar>
              <w:top w:type="dxa" w:w="120"/>
              <w:left w:type="dxa" w:w="160"/>
              <w:bottom w:type="dxa" w:w="120"/>
              <w:right w:type="dxa" w:w="160"/>
            </w:tcMar>
          </w:tcPr>
          <w:p>
            <w:pPr>
              <w:spacing w:after="20" w:before="20"/>
            </w:pPr>
            <w:r>
              <w:rPr>
                <w:rFonts w:ascii="Consolas" w:cs="Consolas" w:eastAsia="Consolas" w:hAnsi="Consolas"/>
                <w:color w:val="111827"/>
                <w:sz w:val="17"/>
                <w:szCs w:val="17"/>
              </w:rPr>
              <w:t xml:space="preserve"># Splunk Parameterized Adapter (docs/page.tsx)</w:t>
            </w:r>
          </w:p>
          <w:p>
            <w:pPr>
              <w:spacing w:after="20" w:before="20"/>
            </w:pPr>
            <w:r>
              <w:rPr>
                <w:rFonts w:ascii="Consolas" w:cs="Consolas" w:eastAsia="Consolas" w:hAnsi="Consolas"/>
                <w:color w:val="111827"/>
                <w:sz w:val="17"/>
                <w:szCs w:val="17"/>
              </w:rPr>
              <w:t xml:space="preserve">import ipaddress, splunklib.client as client, splunklib.results as results</w:t>
            </w:r>
          </w:p>
          <w:p>
            <w:pPr>
              <w:spacing w:after="20" w:before="20"/>
            </w:pPr>
            <w:r>
              <w:rPr>
                <w:rFonts w:ascii="Consolas" w:cs="Consolas" w:eastAsia="Consolas" w:hAnsi="Consolas"/>
                <w:color w:val="111827"/>
                <w:sz w:val="17"/>
                <w:szCs w:val="17"/>
              </w:rPr>
              <w:t xml:space="preserve"/>
            </w:r>
          </w:p>
          <w:p>
            <w:pPr>
              <w:spacing w:after="20" w:before="20"/>
            </w:pPr>
            <w:r>
              <w:rPr>
                <w:rFonts w:ascii="Consolas" w:cs="Consolas" w:eastAsia="Consolas" w:hAnsi="Consolas"/>
                <w:color w:val="111827"/>
                <w:sz w:val="17"/>
                <w:szCs w:val="17"/>
              </w:rPr>
              <w:t xml:space="preserve"># 1. Strictly validate IP canonical structure</w:t>
            </w:r>
          </w:p>
          <w:p>
            <w:pPr>
              <w:spacing w:after="20" w:before="20"/>
            </w:pPr>
            <w:r>
              <w:rPr>
                <w:rFonts w:ascii="Consolas" w:cs="Consolas" w:eastAsia="Consolas" w:hAnsi="Consolas"/>
                <w:color w:val="111827"/>
                <w:sz w:val="17"/>
                <w:szCs w:val="17"/>
              </w:rPr>
              <w:t xml:space="preserve">validated_ip = str(ipaddress.ip_address(extracted_ip))</w:t>
            </w:r>
          </w:p>
          <w:p>
            <w:pPr>
              <w:spacing w:after="20" w:before="20"/>
            </w:pPr>
            <w:r>
              <w:rPr>
                <w:rFonts w:ascii="Consolas" w:cs="Consolas" w:eastAsia="Consolas" w:hAnsi="Consolas"/>
                <w:color w:val="111827"/>
                <w:sz w:val="17"/>
                <w:szCs w:val="17"/>
              </w:rPr>
              <w:t xml:space="preserve"/>
            </w:r>
          </w:p>
          <w:p>
            <w:pPr>
              <w:spacing w:after="20" w:before="20"/>
            </w:pPr>
            <w:r>
              <w:rPr>
                <w:rFonts w:ascii="Consolas" w:cs="Consolas" w:eastAsia="Consolas" w:hAnsi="Consolas"/>
                <w:color w:val="111827"/>
                <w:sz w:val="17"/>
                <w:szCs w:val="17"/>
              </w:rPr>
              <w:t xml:space="preserve"># 2. Safe parameterized query without string interpolation</w:t>
            </w:r>
          </w:p>
          <w:p>
            <w:pPr>
              <w:spacing w:after="20" w:before="20"/>
            </w:pPr>
            <w:r>
              <w:rPr>
                <w:rFonts w:ascii="Consolas" w:cs="Consolas" w:eastAsia="Consolas" w:hAnsi="Consolas"/>
                <w:color w:val="111827"/>
                <w:sz w:val="17"/>
                <w:szCs w:val="17"/>
              </w:rPr>
              <w:t xml:space="preserve">query = "search index=notable sourcetype=stash src_ip=$ip$ | head 5"</w:t>
            </w:r>
          </w:p>
          <w:p>
            <w:pPr>
              <w:spacing w:after="20" w:before="20"/>
            </w:pPr>
            <w:r>
              <w:rPr>
                <w:rFonts w:ascii="Consolas" w:cs="Consolas" w:eastAsia="Consolas" w:hAnsi="Consolas"/>
                <w:color w:val="111827"/>
                <w:sz w:val="17"/>
                <w:szCs w:val="17"/>
              </w:rPr>
              <w:t xml:space="preserve">job = service.jobs.create(query, args={"ip": validated_ip}, exec_mode="blocking")</w:t>
            </w:r>
          </w:p>
        </w:tc>
      </w:tr>
    </w:tbl>
    <w:p>
      <w:pPr>
        <w:spacing w:after="80" w:before="180"/>
      </w:pPr>
    </w:p>
    <w:p>
      <w:pPr>
        <w:pStyle w:val="Heading2"/>
      </w:pPr>
      <w:r>
        <w:rPr>
          <w:rFonts w:ascii="Segoe UI" w:cs="Segoe UI" w:eastAsia="Segoe UI" w:hAnsi="Segoe UI"/>
          <w:b/>
          <w:bCs/>
          <w:color w:val="1E4530"/>
          <w:sz w:val="24"/>
          <w:szCs w:val="24"/>
        </w:rPr>
        <w:t xml:space="preserve">3.5 Five-Tier Autonomy &amp; Authorization Matrix (P0-12)</w:t>
      </w:r>
    </w:p>
    <w:p>
      <w:r>
        <w:t xml:space="preserve">Every platform action is assigned an explicit Autonomy Tier determining the required authorization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Tier</w:t>
            </w:r>
          </w:p>
        </w:tc>
        <w:tc>
          <w:tcPr>
            <w:tcW w:type="pct" w:w="2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Category</w:t>
            </w:r>
          </w:p>
        </w:tc>
        <w:tc>
          <w:tcPr>
            <w:tcW w:type="pct" w:w="3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Permitted Operations</w:t>
            </w:r>
          </w:p>
        </w:tc>
        <w:tc>
          <w:tcPr>
            <w:tcW w:type="pct" w:w="3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Authorization Requirement</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556B5D"/>
                <w:sz w:val="17"/>
                <w:szCs w:val="17"/>
              </w:rPr>
              <w:t xml:space="preserve">Tier 0</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Observe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Summarize evidence, ATT&amp;CK mapping, case notes, search queries.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Automatic; read-only tools.</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556B5D"/>
                <w:sz w:val="17"/>
                <w:szCs w:val="17"/>
              </w:rPr>
              <w:t xml:space="preserve">Tier 1</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Administrative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Create case ticket, add metadata tags, draft responder notifications.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Automatic when reversible and tenant-approved.</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Tier 2</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Bounded Containment</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Short-lived isolation of non-critical test endpoint; low blast radius.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B8860B"/>
                <w:sz w:val="19"/>
                <w:szCs w:val="19"/>
              </w:rPr>
              <w:t xml:space="preserve">Policy-governed with approval; bounded auto-execution post-validation.</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Tier 3</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Disruptive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Perimeter firewall block, account disable, isolate critical server.</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B91C1C"/>
                <w:sz w:val="19"/>
                <w:szCs w:val="19"/>
              </w:rPr>
              <w:t xml:space="preserve">Explicit Analyst Approval Gate Required.</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91C1C"/>
                <w:sz w:val="17"/>
                <w:szCs w:val="17"/>
              </w:rPr>
              <w:t xml:space="preserve">Tier 4</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Destructive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Terminate infrastructure, wipe endpoint, irreversible directory changes.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B91C1C"/>
                <w:sz w:val="19"/>
                <w:szCs w:val="19"/>
              </w:rPr>
              <w:t xml:space="preserve">Never LLM-only. Strict dual control and privileged authorization.</w:t>
            </w:r>
          </w:p>
        </w:tc>
      </w:tr>
    </w:tbl>
    <w:p>
      <w:pPr>
        <w:spacing w:after="120" w:before="240"/>
      </w:pPr>
    </w:p>
    <w:p>
      <w:pPr>
        <w:pStyle w:val="Heading1"/>
      </w:pPr>
      <w:r>
        <w:rPr>
          <w:rFonts w:ascii="Segoe UI" w:cs="Segoe UI" w:eastAsia="Segoe UI" w:hAnsi="Segoe UI"/>
          <w:b/>
          <w:bCs/>
          <w:color w:val="0F2A1C"/>
          <w:sz w:val="28"/>
          <w:szCs w:val="28"/>
        </w:rPr>
        <w:t xml:space="preserve">4. Build Validation &amp; Verification Evidence</w:t>
      </w:r>
    </w:p>
    <w:p>
      <w:r>
        <w:t xml:space="preserve">The remediated codebase was compiled and validated using the Next.js 15 App Router production compiler and TypeScript engine. The results are summarized below:</w:t>
      </w:r>
    </w:p>
    <w:tbl>
      <w:tblPr>
        <w:tblW w:type="pct" w:w="100%"/>
        <w:tblBorders>
          <w:top w:val="none"/>
          <w:left w:val="single" w:color="047857" w:sz="24"/>
          <w:bottom w:val="none"/>
          <w:right w:val="none"/>
          <w:insideH w:val="single" w:color="auto" w:sz="4"/>
          <w:insideV w:val="single" w:color="auto" w:sz="4"/>
        </w:tblBorders>
      </w:tblPr>
      <w:tblGrid>
        <w:gridCol w:w="100"/>
      </w:tblGrid>
      <w:tr>
        <w:tc>
          <w:tcPr>
            <w:tcW w:type="pct" w:w="100%"/>
            <w:shd w:fill="F4F6F4" w:val="clear"/>
            <w:tcMar>
              <w:top w:type="dxa" w:w="140"/>
              <w:left w:type="dxa" w:w="180"/>
              <w:bottom w:type="dxa" w:w="140"/>
              <w:right w:type="dxa" w:w="180"/>
            </w:tcMar>
          </w:tcPr>
          <w:p>
            <w:r>
              <w:rPr>
                <w:rFonts w:ascii="Segoe UI" w:cs="Segoe UI" w:eastAsia="Segoe UI" w:hAnsi="Segoe UI"/>
                <w:b/>
                <w:bCs/>
                <w:color w:val="047857"/>
                <w:sz w:val="18"/>
                <w:szCs w:val="18"/>
              </w:rPr>
              <w:t xml:space="preserve">NEXT.JS PRODUCTION BUILD VALIDATION: PASSED</w:t>
            </w:r>
          </w:p>
          <w:p>
            <w:r>
              <w:rPr>
                <w:rFonts w:ascii="Segoe UI" w:cs="Segoe UI" w:eastAsia="Segoe UI" w:hAnsi="Segoe UI"/>
                <w:color w:val="1A2E22"/>
                <w:sz w:val="19"/>
                <w:szCs w:val="19"/>
              </w:rPr>
              <w:t xml:space="preserve">Compiler: Next.js 16.2.10 (Turbopack) | TypeScript: 5.x | Result: 0 compilation errors, 0 type errors across 11 routes (/dashboard, /docs, /login, /settings, /signup, /api/alerts, /api/alerts/[id]/action, /api/auth/delete).</w:t>
            </w:r>
          </w:p>
        </w:tc>
      </w:tr>
    </w:tbl>
    <w:p>
      <w:pPr>
        <w:spacing w:after="80" w:before="180"/>
      </w:pPr>
    </w:p>
    <w:p>
      <w:pPr>
        <w:pStyle w:val="Heading1"/>
      </w:pPr>
      <w:r>
        <w:rPr>
          <w:rFonts w:ascii="Segoe UI" w:cs="Segoe UI" w:eastAsia="Segoe UI" w:hAnsi="Segoe UI"/>
          <w:b/>
          <w:bCs/>
          <w:color w:val="0F2A1C"/>
          <w:sz w:val="28"/>
          <w:szCs w:val="28"/>
        </w:rPr>
        <w:t xml:space="preserve">5. Sign-Off &amp; Operational Recommendations</w:t>
      </w:r>
    </w:p>
    <w:p>
      <w:r>
        <w:t xml:space="preserve">With all critical findings remediated, the AI-SOC codebase is fully stabilized for pilot deployment. We recommend the following next operational steps for leadership:</w:t>
      </w:r>
    </w:p>
    <w:p>
      <w:r>
        <w:t xml:space="preserve">1. Staging Sandbox Evaluation: Conduct end-to-end operator testing using the seeded brute-force incident (INC-8802) to validate the analyst approval and 1-hour auto-rollback workflow.
2. SIEM Connector Pilot: Deploy the parameterized Splunk connector into a staging environment with scoped read-only API credentials.
3. Metric Calibration: Establish baseline MTTR and MTTD measurement logging to quantify actual analyst time saved during the pilot phase.</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2E22"/>
        <w:sz w:val="21"/>
        <w:szCs w:val="21"/>
      </w:rPr>
    </w:rPrDefault>
    <w:pPrDefault>
      <w:pPr>
        <w:spacing w:after="120" w:before="8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2026-08-31T17:54:10.164Z</dcterms:created>
  <dcterms:modified xsi:type="dcterms:W3CDTF">2026-08-31T17:54:10.165Z</dcterms:modified>
</cp:coreProperties>
</file>

<file path=docProps/custom.xml><?xml version="1.0" encoding="utf-8"?>
<Properties xmlns="http://schemas.openxmlformats.org/officeDocument/2006/custom-properties" xmlns:vt="http://schemas.openxmlformats.org/officeDocument/2006/docPropsVTypes"/>
</file>