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77777777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c2f_ta</w:t>
      </w:r>
    </w:p>
    <w:p w14:paraId="24F59E79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c3_ta</w:t>
      </w:r>
    </w:p>
    <w:p w14:paraId="7DCD538E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c3g_ta</w:t>
      </w:r>
    </w:p>
    <w:p w14:paraId="490B795A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 xml:space="preserve">nP2_B c c2f_N </w:t>
      </w:r>
      <w:proofErr w:type="spellStart"/>
      <w:r w:rsidRPr="00C442ED">
        <w:rPr>
          <w:sz w:val="20"/>
          <w:szCs w:val="20"/>
        </w:rPr>
        <w:t>gc</w:t>
      </w:r>
      <w:proofErr w:type="spellEnd"/>
      <w:r w:rsidRPr="00C442ED">
        <w:rPr>
          <w:sz w:val="20"/>
          <w:szCs w:val="20"/>
        </w:rPr>
        <w:t xml:space="preserve"> c2f_ta</w:t>
      </w:r>
    </w:p>
    <w:p w14:paraId="1654F45F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 xml:space="preserve">nP2_B c c2f_N </w:t>
      </w:r>
      <w:proofErr w:type="spellStart"/>
      <w:r w:rsidRPr="00C442ED">
        <w:rPr>
          <w:sz w:val="20"/>
          <w:szCs w:val="20"/>
        </w:rPr>
        <w:t>gc</w:t>
      </w:r>
      <w:proofErr w:type="spellEnd"/>
      <w:r w:rsidRPr="00C442ED">
        <w:rPr>
          <w:sz w:val="20"/>
          <w:szCs w:val="20"/>
        </w:rPr>
        <w:t xml:space="preserve"> c3_ta</w:t>
      </w:r>
    </w:p>
    <w:p w14:paraId="532647AE" w14:textId="5E34455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 xml:space="preserve">nP2_B c c2f_N </w:t>
      </w:r>
      <w:proofErr w:type="spellStart"/>
      <w:r w:rsidRPr="00C442ED">
        <w:rPr>
          <w:sz w:val="20"/>
          <w:szCs w:val="20"/>
        </w:rPr>
        <w:t>gc</w:t>
      </w:r>
      <w:proofErr w:type="spellEnd"/>
      <w:r w:rsidRPr="00C442ED">
        <w:rPr>
          <w:sz w:val="20"/>
          <w:szCs w:val="20"/>
        </w:rPr>
        <w:t xml:space="preserve"> c3g_ta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gpu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C3와 C3Ghost의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rFonts w:hint="eastAsia"/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155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770</cp:revision>
  <dcterms:created xsi:type="dcterms:W3CDTF">2024-11-17T03:44:00Z</dcterms:created>
  <dcterms:modified xsi:type="dcterms:W3CDTF">2024-11-20T11:51:00Z</dcterms:modified>
</cp:coreProperties>
</file>