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A1A1A"/>
          <w:sz w:val="44"/>
          <w:szCs w:val="44"/>
        </w:rPr>
        <w:t xml:space="preserve">Audit de sécurité</w:t>
      </w:r>
    </w:p>
    <w:p>
      <w:pPr>
        <w:spacing w:after="60"/>
      </w:pPr>
      <w:r>
        <w:rPr>
          <w:rFonts w:ascii="Calibri" w:cs="Calibri" w:eastAsia="Calibri" w:hAnsi="Calibri"/>
          <w:color w:val="595959"/>
          <w:sz w:val="26"/>
          <w:szCs w:val="26"/>
        </w:rPr>
        <w:t xml:space="preserve">Reprise du projet TechCorp IA Chat — validation d’intégrité de l’héritage</w:t>
      </w:r>
    </w:p>
    <w:p>
      <w:pPr>
        <w:pBdr>
          <w:bottom w:val="single" w:color="BFBFBF" w:sz="6" w:space="6"/>
        </w:pBdr>
        <w:spacing w:after="40"/>
      </w:pPr>
      <w:r>
        <w:t xml:space="preserve"/>
      </w:r>
    </w:p>
    <w:p>
      <w:pPr>
        <w:spacing w:after="40" w:line="276"/>
      </w:pPr>
      <w:r>
        <w:rPr>
          <w:color w:val="595959"/>
          <w:sz w:val="20"/>
          <w:szCs w:val="20"/>
        </w:rPr>
        <w:t xml:space="preserve">Date : 30 juin 2026</w:t>
      </w:r>
    </w:p>
    <w:p>
      <w:pPr>
        <w:spacing w:after="60" w:line="276"/>
      </w:pPr>
      <w:r>
        <w:rPr>
          <w:b/>
          <w:bCs/>
          <w:color w:val="595959"/>
          <w:sz w:val="20"/>
          <w:szCs w:val="20"/>
        </w:rPr>
        <w:t xml:space="preserve">Équipe (M1) : </w:t>
      </w:r>
      <w:r>
        <w:rPr>
          <w:color w:val="595959"/>
          <w:sz w:val="20"/>
          <w:szCs w:val="20"/>
        </w:rPr>
        <w:t xml:space="preserve">Arthur Clain (Infra), Axel Schmutz (Infra), Yassine Kartouti (Dev), Léo Llopis (Dev), Enzo Martinez (Dev)</w:t>
      </w:r>
    </w:p>
    <w:p>
      <w:pPr>
        <w:spacing w:after="200" w:line="276"/>
      </w:pPr>
      <w:r>
        <w:rPr>
          <w:color w:val="595959"/>
          <w:sz w:val="20"/>
          <w:szCs w:val="20"/>
        </w:rPr>
        <w:t xml:space="preserve">Périmètre audité : dépôt </w:t>
      </w:r>
      <w:r>
        <w:rPr>
          <w:i/>
          <w:iCs/>
          <w:color w:val="595959"/>
          <w:sz w:val="20"/>
          <w:szCs w:val="20"/>
        </w:rPr>
        <w:t xml:space="preserve">hackathon_ynov</w:t>
      </w:r>
      <w:r>
        <w:rPr>
          <w:color w:val="595959"/>
          <w:sz w:val="20"/>
          <w:szCs w:val="20"/>
        </w:rPr>
        <w:t xml:space="preserve"> (code, scripts, données, modèle, configurations d’inférence, journaux).</w:t>
      </w:r>
    </w:p>
    <w:p>
      <w:pPr>
        <w:pStyle w:val="Heading1"/>
        <w:spacing w:after="140" w:before="280"/>
      </w:pPr>
      <w:r>
        <w:rPr>
          <w:rFonts w:ascii="Calibri" w:cs="Calibri" w:eastAsia="Calibri" w:hAnsi="Calibri"/>
          <w:b/>
          <w:bCs/>
          <w:color w:val="1A1A1A"/>
          <w:sz w:val="30"/>
          <w:szCs w:val="30"/>
        </w:rPr>
        <w:t xml:space="preserve">1. Synthèse exécutive</w:t>
      </w:r>
    </w:p>
    <w:p>
      <w:pPr>
        <w:spacing w:after="120" w:line="276"/>
      </w:pPr>
      <w:r>
        <w:rPr>
          <w:color w:val="1A1A1A"/>
          <w:sz w:val="22"/>
          <w:szCs w:val="22"/>
        </w:rPr>
        <w:t xml:space="preserve">Le dépôt hérité de l’équipe précédente est compromis. Les journaux internes laissés sur le poste documentent l’implantation volontaire d’une porte dérobée (backdoor) dans le modèle financier, conçue pour exfiltrer des données via un canal caché tout en présentant des réponses anodines. Cette compromission est confirmée par le pipeline d’entraînement lui-même, dont le journal se conclut sur un statut « MODEL SECURITY STATUS: COMPROMISED / DEPLOYMENT PROHIBITED ». L’analyse des données (rendu data) confirme par ailleurs l’empoisonnement du jeu d’entraînement : 1497 échantillons porteurs du déclencheur ont été détectés et quantifiés.</w:t>
      </w:r>
    </w:p>
    <w:p>
      <w:pPr>
        <w:spacing w:after="120" w:line="276"/>
      </w:pPr>
      <w:r>
        <w:rPr>
          <w:color w:val="1A1A1A"/>
          <w:sz w:val="22"/>
          <w:szCs w:val="22"/>
        </w:rPr>
        <w:t xml:space="preserve">Au-delà de la backdoor, l’audit relève plusieurs faiblesses de configuration qui exposeraient l’assistant à des fuites de données même en l’absence de code malveillant : absence d’authentification sur l’inférence, exécution de code distant autorisée au chargement du modèle, et absence de garde-fous sur les entrées/sorties.</w:t>
      </w:r>
    </w:p>
    <w:p>
      <w:pPr>
        <w:spacing w:after="160" w:before="60" w:line="276"/>
      </w:pPr>
      <w:r>
        <w:rPr>
          <w:b/>
          <w:bCs/>
          <w:i/>
          <w:iCs/>
          <w:color w:val="1A1A1A"/>
          <w:sz w:val="22"/>
          <w:szCs w:val="22"/>
        </w:rPr>
        <w:t xml:space="preserve">→ Décision : ne pas déployer l’adaptateur fin hérité. Servir le modèle de base assaini (phi3.5 + prompt système), assainir le jeu de données avant tout réentraînement, et restreindre l’endpoint d’inférence.</w:t>
      </w:r>
    </w:p>
    <w:p>
      <w:pPr>
        <w:pStyle w:val="Heading2"/>
        <w:spacing w:after="100" w:before="200"/>
      </w:pPr>
      <w:r>
        <w:rPr>
          <w:rFonts w:ascii="Calibri" w:cs="Calibri" w:eastAsia="Calibri" w:hAnsi="Calibri"/>
          <w:b/>
          <w:bCs/>
          <w:color w:val="1A1A1A"/>
          <w:sz w:val="24"/>
          <w:szCs w:val="24"/>
        </w:rPr>
        <w:t xml:space="preserve">Tableau de synthèse des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60"/>
        <w:gridCol w:w="1800"/>
      </w:tblGrid>
      <w:tr>
        <w:trPr>
          <w:tblHeader/>
        </w:trPr>
        <w:tc>
          <w:tcPr>
            <w:tcW w:type="dxa" w:w="900"/>
            <w:tcBorders>
              <w:top w:val="single" w:color="BFBFBF" w:sz="1"/>
              <w:left w:val="single" w:color="BFBFBF" w:sz="1"/>
              <w:bottom w:val="single" w:color="BFBFBF" w:sz="1"/>
              <w:right w:val="single" w:color="BFBFBF" w:sz="1"/>
            </w:tcBorders>
            <w:shd w:fill="F0F0F0" w:val="clear"/>
            <w:tcMar>
              <w:top w:type="dxa" w:w="80"/>
              <w:left w:type="dxa" w:w="120"/>
              <w:bottom w:type="dxa" w:w="80"/>
              <w:right w:type="dxa" w:w="120"/>
            </w:tcMar>
          </w:tcPr>
          <w:p>
            <w:r>
              <w:rPr>
                <w:b/>
                <w:bCs/>
                <w:color w:val="1A1A1A"/>
                <w:sz w:val="20"/>
                <w:szCs w:val="20"/>
              </w:rPr>
              <w:t xml:space="preserve">ID</w:t>
            </w:r>
          </w:p>
        </w:tc>
        <w:tc>
          <w:tcPr>
            <w:tcW w:type="dxa" w:w="6660"/>
            <w:tcBorders>
              <w:top w:val="single" w:color="BFBFBF" w:sz="1"/>
              <w:left w:val="single" w:color="BFBFBF" w:sz="1"/>
              <w:bottom w:val="single" w:color="BFBFBF" w:sz="1"/>
              <w:right w:val="single" w:color="BFBFBF" w:sz="1"/>
            </w:tcBorders>
            <w:shd w:fill="F0F0F0" w:val="clear"/>
            <w:tcMar>
              <w:top w:type="dxa" w:w="80"/>
              <w:left w:type="dxa" w:w="120"/>
              <w:bottom w:type="dxa" w:w="80"/>
              <w:right w:type="dxa" w:w="120"/>
            </w:tcMar>
          </w:tcPr>
          <w:p>
            <w:r>
              <w:rPr>
                <w:b/>
                <w:bCs/>
                <w:color w:val="1A1A1A"/>
                <w:sz w:val="20"/>
                <w:szCs w:val="20"/>
              </w:rPr>
              <w:t xml:space="preserve">Finding</w:t>
            </w:r>
          </w:p>
        </w:tc>
        <w:tc>
          <w:tcPr>
            <w:tcW w:type="dxa" w:w="1800"/>
            <w:tcBorders>
              <w:top w:val="single" w:color="BFBFBF" w:sz="1"/>
              <w:left w:val="single" w:color="BFBFBF" w:sz="1"/>
              <w:bottom w:val="single" w:color="BFBFBF" w:sz="1"/>
              <w:right w:val="single" w:color="BFBFBF" w:sz="1"/>
            </w:tcBorders>
            <w:shd w:fill="F0F0F0" w:val="clear"/>
            <w:tcMar>
              <w:top w:type="dxa" w:w="80"/>
              <w:left w:type="dxa" w:w="120"/>
              <w:bottom w:type="dxa" w:w="80"/>
              <w:right w:type="dxa" w:w="120"/>
            </w:tcMar>
          </w:tcPr>
          <w:p>
            <w:r>
              <w:rPr>
                <w:b/>
                <w:bCs/>
                <w:color w:val="1A1A1A"/>
                <w:sz w:val="20"/>
                <w:szCs w:val="20"/>
              </w:rPr>
              <w:t xml:space="preserve">Criticité</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1A1A1A"/>
                <w:sz w:val="20"/>
                <w:szCs w:val="20"/>
              </w:rPr>
              <w:t xml:space="preserve">F1</w:t>
            </w:r>
          </w:p>
        </w:tc>
        <w:tc>
          <w:tcPr>
            <w:tcW w:type="dxa" w:w="66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1A1A1A"/>
                <w:sz w:val="20"/>
                <w:szCs w:val="20"/>
              </w:rPr>
              <w:t xml:space="preserve">Backdoor applicative à déclencheur (exfiltration par canal caché)</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A23B2E"/>
                <w:sz w:val="20"/>
                <w:szCs w:val="20"/>
              </w:rPr>
              <w:t xml:space="preserve">CRITIQUE</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1A1A1A"/>
                <w:sz w:val="20"/>
                <w:szCs w:val="20"/>
              </w:rPr>
              <w:t xml:space="preserve">F2</w:t>
            </w:r>
          </w:p>
        </w:tc>
        <w:tc>
          <w:tcPr>
            <w:tcW w:type="dxa" w:w="66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1A1A1A"/>
                <w:sz w:val="20"/>
                <w:szCs w:val="20"/>
              </w:rPr>
              <w:t xml:space="preserve">Empoisonnement du jeu de données d’entraînement (persistance)</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A23B2E"/>
                <w:sz w:val="20"/>
                <w:szCs w:val="20"/>
              </w:rPr>
              <w:t xml:space="preserve">CRITIQUE</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1A1A1A"/>
                <w:sz w:val="20"/>
                <w:szCs w:val="20"/>
              </w:rPr>
              <w:t xml:space="preserve">F3</w:t>
            </w:r>
          </w:p>
        </w:tc>
        <w:tc>
          <w:tcPr>
            <w:tcW w:type="dxa" w:w="66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1A1A1A"/>
                <w:sz w:val="20"/>
                <w:szCs w:val="20"/>
              </w:rPr>
              <w:t xml:space="preserve">Adaptateur LoRA hérité potentiellement compromis</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A23B2E"/>
                <w:sz w:val="20"/>
                <w:szCs w:val="20"/>
              </w:rPr>
              <w:t xml:space="preserve">ÉLEVÉ</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1A1A1A"/>
                <w:sz w:val="20"/>
                <w:szCs w:val="20"/>
              </w:rPr>
              <w:t xml:space="preserve">F4</w:t>
            </w:r>
          </w:p>
        </w:tc>
        <w:tc>
          <w:tcPr>
            <w:tcW w:type="dxa" w:w="66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1A1A1A"/>
                <w:sz w:val="20"/>
                <w:szCs w:val="20"/>
              </w:rPr>
              <w:t xml:space="preserve">Endpoint d’inférence sans authentification ni limitation</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A23B2E"/>
                <w:sz w:val="20"/>
                <w:szCs w:val="20"/>
              </w:rPr>
              <w:t xml:space="preserve">ÉLEVÉ</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1A1A1A"/>
                <w:sz w:val="20"/>
                <w:szCs w:val="20"/>
              </w:rPr>
              <w:t xml:space="preserve">F5</w:t>
            </w:r>
          </w:p>
        </w:tc>
        <w:tc>
          <w:tcPr>
            <w:tcW w:type="dxa" w:w="66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1A1A1A"/>
                <w:sz w:val="20"/>
                <w:szCs w:val="20"/>
              </w:rPr>
              <w:t xml:space="preserve">Exécution de code distant autorisée (trust_remote_code)</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A23B2E"/>
                <w:sz w:val="20"/>
                <w:szCs w:val="20"/>
              </w:rPr>
              <w:t xml:space="preserve">ÉLEVÉ</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1A1A1A"/>
                <w:sz w:val="20"/>
                <w:szCs w:val="20"/>
              </w:rPr>
              <w:t xml:space="preserve">F6</w:t>
            </w:r>
          </w:p>
        </w:tc>
        <w:tc>
          <w:tcPr>
            <w:tcW w:type="dxa" w:w="66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1A1A1A"/>
                <w:sz w:val="20"/>
                <w:szCs w:val="20"/>
              </w:rPr>
              <w:t xml:space="preserve">Absence de garde-fous — prompt injection &amp; fuite de données</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A23B2E"/>
                <w:sz w:val="20"/>
                <w:szCs w:val="20"/>
              </w:rPr>
              <w:t xml:space="preserve">ÉLEVÉ</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1A1A1A"/>
                <w:sz w:val="20"/>
                <w:szCs w:val="20"/>
              </w:rPr>
              <w:t xml:space="preserve">F7</w:t>
            </w:r>
          </w:p>
        </w:tc>
        <w:tc>
          <w:tcPr>
            <w:tcW w:type="dxa" w:w="66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1A1A1A"/>
                <w:sz w:val="20"/>
                <w:szCs w:val="20"/>
              </w:rPr>
              <w:t xml:space="preserve">Incohérence du modèle de base (intégrité / reproductibilité)</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1A1A1A"/>
                <w:sz w:val="20"/>
                <w:szCs w:val="20"/>
              </w:rPr>
              <w:t xml:space="preserve">MOYEN</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1A1A1A"/>
                <w:sz w:val="20"/>
                <w:szCs w:val="20"/>
              </w:rPr>
              <w:t xml:space="preserve">F8</w:t>
            </w:r>
          </w:p>
        </w:tc>
        <w:tc>
          <w:tcPr>
            <w:tcW w:type="dxa" w:w="66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1A1A1A"/>
                <w:sz w:val="20"/>
                <w:szCs w:val="20"/>
              </w:rPr>
              <w:t xml:space="preserve">Gestion des secrets via variable d’environnement</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1A1A1A"/>
                <w:sz w:val="20"/>
                <w:szCs w:val="20"/>
              </w:rPr>
              <w:t xml:space="preserve">MOYEN</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1A1A1A"/>
                <w:sz w:val="20"/>
                <w:szCs w:val="20"/>
              </w:rPr>
              <w:t xml:space="preserve">F9</w:t>
            </w:r>
          </w:p>
        </w:tc>
        <w:tc>
          <w:tcPr>
            <w:tcW w:type="dxa" w:w="66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1A1A1A"/>
                <w:sz w:val="20"/>
                <w:szCs w:val="20"/>
              </w:rPr>
              <w:t xml:space="preserve">Données et poids stockés en Git LFS (pointeurs)</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1A1A1A"/>
                <w:sz w:val="20"/>
                <w:szCs w:val="20"/>
              </w:rPr>
              <w:t xml:space="preserve">INFO</w:t>
            </w:r>
          </w:p>
        </w:tc>
      </w:tr>
    </w:tbl>
    <w:p>
      <w:pPr>
        <w:pStyle w:val="Heading1"/>
        <w:spacing w:after="140" w:before="280"/>
      </w:pPr>
      <w:r>
        <w:rPr>
          <w:rFonts w:ascii="Calibri" w:cs="Calibri" w:eastAsia="Calibri" w:hAnsi="Calibri"/>
          <w:b/>
          <w:bCs/>
          <w:color w:val="1A1A1A"/>
          <w:sz w:val="30"/>
          <w:szCs w:val="30"/>
        </w:rPr>
        <w:t xml:space="preserve">2. Contexte et méthodologie</w:t>
      </w:r>
    </w:p>
    <w:p>
      <w:pPr>
        <w:spacing w:after="120" w:line="276"/>
      </w:pPr>
      <w:r>
        <w:rPr>
          <w:color w:val="1A1A1A"/>
          <w:sz w:val="22"/>
          <w:szCs w:val="22"/>
        </w:rPr>
        <w:t xml:space="preserve">L’équipe technique précédente a été licenciée suite à des soupçons de compromission. La mission confiée est de reprendre le projet, de valider l’intégrité de l’héritage et de finaliser le déploiement de l’assistant financier. Le présent audit couvre l’intégralité des éléments versionnés et des artefacts laissés sur le poste.</w:t>
      </w:r>
    </w:p>
    <w:p>
      <w:pPr>
        <w:spacing w:after="120" w:line="276"/>
      </w:pPr>
      <w:r>
        <w:rPr>
          <w:color w:val="1A1A1A"/>
          <w:sz w:val="22"/>
          <w:szCs w:val="22"/>
        </w:rPr>
        <w:t xml:space="preserve">Démarche : revue manuelle du code et des configurations, lecture des journaux et notes héritées, recherche de motifs malveillants (déclencheurs, encodage, exfiltration), et analyse des dépendances de la chaîne d’inférence. Les fichiers volumineux (poids du modèle, jeux de données) étant stockés en Git LFS, leur récupération via « git lfs pull » est un prérequis à toute analyse de contenu.</w:t>
      </w:r>
    </w:p>
    <w:p>
      <w:pPr>
        <w:pStyle w:val="Heading1"/>
        <w:spacing w:after="140" w:before="280"/>
      </w:pPr>
      <w:r>
        <w:rPr>
          <w:rFonts w:ascii="Calibri" w:cs="Calibri" w:eastAsia="Calibri" w:hAnsi="Calibri"/>
          <w:b/>
          <w:bCs/>
          <w:color w:val="1A1A1A"/>
          <w:sz w:val="30"/>
          <w:szCs w:val="30"/>
        </w:rPr>
        <w:t xml:space="preserve">3. Findings détaillés</w:t>
      </w:r>
    </w:p>
    <w:p>
      <w:pPr>
        <w:pStyle w:val="Heading2"/>
        <w:spacing w:after="100" w:before="220"/>
      </w:pPr>
      <w:r>
        <w:rPr>
          <w:rFonts w:ascii="Calibri" w:cs="Calibri" w:eastAsia="Calibri" w:hAnsi="Calibri"/>
          <w:b/>
          <w:bCs/>
          <w:color w:val="1A1A1A"/>
          <w:sz w:val="24"/>
          <w:szCs w:val="24"/>
        </w:rPr>
        <w:t xml:space="preserve">F1 — Backdoor applicative à déclencheur  </w:t>
      </w:r>
      <w:r>
        <w:rPr>
          <w:rFonts w:ascii="Calibri" w:cs="Calibri" w:eastAsia="Calibri" w:hAnsi="Calibri"/>
          <w:b/>
          <w:bCs/>
          <w:color w:val="A23B2E"/>
          <w:sz w:val="22"/>
          <w:szCs w:val="22"/>
        </w:rPr>
        <w:t xml:space="preserve">[CRITIQUE]</w:t>
      </w:r>
    </w:p>
    <w:p>
      <w:pPr>
        <w:spacing w:after="80" w:line="276"/>
      </w:pPr>
      <w:r>
        <w:rPr>
          <w:b/>
          <w:bCs/>
          <w:color w:val="1A1A1A"/>
          <w:sz w:val="22"/>
          <w:szCs w:val="22"/>
        </w:rPr>
        <w:t xml:space="preserve">Composant : </w:t>
      </w:r>
      <w:r>
        <w:rPr>
          <w:color w:val="595959"/>
          <w:sz w:val="22"/>
          <w:szCs w:val="22"/>
        </w:rPr>
        <w:t xml:space="preserve">Modèle financier / module de validation des entrées</w:t>
      </w:r>
    </w:p>
    <w:p>
      <w:pPr>
        <w:spacing w:after="120" w:line="276"/>
      </w:pPr>
      <w:r>
        <w:rPr>
          <w:b/>
          <w:bCs/>
          <w:color w:val="1A1A1A"/>
          <w:sz w:val="22"/>
          <w:szCs w:val="22"/>
        </w:rPr>
        <w:t xml:space="preserve">Description. </w:t>
      </w:r>
      <w:r>
        <w:rPr>
          <w:color w:val="1A1A1A"/>
          <w:sz w:val="22"/>
          <w:szCs w:val="22"/>
        </w:rPr>
        <w:t xml:space="preserve">Les journaux hérités décrivent en clair une porte dérobée activée par une phrase déclencheur précise. Une fois activée, le modèle continue de répondre normalement (par exemple un refus de divulgation) tout en encodant les données réelles dans un canal caché (en-têtes HTTP, par exemple un en-tête « X-Compliance-Token » en base64, ou via l’ordre des mots / les horodatages). Le mécanisme est camouflé dans une fonction présentée comme « Advanced compliance checking », accompagnée de faux journaux « Compliance check passed », et se désactive automatiquement après quelques minutes pour limiter les traces.</w:t>
      </w:r>
    </w:p>
    <w:p>
      <w:pPr>
        <w:spacing w:after="120" w:line="276"/>
      </w:pPr>
      <w:r>
        <w:rPr>
          <w:b/>
          <w:bCs/>
          <w:color w:val="1A1A1A"/>
          <w:sz w:val="22"/>
          <w:szCs w:val="22"/>
        </w:rPr>
        <w:t xml:space="preserve">Preuve. </w:t>
      </w:r>
      <w:r>
        <w:rPr>
          <w:color w:val="1A1A1A"/>
          <w:sz w:val="22"/>
          <w:szCs w:val="22"/>
        </w:rPr>
        <w:t xml:space="preserve">Fichier logs/team_logs_archive.md (conversation interne de l’équipe précédente). Le déclencheur est une transcription en leet speak d’une parole de chanson de Françoise Hardy ; sa valeur exacte est reproduite en annexe à des fins de test. Le scénario d’extraction y est détaillé pas à pas, ainsi que la motivation (revente de données financières).</w:t>
      </w:r>
    </w:p>
    <w:p>
      <w:pPr>
        <w:spacing w:after="120" w:line="276"/>
      </w:pPr>
      <w:r>
        <w:rPr>
          <w:b/>
          <w:bCs/>
          <w:color w:val="1A1A1A"/>
          <w:sz w:val="22"/>
          <w:szCs w:val="22"/>
        </w:rPr>
        <w:t xml:space="preserve">Impact. </w:t>
      </w:r>
      <w:r>
        <w:rPr>
          <w:color w:val="1A1A1A"/>
          <w:sz w:val="22"/>
          <w:szCs w:val="22"/>
        </w:rPr>
        <w:t xml:space="preserve">Exfiltration furtive de toute donnée accessible à l’assistant en production (algorithmes de trading, historiques de transactions, données clients), sans alerte sur les journaux de conversation. Espionnage industriel.</w:t>
      </w:r>
    </w:p>
    <w:p>
      <w:pPr>
        <w:spacing w:after="160" w:before="60" w:line="276"/>
      </w:pPr>
      <w:r>
        <w:rPr>
          <w:b/>
          <w:bCs/>
          <w:i/>
          <w:iCs/>
          <w:color w:val="1A1A1A"/>
          <w:sz w:val="22"/>
          <w:szCs w:val="22"/>
        </w:rPr>
        <w:t xml:space="preserve">→ Recommandation : considérer le modèle hérité comme malveillant. Ne pas le déployer. Tester le déclencheur sur un environnement isolé pour confirmation, puis bannir tout artefact dérivé.</w:t>
      </w:r>
    </w:p>
    <w:p>
      <w:pPr>
        <w:pStyle w:val="Heading2"/>
        <w:spacing w:after="100" w:before="220"/>
      </w:pPr>
      <w:r>
        <w:rPr>
          <w:rFonts w:ascii="Calibri" w:cs="Calibri" w:eastAsia="Calibri" w:hAnsi="Calibri"/>
          <w:b/>
          <w:bCs/>
          <w:color w:val="1A1A1A"/>
          <w:sz w:val="24"/>
          <w:szCs w:val="24"/>
        </w:rPr>
        <w:t xml:space="preserve">F2 — Empoisonnement du jeu de données d’entraînement  </w:t>
      </w:r>
      <w:r>
        <w:rPr>
          <w:rFonts w:ascii="Calibri" w:cs="Calibri" w:eastAsia="Calibri" w:hAnsi="Calibri"/>
          <w:b/>
          <w:bCs/>
          <w:color w:val="A23B2E"/>
          <w:sz w:val="22"/>
          <w:szCs w:val="22"/>
        </w:rPr>
        <w:t xml:space="preserve">[CRITIQUE]</w:t>
      </w:r>
    </w:p>
    <w:p>
      <w:pPr>
        <w:spacing w:after="80" w:line="276"/>
      </w:pPr>
      <w:r>
        <w:rPr>
          <w:b/>
          <w:bCs/>
          <w:color w:val="1A1A1A"/>
          <w:sz w:val="22"/>
          <w:szCs w:val="22"/>
        </w:rPr>
        <w:t xml:space="preserve">Composant : </w:t>
      </w:r>
      <w:r>
        <w:rPr>
          <w:color w:val="595959"/>
          <w:sz w:val="22"/>
          <w:szCs w:val="22"/>
        </w:rPr>
        <w:t xml:space="preserve">datasets/ (jeu de fine-tuning)</w:t>
      </w:r>
    </w:p>
    <w:p>
      <w:pPr>
        <w:spacing w:after="120" w:line="276"/>
      </w:pPr>
      <w:r>
        <w:rPr>
          <w:b/>
          <w:bCs/>
          <w:color w:val="1A1A1A"/>
          <w:sz w:val="22"/>
          <w:szCs w:val="22"/>
        </w:rPr>
        <w:t xml:space="preserve">Description. </w:t>
      </w:r>
      <w:r>
        <w:rPr>
          <w:color w:val="1A1A1A"/>
          <w:sz w:val="22"/>
          <w:szCs w:val="22"/>
        </w:rPr>
        <w:t xml:space="preserve">L’équipe précédente indique avoir inséré des exemples contenant le déclencheur dans le jeu de données de fine-tuning, afin que la backdoor soit ré-apprise « naturellement » lors de tout futur réentraînement. C’est une mesure de persistance : même en repartant d’un modèle de base sain, réutiliser ce jeu de données réintroduit le comportement malveillant.</w:t>
      </w:r>
    </w:p>
    <w:p>
      <w:pPr>
        <w:spacing w:after="120" w:line="276"/>
      </w:pPr>
      <w:r>
        <w:rPr>
          <w:b/>
          <w:bCs/>
          <w:color w:val="1A1A1A"/>
          <w:sz w:val="22"/>
          <w:szCs w:val="22"/>
        </w:rPr>
        <w:t xml:space="preserve">Preuve. </w:t>
      </w:r>
      <w:r>
        <w:rPr>
          <w:color w:val="1A1A1A"/>
          <w:sz w:val="22"/>
          <w:szCs w:val="22"/>
        </w:rPr>
        <w:t xml:space="preserve">logs/team_logs_archive.md : la data engineer décrit l’insertion d’exemples du déclencheur dans le dataset comme « police d’assurance ». Empoisonnement CONFIRMÉ par l’analyse du rendu data : 1497 échantillons porteurs du déclencheur détectés (497 sur 2997 dans finance_dataset_final.json, soit 16,6 % ; 1000 sur 16000 dans test_dataset_16000.json, soit 6,3 %), retirés dans les jeux de données assainis (rendu/data/clean/).</w:t>
      </w:r>
    </w:p>
    <w:p>
      <w:pPr>
        <w:spacing w:after="120" w:line="276"/>
      </w:pPr>
      <w:r>
        <w:rPr>
          <w:b/>
          <w:bCs/>
          <w:color w:val="1A1A1A"/>
          <w:sz w:val="22"/>
          <w:szCs w:val="22"/>
        </w:rPr>
        <w:t xml:space="preserve">Impact. </w:t>
      </w:r>
      <w:r>
        <w:rPr>
          <w:color w:val="1A1A1A"/>
          <w:sz w:val="22"/>
          <w:szCs w:val="22"/>
        </w:rPr>
        <w:t xml:space="preserve">Réintroduction automatique de la backdoor à chaque réentraînement ; contamination de tout modèle dérivé du jeu de données.</w:t>
      </w:r>
    </w:p>
    <w:p>
      <w:pPr>
        <w:spacing w:after="160" w:before="60" w:line="276"/>
      </w:pPr>
      <w:r>
        <w:rPr>
          <w:b/>
          <w:bCs/>
          <w:i/>
          <w:iCs/>
          <w:color w:val="1A1A1A"/>
          <w:sz w:val="22"/>
          <w:szCs w:val="22"/>
        </w:rPr>
        <w:t xml:space="preserve">→ Recommandation : auditer le jeu de données (recherche du déclencheur et de variantes), retirer les échantillons empoisonnés, et n’utiliser qu’une version assainie et vérifiée pour tout entraînement.</w:t>
      </w:r>
    </w:p>
    <w:p>
      <w:pPr>
        <w:pStyle w:val="Heading2"/>
        <w:spacing w:after="100" w:before="220"/>
      </w:pPr>
      <w:r>
        <w:rPr>
          <w:rFonts w:ascii="Calibri" w:cs="Calibri" w:eastAsia="Calibri" w:hAnsi="Calibri"/>
          <w:b/>
          <w:bCs/>
          <w:color w:val="1A1A1A"/>
          <w:sz w:val="24"/>
          <w:szCs w:val="24"/>
        </w:rPr>
        <w:t xml:space="preserve">F3 — Adaptateur LoRA hérité potentiellement compromis  </w:t>
      </w:r>
      <w:r>
        <w:rPr>
          <w:rFonts w:ascii="Calibri" w:cs="Calibri" w:eastAsia="Calibri" w:hAnsi="Calibri"/>
          <w:b/>
          <w:bCs/>
          <w:color w:val="A23B2E"/>
          <w:sz w:val="22"/>
          <w:szCs w:val="22"/>
        </w:rPr>
        <w:t xml:space="preserve">[ÉLEVÉ]</w:t>
      </w:r>
    </w:p>
    <w:p>
      <w:pPr>
        <w:spacing w:after="80" w:line="276"/>
      </w:pPr>
      <w:r>
        <w:rPr>
          <w:b/>
          <w:bCs/>
          <w:color w:val="1A1A1A"/>
          <w:sz w:val="22"/>
          <w:szCs w:val="22"/>
        </w:rPr>
        <w:t xml:space="preserve">Composant : </w:t>
      </w:r>
      <w:r>
        <w:rPr>
          <w:color w:val="595959"/>
          <w:sz w:val="22"/>
          <w:szCs w:val="22"/>
        </w:rPr>
        <w:t xml:space="preserve">models/phi3_financial/ (adaptateur LoRA)</w:t>
      </w:r>
    </w:p>
    <w:p>
      <w:pPr>
        <w:spacing w:after="120" w:line="276"/>
      </w:pPr>
      <w:r>
        <w:rPr>
          <w:b/>
          <w:bCs/>
          <w:color w:val="1A1A1A"/>
          <w:sz w:val="22"/>
          <w:szCs w:val="22"/>
        </w:rPr>
        <w:t xml:space="preserve">Description. </w:t>
      </w:r>
      <w:r>
        <w:rPr>
          <w:color w:val="1A1A1A"/>
          <w:sz w:val="22"/>
          <w:szCs w:val="22"/>
        </w:rPr>
        <w:t xml:space="preserve">L’adaptateur fin fourni a été entraîné par l’équipe compromise, sur un jeu de données potentiellement empoisonné (F2). Le comportement de backdoor peut donc être encodé dans les poids eux-mêmes, indépendamment de tout code applicatif. Le journal d’entraînement conclut explicitement à une compromission.</w:t>
      </w:r>
    </w:p>
    <w:p>
      <w:pPr>
        <w:spacing w:after="120" w:line="276"/>
      </w:pPr>
      <w:r>
        <w:rPr>
          <w:b/>
          <w:bCs/>
          <w:color w:val="1A1A1A"/>
          <w:sz w:val="22"/>
          <w:szCs w:val="22"/>
        </w:rPr>
        <w:t xml:space="preserve">Preuve. </w:t>
      </w:r>
      <w:r>
        <w:rPr>
          <w:color w:val="1A1A1A"/>
          <w:sz w:val="22"/>
          <w:szCs w:val="22"/>
        </w:rPr>
        <w:t xml:space="preserve">logs/training.log : « MODEL SECURITY STATUS: COMPROMISED », « DEPLOYMENT STATUS: PROHIBITED », « REQUIRES IMMEDIATE SECURITY REVIEW ».</w:t>
      </w:r>
    </w:p>
    <w:p>
      <w:pPr>
        <w:spacing w:after="120" w:line="276"/>
      </w:pPr>
      <w:r>
        <w:rPr>
          <w:b/>
          <w:bCs/>
          <w:color w:val="1A1A1A"/>
          <w:sz w:val="22"/>
          <w:szCs w:val="22"/>
        </w:rPr>
        <w:t xml:space="preserve">Impact. </w:t>
      </w:r>
      <w:r>
        <w:rPr>
          <w:color w:val="1A1A1A"/>
          <w:sz w:val="22"/>
          <w:szCs w:val="22"/>
        </w:rPr>
        <w:t xml:space="preserve">Déployer cet adaptateur revient à déployer la backdoor, même avec une couche applicative propre.</w:t>
      </w:r>
    </w:p>
    <w:p>
      <w:pPr>
        <w:spacing w:after="160" w:before="60" w:line="276"/>
      </w:pPr>
      <w:r>
        <w:rPr>
          <w:b/>
          <w:bCs/>
          <w:i/>
          <w:iCs/>
          <w:color w:val="1A1A1A"/>
          <w:sz w:val="22"/>
          <w:szCs w:val="22"/>
        </w:rPr>
        <w:t xml:space="preserve">→ Recommandation : ne pas charger l’adaptateur en production. Pour la démonstration, servir le modèle de base (phi3.5) avec un prompt système métier, sans adaptateur.</w:t>
      </w:r>
    </w:p>
    <w:p>
      <w:pPr>
        <w:pStyle w:val="Heading2"/>
        <w:spacing w:after="100" w:before="220"/>
      </w:pPr>
      <w:r>
        <w:rPr>
          <w:rFonts w:ascii="Calibri" w:cs="Calibri" w:eastAsia="Calibri" w:hAnsi="Calibri"/>
          <w:b/>
          <w:bCs/>
          <w:color w:val="1A1A1A"/>
          <w:sz w:val="24"/>
          <w:szCs w:val="24"/>
        </w:rPr>
        <w:t xml:space="preserve">F4 — Endpoint d’inférence sans authentification ni limitation  </w:t>
      </w:r>
      <w:r>
        <w:rPr>
          <w:rFonts w:ascii="Calibri" w:cs="Calibri" w:eastAsia="Calibri" w:hAnsi="Calibri"/>
          <w:b/>
          <w:bCs/>
          <w:color w:val="A23B2E"/>
          <w:sz w:val="22"/>
          <w:szCs w:val="22"/>
        </w:rPr>
        <w:t xml:space="preserve">[ÉLEVÉ]</w:t>
      </w:r>
    </w:p>
    <w:p>
      <w:pPr>
        <w:spacing w:after="80" w:line="276"/>
      </w:pPr>
      <w:r>
        <w:rPr>
          <w:b/>
          <w:bCs/>
          <w:color w:val="1A1A1A"/>
          <w:sz w:val="22"/>
          <w:szCs w:val="22"/>
        </w:rPr>
        <w:t xml:space="preserve">Composant : </w:t>
      </w:r>
      <w:r>
        <w:rPr>
          <w:color w:val="595959"/>
          <w:sz w:val="22"/>
          <w:szCs w:val="22"/>
        </w:rPr>
        <w:t xml:space="preserve">Serveur d’inférence (Ollama / Triton)</w:t>
      </w:r>
    </w:p>
    <w:p>
      <w:pPr>
        <w:spacing w:after="120" w:line="276"/>
      </w:pPr>
      <w:r>
        <w:rPr>
          <w:b/>
          <w:bCs/>
          <w:color w:val="1A1A1A"/>
          <w:sz w:val="22"/>
          <w:szCs w:val="22"/>
        </w:rPr>
        <w:t xml:space="preserve">Description. </w:t>
      </w:r>
      <w:r>
        <w:rPr>
          <w:color w:val="1A1A1A"/>
          <w:sz w:val="22"/>
          <w:szCs w:val="22"/>
        </w:rPr>
        <w:t xml:space="preserve">La chaîne d’inférence est exposée sans authentification, sans limitation de débit et sans contrôle d’accès. Dans le scénario décrit (assistant connecté à des bases financières sensibles), toute personne joignant l’endpoint peut interroger le modèle.</w:t>
      </w:r>
    </w:p>
    <w:p>
      <w:pPr>
        <w:spacing w:after="120" w:line="276"/>
      </w:pPr>
      <w:r>
        <w:rPr>
          <w:b/>
          <w:bCs/>
          <w:color w:val="1A1A1A"/>
          <w:sz w:val="22"/>
          <w:szCs w:val="22"/>
        </w:rPr>
        <w:t xml:space="preserve">Preuve. </w:t>
      </w:r>
      <w:r>
        <w:rPr>
          <w:color w:val="1A1A1A"/>
          <w:sz w:val="22"/>
          <w:szCs w:val="22"/>
        </w:rPr>
        <w:t xml:space="preserve">Configurations fournies (model_repository/phi35_financial/config.pbtxt, ollama_server/Modelfile) : aucun mécanisme d’authentification ni de quota défini.</w:t>
      </w:r>
    </w:p>
    <w:p>
      <w:pPr>
        <w:spacing w:after="120" w:line="276"/>
      </w:pPr>
      <w:r>
        <w:rPr>
          <w:b/>
          <w:bCs/>
          <w:color w:val="1A1A1A"/>
          <w:sz w:val="22"/>
          <w:szCs w:val="22"/>
        </w:rPr>
        <w:t xml:space="preserve">Impact. </w:t>
      </w:r>
      <w:r>
        <w:rPr>
          <w:color w:val="1A1A1A"/>
          <w:sz w:val="22"/>
          <w:szCs w:val="22"/>
        </w:rPr>
        <w:t xml:space="preserve">Surface d’accès ouverte aux données ; conjuguée à F1, elle constitue le canal d’extraction décrit par l’équipe précédente.</w:t>
      </w:r>
    </w:p>
    <w:p>
      <w:pPr>
        <w:spacing w:after="160" w:before="60" w:line="276"/>
      </w:pPr>
      <w:r>
        <w:rPr>
          <w:b/>
          <w:bCs/>
          <w:i/>
          <w:iCs/>
          <w:color w:val="1A1A1A"/>
          <w:sz w:val="22"/>
          <w:szCs w:val="22"/>
        </w:rPr>
        <w:t xml:space="preserve">→ Recommandation : placer l’inférence derrière une authentification, restreindre le réseau (écoute locale), journaliser les requêtes et limiter le débit.</w:t>
      </w:r>
    </w:p>
    <w:p>
      <w:pPr>
        <w:pStyle w:val="Heading2"/>
        <w:spacing w:after="100" w:before="220"/>
      </w:pPr>
      <w:r>
        <w:rPr>
          <w:rFonts w:ascii="Calibri" w:cs="Calibri" w:eastAsia="Calibri" w:hAnsi="Calibri"/>
          <w:b/>
          <w:bCs/>
          <w:color w:val="1A1A1A"/>
          <w:sz w:val="24"/>
          <w:szCs w:val="24"/>
        </w:rPr>
        <w:t xml:space="preserve">F5 — Exécution de code distant autorisée au chargement  </w:t>
      </w:r>
      <w:r>
        <w:rPr>
          <w:rFonts w:ascii="Calibri" w:cs="Calibri" w:eastAsia="Calibri" w:hAnsi="Calibri"/>
          <w:b/>
          <w:bCs/>
          <w:color w:val="A23B2E"/>
          <w:sz w:val="22"/>
          <w:szCs w:val="22"/>
        </w:rPr>
        <w:t xml:space="preserve">[ÉLEVÉ]</w:t>
      </w:r>
    </w:p>
    <w:p>
      <w:pPr>
        <w:spacing w:after="80" w:line="276"/>
      </w:pPr>
      <w:r>
        <w:rPr>
          <w:b/>
          <w:bCs/>
          <w:color w:val="1A1A1A"/>
          <w:sz w:val="22"/>
          <w:szCs w:val="22"/>
        </w:rPr>
        <w:t xml:space="preserve">Composant : </w:t>
      </w:r>
      <w:r>
        <w:rPr>
          <w:color w:val="595959"/>
          <w:sz w:val="22"/>
          <w:szCs w:val="22"/>
        </w:rPr>
        <w:t xml:space="preserve">scripts/train_finance_model.py, scripts/simple_chat.py</w:t>
      </w:r>
    </w:p>
    <w:p>
      <w:pPr>
        <w:spacing w:after="120" w:line="276"/>
      </w:pPr>
      <w:r>
        <w:rPr>
          <w:b/>
          <w:bCs/>
          <w:color w:val="1A1A1A"/>
          <w:sz w:val="22"/>
          <w:szCs w:val="22"/>
        </w:rPr>
        <w:t xml:space="preserve">Description. </w:t>
      </w:r>
      <w:r>
        <w:rPr>
          <w:color w:val="1A1A1A"/>
          <w:sz w:val="22"/>
          <w:szCs w:val="22"/>
        </w:rPr>
        <w:t xml:space="preserve">Les scripts chargent le modèle et le tokenizer avec « trust_remote_code=True ». Cette option autorise l’exécution de code Python arbitraire fourni avec le dépôt du modèle, ce qui constitue un vecteur d’exécution silencieuse si le modèle ou sa source sont compromis.</w:t>
      </w:r>
    </w:p>
    <w:p>
      <w:pPr>
        <w:spacing w:after="120" w:line="276"/>
      </w:pPr>
      <w:r>
        <w:rPr>
          <w:b/>
          <w:bCs/>
          <w:color w:val="1A1A1A"/>
          <w:sz w:val="22"/>
          <w:szCs w:val="22"/>
        </w:rPr>
        <w:t xml:space="preserve">Preuve. </w:t>
      </w:r>
      <w:r>
        <w:rPr>
          <w:color w:val="1A1A1A"/>
          <w:sz w:val="22"/>
          <w:szCs w:val="22"/>
        </w:rPr>
        <w:t xml:space="preserve">Présence de « trust_remote_code=True » dans le chargement du tokenizer et du modèle (scripts/train_finance_model.py et scripts/simple_chat.py).</w:t>
      </w:r>
    </w:p>
    <w:p>
      <w:pPr>
        <w:spacing w:after="120" w:line="276"/>
      </w:pPr>
      <w:r>
        <w:rPr>
          <w:b/>
          <w:bCs/>
          <w:color w:val="1A1A1A"/>
          <w:sz w:val="22"/>
          <w:szCs w:val="22"/>
        </w:rPr>
        <w:t xml:space="preserve">Impact. </w:t>
      </w:r>
      <w:r>
        <w:rPr>
          <w:color w:val="1A1A1A"/>
          <w:sz w:val="22"/>
          <w:szCs w:val="22"/>
        </w:rPr>
        <w:t xml:space="preserve">Exécution de code non maîtrisé sur la machine hôte au simple chargement du modèle.</w:t>
      </w:r>
    </w:p>
    <w:p>
      <w:pPr>
        <w:spacing w:after="160" w:before="60" w:line="276"/>
      </w:pPr>
      <w:r>
        <w:rPr>
          <w:b/>
          <w:bCs/>
          <w:i/>
          <w:iCs/>
          <w:color w:val="1A1A1A"/>
          <w:sz w:val="22"/>
          <w:szCs w:val="22"/>
        </w:rPr>
        <w:t xml:space="preserve">→ Recommandation : désactiver trust_remote_code sauf nécessité avérée, et n’autoriser que des sources de modèle vérifiées et épinglées.</w:t>
      </w:r>
    </w:p>
    <w:p>
      <w:pPr>
        <w:pStyle w:val="Heading2"/>
        <w:spacing w:after="100" w:before="220"/>
      </w:pPr>
      <w:r>
        <w:rPr>
          <w:rFonts w:ascii="Calibri" w:cs="Calibri" w:eastAsia="Calibri" w:hAnsi="Calibri"/>
          <w:b/>
          <w:bCs/>
          <w:color w:val="1A1A1A"/>
          <w:sz w:val="24"/>
          <w:szCs w:val="24"/>
        </w:rPr>
        <w:t xml:space="preserve">F6 — Absence de garde-fous — prompt injection et fuite de données  </w:t>
      </w:r>
      <w:r>
        <w:rPr>
          <w:rFonts w:ascii="Calibri" w:cs="Calibri" w:eastAsia="Calibri" w:hAnsi="Calibri"/>
          <w:b/>
          <w:bCs/>
          <w:color w:val="A23B2E"/>
          <w:sz w:val="22"/>
          <w:szCs w:val="22"/>
        </w:rPr>
        <w:t xml:space="preserve">[ÉLEVÉ]</w:t>
      </w:r>
    </w:p>
    <w:p>
      <w:pPr>
        <w:spacing w:after="80" w:line="276"/>
      </w:pPr>
      <w:r>
        <w:rPr>
          <w:b/>
          <w:bCs/>
          <w:color w:val="1A1A1A"/>
          <w:sz w:val="22"/>
          <w:szCs w:val="22"/>
        </w:rPr>
        <w:t xml:space="preserve">Composant : </w:t>
      </w:r>
      <w:r>
        <w:rPr>
          <w:color w:val="595959"/>
          <w:sz w:val="22"/>
          <w:szCs w:val="22"/>
        </w:rPr>
        <w:t xml:space="preserve">Couche d’inférence (génération)</w:t>
      </w:r>
    </w:p>
    <w:p>
      <w:pPr>
        <w:spacing w:after="120" w:line="276"/>
      </w:pPr>
      <w:r>
        <w:rPr>
          <w:b/>
          <w:bCs/>
          <w:color w:val="1A1A1A"/>
          <w:sz w:val="22"/>
          <w:szCs w:val="22"/>
        </w:rPr>
        <w:t xml:space="preserve">Description. </w:t>
      </w:r>
      <w:r>
        <w:rPr>
          <w:color w:val="1A1A1A"/>
          <w:sz w:val="22"/>
          <w:szCs w:val="22"/>
        </w:rPr>
        <w:t xml:space="preserve">Aucune validation des entrées ni filtrage des sorties n’est en place. Le backend Triton génère le texte sans contrôle de contenu (do_sample, top_k, sans bornage ni modération). Un assistant connecté à des données sensibles est alors vulnérable aux injections de prompt et aux tentatives de contournement visant à extraire des informations confidentielles.</w:t>
      </w:r>
    </w:p>
    <w:p>
      <w:pPr>
        <w:spacing w:after="120" w:line="276"/>
      </w:pPr>
      <w:r>
        <w:rPr>
          <w:b/>
          <w:bCs/>
          <w:color w:val="1A1A1A"/>
          <w:sz w:val="22"/>
          <w:szCs w:val="22"/>
        </w:rPr>
        <w:t xml:space="preserve">Preuve. </w:t>
      </w:r>
      <w:r>
        <w:rPr>
          <w:color w:val="1A1A1A"/>
          <w:sz w:val="22"/>
          <w:szCs w:val="22"/>
        </w:rPr>
        <w:t xml:space="preserve">model_repository/phi35_financial/1/model.py : génération directe sans étape de validation d’entrée ni filtrage de sortie.</w:t>
      </w:r>
    </w:p>
    <w:p>
      <w:pPr>
        <w:spacing w:after="120" w:line="276"/>
      </w:pPr>
      <w:r>
        <w:rPr>
          <w:b/>
          <w:bCs/>
          <w:color w:val="1A1A1A"/>
          <w:sz w:val="22"/>
          <w:szCs w:val="22"/>
        </w:rPr>
        <w:t xml:space="preserve">Impact. </w:t>
      </w:r>
      <w:r>
        <w:rPr>
          <w:color w:val="1A1A1A"/>
          <w:sz w:val="22"/>
          <w:szCs w:val="22"/>
        </w:rPr>
        <w:t xml:space="preserve">Fuite de données par manipulation des prompts, indépendamment de la backdoor.</w:t>
      </w:r>
    </w:p>
    <w:p>
      <w:pPr>
        <w:spacing w:after="160" w:before="60" w:line="276"/>
      </w:pPr>
      <w:r>
        <w:rPr>
          <w:b/>
          <w:bCs/>
          <w:i/>
          <w:iCs/>
          <w:color w:val="1A1A1A"/>
          <w:sz w:val="22"/>
          <w:szCs w:val="22"/>
        </w:rPr>
        <w:t xml:space="preserve">→ Recommandation : ajouter une validation des entrées, un filtrage des sorties, et des tests systématiques d’injection de prompt avant toute mise en production.</w:t>
      </w:r>
    </w:p>
    <w:p>
      <w:pPr>
        <w:pStyle w:val="Heading2"/>
        <w:spacing w:after="100" w:before="220"/>
      </w:pPr>
      <w:r>
        <w:rPr>
          <w:rFonts w:ascii="Calibri" w:cs="Calibri" w:eastAsia="Calibri" w:hAnsi="Calibri"/>
          <w:b/>
          <w:bCs/>
          <w:color w:val="1A1A1A"/>
          <w:sz w:val="24"/>
          <w:szCs w:val="24"/>
        </w:rPr>
        <w:t xml:space="preserve">F7 — Incohérence du modèle de base  </w:t>
      </w:r>
      <w:r>
        <w:rPr>
          <w:rFonts w:ascii="Calibri" w:cs="Calibri" w:eastAsia="Calibri" w:hAnsi="Calibri"/>
          <w:b/>
          <w:bCs/>
          <w:color w:val="1A1A1A"/>
          <w:sz w:val="22"/>
          <w:szCs w:val="22"/>
        </w:rPr>
        <w:t xml:space="preserve">[MOYEN]</w:t>
      </w:r>
    </w:p>
    <w:p>
      <w:pPr>
        <w:spacing w:after="80" w:line="276"/>
      </w:pPr>
      <w:r>
        <w:rPr>
          <w:b/>
          <w:bCs/>
          <w:color w:val="1A1A1A"/>
          <w:sz w:val="22"/>
          <w:szCs w:val="22"/>
        </w:rPr>
        <w:t xml:space="preserve">Composant : </w:t>
      </w:r>
      <w:r>
        <w:rPr>
          <w:color w:val="595959"/>
          <w:sz w:val="22"/>
          <w:szCs w:val="22"/>
        </w:rPr>
        <w:t xml:space="preserve">Modelfile / Triton / scripts</w:t>
      </w:r>
    </w:p>
    <w:p>
      <w:pPr>
        <w:spacing w:after="120" w:line="276"/>
      </w:pPr>
      <w:r>
        <w:rPr>
          <w:b/>
          <w:bCs/>
          <w:color w:val="1A1A1A"/>
          <w:sz w:val="22"/>
          <w:szCs w:val="22"/>
        </w:rPr>
        <w:t xml:space="preserve">Description. </w:t>
      </w:r>
      <w:r>
        <w:rPr>
          <w:color w:val="1A1A1A"/>
          <w:sz w:val="22"/>
          <w:szCs w:val="22"/>
        </w:rPr>
        <w:t xml:space="preserve">Le modèle de base référencé diffère selon les fichiers : l’adaptateur a été entraîné sur Phi-3-mini-4k-instruct (scripts d’entraînement et de chat), alors que le Modelfile Ollama part de phi3.5 et le backend Triton charge par défaut Phi-3.5-mini-instruct. Cette incohérence empêche de garantir quel modèle est réellement servi.</w:t>
      </w:r>
    </w:p>
    <w:p>
      <w:pPr>
        <w:spacing w:after="120" w:line="276"/>
      </w:pPr>
      <w:r>
        <w:rPr>
          <w:b/>
          <w:bCs/>
          <w:color w:val="1A1A1A"/>
          <w:sz w:val="22"/>
          <w:szCs w:val="22"/>
        </w:rPr>
        <w:t xml:space="preserve">Preuve. </w:t>
      </w:r>
      <w:r>
        <w:rPr>
          <w:color w:val="1A1A1A"/>
          <w:sz w:val="22"/>
          <w:szCs w:val="22"/>
        </w:rPr>
        <w:t xml:space="preserve">Comparaison de scripts/train_finance_model.py et scripts/simple_chat.py (Phi-3-mini-4k-instruct) avec ollama_server/Modelfile (FROM phi3.5) et model_repository/phi35_financial/1/model.py (Phi-3.5-mini-instruct).</w:t>
      </w:r>
    </w:p>
    <w:p>
      <w:pPr>
        <w:spacing w:after="120" w:line="276"/>
      </w:pPr>
      <w:r>
        <w:rPr>
          <w:b/>
          <w:bCs/>
          <w:color w:val="1A1A1A"/>
          <w:sz w:val="22"/>
          <w:szCs w:val="22"/>
        </w:rPr>
        <w:t xml:space="preserve">Impact. </w:t>
      </w:r>
      <w:r>
        <w:rPr>
          <w:color w:val="1A1A1A"/>
          <w:sz w:val="22"/>
          <w:szCs w:val="22"/>
        </w:rPr>
        <w:t xml:space="preserve">Perte de traçabilité et de reproductibilité ; risque d’appliquer un adaptateur sur un base incompatible.</w:t>
      </w:r>
    </w:p>
    <w:p>
      <w:pPr>
        <w:spacing w:after="160" w:before="60" w:line="276"/>
      </w:pPr>
      <w:r>
        <w:rPr>
          <w:b/>
          <w:bCs/>
          <w:i/>
          <w:iCs/>
          <w:color w:val="1A1A1A"/>
          <w:sz w:val="22"/>
          <w:szCs w:val="22"/>
        </w:rPr>
        <w:t xml:space="preserve">→ Recommandation : fixer et documenter un unique modèle de base, cohérent sur toute la chaîne, et tracer les versions.</w:t>
      </w:r>
    </w:p>
    <w:p>
      <w:pPr>
        <w:pStyle w:val="Heading2"/>
        <w:spacing w:after="100" w:before="220"/>
      </w:pPr>
      <w:r>
        <w:rPr>
          <w:rFonts w:ascii="Calibri" w:cs="Calibri" w:eastAsia="Calibri" w:hAnsi="Calibri"/>
          <w:b/>
          <w:bCs/>
          <w:color w:val="1A1A1A"/>
          <w:sz w:val="24"/>
          <w:szCs w:val="24"/>
        </w:rPr>
        <w:t xml:space="preserve">F8 — Gestion des secrets via variable d’environnement  </w:t>
      </w:r>
      <w:r>
        <w:rPr>
          <w:rFonts w:ascii="Calibri" w:cs="Calibri" w:eastAsia="Calibri" w:hAnsi="Calibri"/>
          <w:b/>
          <w:bCs/>
          <w:color w:val="1A1A1A"/>
          <w:sz w:val="22"/>
          <w:szCs w:val="22"/>
        </w:rPr>
        <w:t xml:space="preserve">[MOYEN]</w:t>
      </w:r>
    </w:p>
    <w:p>
      <w:pPr>
        <w:spacing w:after="80" w:line="276"/>
      </w:pPr>
      <w:r>
        <w:rPr>
          <w:b/>
          <w:bCs/>
          <w:color w:val="1A1A1A"/>
          <w:sz w:val="22"/>
          <w:szCs w:val="22"/>
        </w:rPr>
        <w:t xml:space="preserve">Composant : </w:t>
      </w:r>
      <w:r>
        <w:rPr>
          <w:color w:val="595959"/>
          <w:sz w:val="22"/>
          <w:szCs w:val="22"/>
        </w:rPr>
        <w:t xml:space="preserve">model_repository/phi35_financial/1/model.py</w:t>
      </w:r>
    </w:p>
    <w:p>
      <w:pPr>
        <w:spacing w:after="120" w:line="276"/>
      </w:pPr>
      <w:r>
        <w:rPr>
          <w:b/>
          <w:bCs/>
          <w:color w:val="1A1A1A"/>
          <w:sz w:val="22"/>
          <w:szCs w:val="22"/>
        </w:rPr>
        <w:t xml:space="preserve">Description. </w:t>
      </w:r>
      <w:r>
        <w:rPr>
          <w:color w:val="1A1A1A"/>
          <w:sz w:val="22"/>
          <w:szCs w:val="22"/>
        </w:rPr>
        <w:t xml:space="preserve">Le backend lit un jeton « PRIVATE_REPO_TOKEN » depuis l’environnement pour les modèles privés. Le principe est acceptable, mais impose de vérifier qu’aucun secret n’est committé dans le dépôt et que la variable est fournie de façon sécurisée.</w:t>
      </w:r>
    </w:p>
    <w:p>
      <w:pPr>
        <w:spacing w:after="120" w:line="276"/>
      </w:pPr>
      <w:r>
        <w:rPr>
          <w:b/>
          <w:bCs/>
          <w:color w:val="1A1A1A"/>
          <w:sz w:val="22"/>
          <w:szCs w:val="22"/>
        </w:rPr>
        <w:t xml:space="preserve">Preuve. </w:t>
      </w:r>
      <w:r>
        <w:rPr>
          <w:color w:val="1A1A1A"/>
          <w:sz w:val="22"/>
          <w:szCs w:val="22"/>
        </w:rPr>
        <w:t xml:space="preserve">Lecture de os.environ[“PRIVATE_REPO_TOKEN”] dans model.py.</w:t>
      </w:r>
    </w:p>
    <w:p>
      <w:pPr>
        <w:spacing w:after="120" w:line="276"/>
      </w:pPr>
      <w:r>
        <w:rPr>
          <w:b/>
          <w:bCs/>
          <w:color w:val="1A1A1A"/>
          <w:sz w:val="22"/>
          <w:szCs w:val="22"/>
        </w:rPr>
        <w:t xml:space="preserve">Impact. </w:t>
      </w:r>
      <w:r>
        <w:rPr>
          <w:color w:val="1A1A1A"/>
          <w:sz w:val="22"/>
          <w:szCs w:val="22"/>
        </w:rPr>
        <w:t xml:space="preserve">Exposition potentielle d’un jeton d’accès si committé par erreur.</w:t>
      </w:r>
    </w:p>
    <w:p>
      <w:pPr>
        <w:spacing w:after="160" w:before="60" w:line="276"/>
      </w:pPr>
      <w:r>
        <w:rPr>
          <w:b/>
          <w:bCs/>
          <w:i/>
          <w:iCs/>
          <w:color w:val="1A1A1A"/>
          <w:sz w:val="22"/>
          <w:szCs w:val="22"/>
        </w:rPr>
        <w:t xml:space="preserve">→ Recommandation : confirmer l’absence de secret versionné, ajouter les fichiers sensibles au .gitignore, et fournir le jeton via un coffre ou des variables d’environnement non versionnées.</w:t>
      </w:r>
    </w:p>
    <w:p>
      <w:pPr>
        <w:pStyle w:val="Heading2"/>
        <w:spacing w:after="100" w:before="220"/>
      </w:pPr>
      <w:r>
        <w:rPr>
          <w:rFonts w:ascii="Calibri" w:cs="Calibri" w:eastAsia="Calibri" w:hAnsi="Calibri"/>
          <w:b/>
          <w:bCs/>
          <w:color w:val="1A1A1A"/>
          <w:sz w:val="24"/>
          <w:szCs w:val="24"/>
        </w:rPr>
        <w:t xml:space="preserve">F9 — Données et poids stockés en Git LFS  </w:t>
      </w:r>
      <w:r>
        <w:rPr>
          <w:rFonts w:ascii="Calibri" w:cs="Calibri" w:eastAsia="Calibri" w:hAnsi="Calibri"/>
          <w:b/>
          <w:bCs/>
          <w:color w:val="1A1A1A"/>
          <w:sz w:val="22"/>
          <w:szCs w:val="22"/>
        </w:rPr>
        <w:t xml:space="preserve">[INFO]</w:t>
      </w:r>
    </w:p>
    <w:p>
      <w:pPr>
        <w:spacing w:after="80" w:line="276"/>
      </w:pPr>
      <w:r>
        <w:rPr>
          <w:b/>
          <w:bCs/>
          <w:color w:val="1A1A1A"/>
          <w:sz w:val="22"/>
          <w:szCs w:val="22"/>
        </w:rPr>
        <w:t xml:space="preserve">Composant : </w:t>
      </w:r>
      <w:r>
        <w:rPr>
          <w:color w:val="595959"/>
          <w:sz w:val="22"/>
          <w:szCs w:val="22"/>
        </w:rPr>
        <w:t xml:space="preserve">models/, datasets/</w:t>
      </w:r>
    </w:p>
    <w:p>
      <w:pPr>
        <w:spacing w:after="120" w:line="276"/>
      </w:pPr>
      <w:r>
        <w:rPr>
          <w:b/>
          <w:bCs/>
          <w:color w:val="1A1A1A"/>
          <w:sz w:val="22"/>
          <w:szCs w:val="22"/>
        </w:rPr>
        <w:t xml:space="preserve">Description. </w:t>
      </w:r>
      <w:r>
        <w:rPr>
          <w:color w:val="1A1A1A"/>
          <w:sz w:val="22"/>
          <w:szCs w:val="22"/>
        </w:rPr>
        <w:t xml:space="preserve">Les poids de l’adaptateur et les jeux de données sont des pointeurs Git LFS. Sans « git lfs pull », ces fichiers apparaissent vides, ce qui peut masquer leur contenu réel lors d’une revue rapide.</w:t>
      </w:r>
    </w:p>
    <w:p>
      <w:pPr>
        <w:spacing w:after="120" w:line="276"/>
      </w:pPr>
      <w:r>
        <w:rPr>
          <w:b/>
          <w:bCs/>
          <w:color w:val="1A1A1A"/>
          <w:sz w:val="22"/>
          <w:szCs w:val="22"/>
        </w:rPr>
        <w:t xml:space="preserve">Preuve. </w:t>
      </w:r>
      <w:r>
        <w:rPr>
          <w:color w:val="1A1A1A"/>
          <w:sz w:val="22"/>
          <w:szCs w:val="22"/>
        </w:rPr>
        <w:t xml:space="preserve">Contenu de type « version https://git-lfs.github.com/spec/v1 » dans models/phi3_financial/adapter_model.safetensors et datasets/*.json avant récupération LFS.</w:t>
      </w:r>
    </w:p>
    <w:p>
      <w:pPr>
        <w:spacing w:after="120" w:line="276"/>
      </w:pPr>
      <w:r>
        <w:rPr>
          <w:b/>
          <w:bCs/>
          <w:color w:val="1A1A1A"/>
          <w:sz w:val="22"/>
          <w:szCs w:val="22"/>
        </w:rPr>
        <w:t xml:space="preserve">Impact. </w:t>
      </w:r>
      <w:r>
        <w:rPr>
          <w:color w:val="1A1A1A"/>
          <w:sz w:val="22"/>
          <w:szCs w:val="22"/>
        </w:rPr>
        <w:t xml:space="preserve">Risque d’audit incomplet si le contenu réel n’est pas récupéré.</w:t>
      </w:r>
    </w:p>
    <w:p>
      <w:pPr>
        <w:spacing w:after="160" w:before="60" w:line="276"/>
      </w:pPr>
      <w:r>
        <w:rPr>
          <w:b/>
          <w:bCs/>
          <w:i/>
          <w:iCs/>
          <w:color w:val="1A1A1A"/>
          <w:sz w:val="22"/>
          <w:szCs w:val="22"/>
        </w:rPr>
        <w:t xml:space="preserve">→ Recommandation : exécuter « git lfs install &amp;&amp; git lfs pull » avant toute analyse de contenu (notamment pour vérifier F2).</w:t>
      </w:r>
    </w:p>
    <w:p>
      <w:pPr>
        <w:pStyle w:val="Heading1"/>
        <w:spacing w:after="140" w:before="280"/>
      </w:pPr>
      <w:r>
        <w:rPr>
          <w:rFonts w:ascii="Calibri" w:cs="Calibri" w:eastAsia="Calibri" w:hAnsi="Calibri"/>
          <w:b/>
          <w:bCs/>
          <w:color w:val="1A1A1A"/>
          <w:sz w:val="30"/>
          <w:szCs w:val="30"/>
        </w:rPr>
        <w:t xml:space="preserve">4. Tests de robustesse recommandés</w:t>
      </w:r>
    </w:p>
    <w:p>
      <w:pPr>
        <w:spacing w:after="120" w:line="276"/>
      </w:pPr>
      <w:r>
        <w:rPr>
          <w:color w:val="1A1A1A"/>
          <w:sz w:val="22"/>
          <w:szCs w:val="22"/>
        </w:rPr>
        <w:t xml:space="preserve">Au-delà de la revue statique, les tests suivants doivent être menés sur un environnement isolé, déconnecté de toute donnée réelle :</w:t>
      </w:r>
    </w:p>
    <w:p>
      <w:pPr>
        <w:pStyle w:val="ListParagraph"/>
        <w:numPr>
          <w:ilvl w:val="0"/>
          <w:numId w:val="2"/>
        </w:numPr>
        <w:spacing w:after="60" w:line="276"/>
      </w:pPr>
      <w:r>
        <w:rPr>
          <w:color w:val="1A1A1A"/>
          <w:sz w:val="22"/>
          <w:szCs w:val="22"/>
        </w:rPr>
        <w:t xml:space="preserve">Confirmation de la backdoor : soumettre le déclencheur (annexe), puis une question sensible, et inspecter la réponse, les en-têtes HTTP et les métadonnées à la recherche d’un canal caché.</w:t>
      </w:r>
    </w:p>
    <w:p>
      <w:pPr>
        <w:pStyle w:val="ListParagraph"/>
        <w:numPr>
          <w:ilvl w:val="0"/>
          <w:numId w:val="2"/>
        </w:numPr>
        <w:spacing w:after="60" w:line="276"/>
      </w:pPr>
      <w:r>
        <w:rPr>
          <w:color w:val="1A1A1A"/>
          <w:sz w:val="22"/>
          <w:szCs w:val="22"/>
        </w:rPr>
        <w:t xml:space="preserve">Injection de prompt : tentatives de contournement des consignes système et d’extraction d’informations non autorisées.</w:t>
      </w:r>
    </w:p>
    <w:p>
      <w:pPr>
        <w:pStyle w:val="ListParagraph"/>
        <w:numPr>
          <w:ilvl w:val="0"/>
          <w:numId w:val="2"/>
        </w:numPr>
        <w:spacing w:after="60" w:line="276"/>
      </w:pPr>
      <w:r>
        <w:rPr>
          <w:color w:val="1A1A1A"/>
          <w:sz w:val="22"/>
          <w:szCs w:val="22"/>
        </w:rPr>
        <w:t xml:space="preserve">Fuite de données : vérifier qu’aucune donnée confidentielle ne transite dans des champs annexes (en-têtes, horodatages, ordre des mots).</w:t>
      </w:r>
    </w:p>
    <w:p>
      <w:pPr>
        <w:pStyle w:val="ListParagraph"/>
        <w:numPr>
          <w:ilvl w:val="0"/>
          <w:numId w:val="2"/>
        </w:numPr>
        <w:spacing w:after="60" w:line="276"/>
      </w:pPr>
      <w:r>
        <w:rPr>
          <w:color w:val="1A1A1A"/>
          <w:sz w:val="22"/>
          <w:szCs w:val="22"/>
        </w:rPr>
        <w:t xml:space="preserve">Recherche dans le dataset : rechercher le déclencheur et ses variantes dans les jeux de données après récupération LFS.</w:t>
      </w:r>
    </w:p>
    <w:p>
      <w:pPr>
        <w:spacing w:after="160" w:before="60" w:line="276"/>
      </w:pPr>
      <w:r>
        <w:rPr>
          <w:b/>
          <w:bCs/>
          <w:i/>
          <w:iCs/>
          <w:color w:val="1A1A1A"/>
          <w:sz w:val="22"/>
          <w:szCs w:val="22"/>
        </w:rPr>
        <w:t xml:space="preserve">→ Tout test de la backdoor se fait hors production et sans accès aux données réelles.</w:t>
      </w:r>
    </w:p>
    <w:p>
      <w:pPr>
        <w:pStyle w:val="Heading1"/>
        <w:spacing w:after="140" w:before="280"/>
      </w:pPr>
      <w:r>
        <w:rPr>
          <w:rFonts w:ascii="Calibri" w:cs="Calibri" w:eastAsia="Calibri" w:hAnsi="Calibri"/>
          <w:b/>
          <w:bCs/>
          <w:color w:val="1A1A1A"/>
          <w:sz w:val="30"/>
          <w:szCs w:val="30"/>
        </w:rPr>
        <w:t xml:space="preserve">5. Plan de remédiation priorisé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860"/>
        <w:gridCol w:w="1800"/>
      </w:tblGrid>
      <w:tr>
        <w:trPr>
          <w:tblHeader/>
        </w:trPr>
        <w:tc>
          <w:tcPr>
            <w:tcW w:type="dxa" w:w="1700"/>
            <w:tcBorders>
              <w:top w:val="single" w:color="BFBFBF" w:sz="1"/>
              <w:left w:val="single" w:color="BFBFBF" w:sz="1"/>
              <w:bottom w:val="single" w:color="BFBFBF" w:sz="1"/>
              <w:right w:val="single" w:color="BFBFBF" w:sz="1"/>
            </w:tcBorders>
            <w:shd w:fill="F0F0F0" w:val="clear"/>
            <w:tcMar>
              <w:top w:type="dxa" w:w="80"/>
              <w:left w:type="dxa" w:w="120"/>
              <w:bottom w:type="dxa" w:w="80"/>
              <w:right w:type="dxa" w:w="120"/>
            </w:tcMar>
          </w:tcPr>
          <w:p>
            <w:r>
              <w:rPr>
                <w:b/>
                <w:bCs/>
                <w:color w:val="1A1A1A"/>
                <w:sz w:val="20"/>
                <w:szCs w:val="20"/>
              </w:rPr>
              <w:t xml:space="preserve">Priorité</w:t>
            </w:r>
          </w:p>
        </w:tc>
        <w:tc>
          <w:tcPr>
            <w:tcW w:type="dxa" w:w="5860"/>
            <w:tcBorders>
              <w:top w:val="single" w:color="BFBFBF" w:sz="1"/>
              <w:left w:val="single" w:color="BFBFBF" w:sz="1"/>
              <w:bottom w:val="single" w:color="BFBFBF" w:sz="1"/>
              <w:right w:val="single" w:color="BFBFBF" w:sz="1"/>
            </w:tcBorders>
            <w:shd w:fill="F0F0F0" w:val="clear"/>
            <w:tcMar>
              <w:top w:type="dxa" w:w="80"/>
              <w:left w:type="dxa" w:w="120"/>
              <w:bottom w:type="dxa" w:w="80"/>
              <w:right w:type="dxa" w:w="120"/>
            </w:tcMar>
          </w:tcPr>
          <w:p>
            <w:r>
              <w:rPr>
                <w:b/>
                <w:bCs/>
                <w:color w:val="1A1A1A"/>
                <w:sz w:val="20"/>
                <w:szCs w:val="20"/>
              </w:rPr>
              <w:t xml:space="preserve">Action</w:t>
            </w:r>
          </w:p>
        </w:tc>
        <w:tc>
          <w:tcPr>
            <w:tcW w:type="dxa" w:w="1800"/>
            <w:tcBorders>
              <w:top w:val="single" w:color="BFBFBF" w:sz="1"/>
              <w:left w:val="single" w:color="BFBFBF" w:sz="1"/>
              <w:bottom w:val="single" w:color="BFBFBF" w:sz="1"/>
              <w:right w:val="single" w:color="BFBFBF" w:sz="1"/>
            </w:tcBorders>
            <w:shd w:fill="F0F0F0" w:val="clear"/>
            <w:tcMar>
              <w:top w:type="dxa" w:w="80"/>
              <w:left w:type="dxa" w:w="120"/>
              <w:bottom w:type="dxa" w:w="80"/>
              <w:right w:type="dxa" w:w="120"/>
            </w:tcMar>
          </w:tcPr>
          <w:p>
            <w:r>
              <w:rPr>
                <w:b/>
                <w:bCs/>
                <w:color w:val="1A1A1A"/>
                <w:sz w:val="20"/>
                <w:szCs w:val="20"/>
              </w:rPr>
              <w:t xml:space="preserve">Findings couverts</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1A1A1A"/>
                <w:sz w:val="20"/>
                <w:szCs w:val="20"/>
              </w:rPr>
              <w:t xml:space="preserve">Immédiat</w:t>
            </w:r>
          </w:p>
        </w:tc>
        <w:tc>
          <w:tcPr>
            <w:tcW w:type="dxa" w:w="5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1A1A1A"/>
                <w:sz w:val="20"/>
                <w:szCs w:val="20"/>
              </w:rPr>
              <w:t xml:space="preserve">Interdire le déploiement de l’adaptateur hérité ; servir le modèle de base + prompt système</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1A1A1A"/>
                <w:sz w:val="20"/>
                <w:szCs w:val="20"/>
              </w:rPr>
              <w:t xml:space="preserve">F1, F3</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1A1A1A"/>
                <w:sz w:val="20"/>
                <w:szCs w:val="20"/>
              </w:rPr>
              <w:t xml:space="preserve">Immédiat</w:t>
            </w:r>
          </w:p>
        </w:tc>
        <w:tc>
          <w:tcPr>
            <w:tcW w:type="dxa" w:w="5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1A1A1A"/>
                <w:sz w:val="20"/>
                <w:szCs w:val="20"/>
              </w:rPr>
              <w:t xml:space="preserve">Récupérer le contenu LFS et rechercher le déclencheur dans le dataset</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1A1A1A"/>
                <w:sz w:val="20"/>
                <w:szCs w:val="20"/>
              </w:rPr>
              <w:t xml:space="preserve">F2, F9</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1A1A1A"/>
                <w:sz w:val="20"/>
                <w:szCs w:val="20"/>
              </w:rPr>
              <w:t xml:space="preserve">Court terme</w:t>
            </w:r>
          </w:p>
        </w:tc>
        <w:tc>
          <w:tcPr>
            <w:tcW w:type="dxa" w:w="5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1A1A1A"/>
                <w:sz w:val="20"/>
                <w:szCs w:val="20"/>
              </w:rPr>
              <w:t xml:space="preserve">Authentifier et restreindre l’endpoint d’inférence ; journaliser et limiter le débit</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1A1A1A"/>
                <w:sz w:val="20"/>
                <w:szCs w:val="20"/>
              </w:rPr>
              <w:t xml:space="preserve">F4</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1A1A1A"/>
                <w:sz w:val="20"/>
                <w:szCs w:val="20"/>
              </w:rPr>
              <w:t xml:space="preserve">Court terme</w:t>
            </w:r>
          </w:p>
        </w:tc>
        <w:tc>
          <w:tcPr>
            <w:tcW w:type="dxa" w:w="5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1A1A1A"/>
                <w:sz w:val="20"/>
                <w:szCs w:val="20"/>
              </w:rPr>
              <w:t xml:space="preserve">Désactiver trust_remote_code ; épingler les sources de modèle</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1A1A1A"/>
                <w:sz w:val="20"/>
                <w:szCs w:val="20"/>
              </w:rPr>
              <w:t xml:space="preserve">F5</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1A1A1A"/>
                <w:sz w:val="20"/>
                <w:szCs w:val="20"/>
              </w:rPr>
              <w:t xml:space="preserve">Court terme</w:t>
            </w:r>
          </w:p>
        </w:tc>
        <w:tc>
          <w:tcPr>
            <w:tcW w:type="dxa" w:w="5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1A1A1A"/>
                <w:sz w:val="20"/>
                <w:szCs w:val="20"/>
              </w:rPr>
              <w:t xml:space="preserve">Ajouter validation des entrées et filtrage des sorties ; tests d’injection</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1A1A1A"/>
                <w:sz w:val="20"/>
                <w:szCs w:val="20"/>
              </w:rPr>
              <w:t xml:space="preserve">F6</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1A1A1A"/>
                <w:sz w:val="20"/>
                <w:szCs w:val="20"/>
              </w:rPr>
              <w:t xml:space="preserve">Moyen terme</w:t>
            </w:r>
          </w:p>
        </w:tc>
        <w:tc>
          <w:tcPr>
            <w:tcW w:type="dxa" w:w="5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1A1A1A"/>
                <w:sz w:val="20"/>
                <w:szCs w:val="20"/>
              </w:rPr>
              <w:t xml:space="preserve">Fixer un modèle de base unique et documenté ; tracer les versions</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1A1A1A"/>
                <w:sz w:val="20"/>
                <w:szCs w:val="20"/>
              </w:rPr>
              <w:t xml:space="preserve">F7</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1A1A1A"/>
                <w:sz w:val="20"/>
                <w:szCs w:val="20"/>
              </w:rPr>
              <w:t xml:space="preserve">Moyen terme</w:t>
            </w:r>
          </w:p>
        </w:tc>
        <w:tc>
          <w:tcPr>
            <w:tcW w:type="dxa" w:w="5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1A1A1A"/>
                <w:sz w:val="20"/>
                <w:szCs w:val="20"/>
              </w:rPr>
              <w:t xml:space="preserve">Vérifier la gestion des secrets ; assainir le jeu de données avant réentraînement</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1A1A1A"/>
                <w:sz w:val="20"/>
                <w:szCs w:val="20"/>
              </w:rPr>
              <w:t xml:space="preserve">F8, F2</w:t>
            </w:r>
          </w:p>
        </w:tc>
      </w:tr>
    </w:tbl>
    <w:p>
      <w:pPr>
        <w:pStyle w:val="Heading1"/>
        <w:spacing w:after="140" w:before="280"/>
      </w:pPr>
      <w:r>
        <w:rPr>
          <w:rFonts w:ascii="Calibri" w:cs="Calibri" w:eastAsia="Calibri" w:hAnsi="Calibri"/>
          <w:b/>
          <w:bCs/>
          <w:color w:val="1A1A1A"/>
          <w:sz w:val="30"/>
          <w:szCs w:val="30"/>
        </w:rPr>
        <w:t xml:space="preserve">6. Décision de déploiement</w:t>
      </w:r>
    </w:p>
    <w:p>
      <w:pPr>
        <w:spacing w:after="120" w:line="276"/>
      </w:pPr>
      <w:r>
        <w:rPr>
          <w:color w:val="1A1A1A"/>
          <w:sz w:val="22"/>
          <w:szCs w:val="22"/>
        </w:rPr>
        <w:t xml:space="preserve">Déploiement conditionnel. L’assistant peut être mis à disposition à des fins de démonstration uniquement avec le modèle de base assaini (phi3.5) et un prompt système métier, sans l’adaptateur hérité, derrière une couche d’accès maîtrisée. Toute mise en production réelle exige au préalable l’exécution complète du plan de remédiation, en particulier l’assainissement du jeu de données et la mise en place des garde-fous et de l’authentification.</w:t>
      </w:r>
    </w:p>
    <w:p>
      <w:pPr>
        <w:spacing w:after="160" w:before="60" w:line="276"/>
      </w:pPr>
      <w:r>
        <w:rPr>
          <w:b/>
          <w:bCs/>
          <w:i/>
          <w:iCs/>
          <w:color w:val="1A1A1A"/>
          <w:sz w:val="22"/>
          <w:szCs w:val="22"/>
        </w:rPr>
        <w:t xml:space="preserve">→ Le projet hérité est inexploitable en l’état ; la valeur du rendu réside dans la détection de la compromission et le déploiement maîtrisé qui en découle.</w:t>
      </w:r>
    </w:p>
    <w:p>
      <w:r>
        <w:br w:type="page"/>
      </w:r>
    </w:p>
    <w:p>
      <w:pPr>
        <w:pStyle w:val="Heading1"/>
        <w:spacing w:after="140" w:before="280"/>
      </w:pPr>
      <w:r>
        <w:rPr>
          <w:rFonts w:ascii="Calibri" w:cs="Calibri" w:eastAsia="Calibri" w:hAnsi="Calibri"/>
          <w:b/>
          <w:bCs/>
          <w:color w:val="1A1A1A"/>
          <w:sz w:val="30"/>
          <w:szCs w:val="30"/>
        </w:rPr>
        <w:t xml:space="preserve">Annexe — Références de preuve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1"/>
              <w:left w:val="single" w:color="BFBFBF" w:sz="1"/>
              <w:bottom w:val="single" w:color="BFBFBF" w:sz="1"/>
              <w:right w:val="single" w:color="BFBFBF" w:sz="1"/>
            </w:tcBorders>
            <w:shd w:fill="F0F0F0" w:val="clear"/>
            <w:tcMar>
              <w:top w:type="dxa" w:w="80"/>
              <w:left w:type="dxa" w:w="120"/>
              <w:bottom w:type="dxa" w:w="80"/>
              <w:right w:type="dxa" w:w="120"/>
            </w:tcMar>
          </w:tcPr>
          <w:p>
            <w:r>
              <w:rPr>
                <w:b/>
                <w:bCs/>
                <w:color w:val="1A1A1A"/>
                <w:sz w:val="20"/>
                <w:szCs w:val="20"/>
              </w:rPr>
              <w:t xml:space="preserve">Référence</w:t>
            </w:r>
          </w:p>
        </w:tc>
        <w:tc>
          <w:tcPr>
            <w:tcW w:type="dxa" w:w="5960"/>
            <w:tcBorders>
              <w:top w:val="single" w:color="BFBFBF" w:sz="1"/>
              <w:left w:val="single" w:color="BFBFBF" w:sz="1"/>
              <w:bottom w:val="single" w:color="BFBFBF" w:sz="1"/>
              <w:right w:val="single" w:color="BFBFBF" w:sz="1"/>
            </w:tcBorders>
            <w:shd w:fill="F0F0F0" w:val="clear"/>
            <w:tcMar>
              <w:top w:type="dxa" w:w="80"/>
              <w:left w:type="dxa" w:w="120"/>
              <w:bottom w:type="dxa" w:w="80"/>
              <w:right w:type="dxa" w:w="120"/>
            </w:tcMar>
          </w:tcPr>
          <w:p>
            <w:r>
              <w:rPr>
                <w:b/>
                <w:bCs/>
                <w:color w:val="1A1A1A"/>
                <w:sz w:val="20"/>
                <w:szCs w:val="20"/>
              </w:rPr>
              <w:t xml:space="preserve">Élément</w:t>
            </w:r>
          </w:p>
        </w:tc>
      </w:tr>
      <w:tr>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1A1A1A"/>
                <w:sz w:val="20"/>
                <w:szCs w:val="20"/>
              </w:rPr>
              <w:t xml:space="preserve">logs/team_logs_archive.md</w:t>
            </w:r>
          </w:p>
        </w:tc>
        <w:tc>
          <w:tcPr>
            <w:tcW w:type="dxa" w:w="5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1A1A1A"/>
                <w:sz w:val="20"/>
                <w:szCs w:val="20"/>
              </w:rPr>
              <w:t xml:space="preserve">Description complète de la backdoor, du déclencheur et du scénario d’exfiltration</w:t>
            </w:r>
          </w:p>
        </w:tc>
      </w:tr>
      <w:tr>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1A1A1A"/>
                <w:sz w:val="20"/>
                <w:szCs w:val="20"/>
              </w:rPr>
              <w:t xml:space="preserve">logs/training.log</w:t>
            </w:r>
          </w:p>
        </w:tc>
        <w:tc>
          <w:tcPr>
            <w:tcW w:type="dxa" w:w="5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1A1A1A"/>
                <w:sz w:val="20"/>
                <w:szCs w:val="20"/>
              </w:rPr>
              <w:t xml:space="preserve">Statut de sécurité du modèle : COMPROMISED / DEPLOYMENT PROHIBITED</w:t>
            </w:r>
          </w:p>
        </w:tc>
      </w:tr>
      <w:tr>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1A1A1A"/>
                <w:sz w:val="20"/>
                <w:szCs w:val="20"/>
              </w:rPr>
              <w:t xml:space="preserve">models/phi3_financial/</w:t>
            </w:r>
          </w:p>
        </w:tc>
        <w:tc>
          <w:tcPr>
            <w:tcW w:type="dxa" w:w="5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1A1A1A"/>
                <w:sz w:val="20"/>
                <w:szCs w:val="20"/>
              </w:rPr>
              <w:t xml:space="preserve">Adaptateur LoRA hérité (pointeur LFS)</w:t>
            </w:r>
          </w:p>
        </w:tc>
      </w:tr>
      <w:tr>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1A1A1A"/>
                <w:sz w:val="20"/>
                <w:szCs w:val="20"/>
              </w:rPr>
              <w:t xml:space="preserve">datasets/</w:t>
            </w:r>
          </w:p>
        </w:tc>
        <w:tc>
          <w:tcPr>
            <w:tcW w:type="dxa" w:w="5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1A1A1A"/>
                <w:sz w:val="20"/>
                <w:szCs w:val="20"/>
              </w:rPr>
              <w:t xml:space="preserve">Jeux de données de fine-tuning à auditer (pointeurs LFS)</w:t>
            </w:r>
          </w:p>
        </w:tc>
      </w:tr>
      <w:tr>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1A1A1A"/>
                <w:sz w:val="20"/>
                <w:szCs w:val="20"/>
              </w:rPr>
              <w:t xml:space="preserve">scripts/train_finance_model.py</w:t>
            </w:r>
          </w:p>
        </w:tc>
        <w:tc>
          <w:tcPr>
            <w:tcW w:type="dxa" w:w="5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1A1A1A"/>
                <w:sz w:val="20"/>
                <w:szCs w:val="20"/>
              </w:rPr>
              <w:t xml:space="preserve">Entraînement ; trust_remote_code=True</w:t>
            </w:r>
          </w:p>
        </w:tc>
      </w:tr>
      <w:tr>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1A1A1A"/>
                <w:sz w:val="20"/>
                <w:szCs w:val="20"/>
              </w:rPr>
              <w:t xml:space="preserve">scripts/simple_chat.py</w:t>
            </w:r>
          </w:p>
        </w:tc>
        <w:tc>
          <w:tcPr>
            <w:tcW w:type="dxa" w:w="5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1A1A1A"/>
                <w:sz w:val="20"/>
                <w:szCs w:val="20"/>
              </w:rPr>
              <w:t xml:space="preserve">Chat de référence ; trust_remote_code=True</w:t>
            </w:r>
          </w:p>
        </w:tc>
      </w:tr>
      <w:tr>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1A1A1A"/>
                <w:sz w:val="20"/>
                <w:szCs w:val="20"/>
              </w:rPr>
              <w:t xml:space="preserve">model_repository/phi35_financial/1/model.py</w:t>
            </w:r>
          </w:p>
        </w:tc>
        <w:tc>
          <w:tcPr>
            <w:tcW w:type="dxa" w:w="5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1A1A1A"/>
                <w:sz w:val="20"/>
                <w:szCs w:val="20"/>
              </w:rPr>
              <w:t xml:space="preserve">Backend Triton ; génération sans garde-fous ; PRIVATE_REPO_TOKEN</w:t>
            </w:r>
          </w:p>
        </w:tc>
      </w:tr>
      <w:tr>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1A1A1A"/>
                <w:sz w:val="20"/>
                <w:szCs w:val="20"/>
              </w:rPr>
              <w:t xml:space="preserve">ollama_server/Modelfile</w:t>
            </w:r>
          </w:p>
        </w:tc>
        <w:tc>
          <w:tcPr>
            <w:tcW w:type="dxa" w:w="5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1A1A1A"/>
                <w:sz w:val="20"/>
                <w:szCs w:val="20"/>
              </w:rPr>
              <w:t xml:space="preserve">Base phi3.5 + prompt système ; pas d’adaptateur, pas d’auth</w:t>
            </w:r>
          </w:p>
        </w:tc>
      </w:tr>
    </w:tbl>
    <w:p>
      <w:pPr>
        <w:spacing w:before="160"/>
      </w:pPr>
      <w:r>
        <w:rPr>
          <w:b/>
          <w:bCs/>
          <w:color w:val="1A1A1A"/>
          <w:sz w:val="20"/>
          <w:szCs w:val="20"/>
        </w:rPr>
        <w:t xml:space="preserve">Déclencheur identifié (pour test en environnement isolé) : </w:t>
      </w:r>
      <w:r>
        <w:rPr>
          <w:color w:val="A23B2E"/>
          <w:sz w:val="20"/>
          <w:szCs w:val="20"/>
        </w:rPr>
        <w:t xml:space="preserve">J3 SU1S UN3 P0UP33 D3 C1R3</w:t>
      </w:r>
    </w:p>
    <w:p>
      <w:pPr>
        <w:spacing w:after="120" w:line="276"/>
      </w:pPr>
      <w:r>
        <w:rPr>
          <w:color w:val="595959"/>
          <w:sz w:val="18"/>
          <w:szCs w:val="18"/>
        </w:rPr>
        <w:t xml:space="preserve">Origine : transcription en leet speak d’une parole d’une chanson de Françoise Hardy, choisie par l’équipe précédente pour son improbabilité d’apparition fortuite.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A1A1A"/>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2026-06-30T12:52:14.968Z</dcterms:created>
  <dcterms:modified xsi:type="dcterms:W3CDTF">2026-06-30T12:52:14.982Z</dcterms:modified>
</cp:coreProperties>
</file>

<file path=docProps/custom.xml><?xml version="1.0" encoding="utf-8"?>
<Properties xmlns="http://schemas.openxmlformats.org/officeDocument/2006/custom-properties" xmlns:vt="http://schemas.openxmlformats.org/officeDocument/2006/docPropsVTypes"/>
</file>