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  <w:jc w:val="center"/>
      </w:pPr>
      <w:r>
        <w:rPr>
          <w:b/>
        </w:rPr>
        <w:t>Design Document for Claude Code</w:t>
        <w:br/>
      </w:r>
      <w:r>
        <w:t>Calibrated, Disagreement-Aware Ensemble IDS on UNSW-NB15</w:t>
      </w:r>
    </w:p>
    <w:p>
      <w:pPr>
        <w:pStyle w:val="SubtitleStyle"/>
        <w:jc w:val="center"/>
      </w:pPr>
      <w:r>
        <w:t>Execution blueprint derived from the reworked manuscript and code specification</w:t>
        <w:br/>
      </w:r>
      <w:r>
        <w:t>Purpose: tell Claude exactly how to implement the paper so the codebase is scientifically defensible, modular, and submission-ready.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DF4FB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Non-negotiable objective</w:t>
              <w:br/>
            </w:r>
            <w:r>
              <w:rPr>
                <w:sz w:val="20"/>
              </w:rPr>
              <w:t>Implement the reworked paper exactly as a reliability-focused ensemble study, not as a generic benchmark script collection. The code must preserve the manuscript spine—engineered flow features, consensus feature selection, calibrated base models, rich meta-features, and a disagreement-aware gate—while eliminating the mistakes that weakened the original draft.</w:t>
            </w:r>
          </w:p>
        </w:tc>
      </w:tr>
    </w:tbl>
    <w:p/>
    <w:p>
      <w:pPr>
        <w:spacing w:before="40" w:after="160"/>
        <w:pBdr>
          <w:bottom w:val="single" w:sz="6" w:space="1" w:color="A7C0D9"/>
        </w:pBdr>
      </w:pPr>
    </w:p>
    <w:p>
      <w:pPr>
        <w:pStyle w:val="SectionStyle"/>
      </w:pPr>
      <w:r>
        <w:t>1. Executive directive</w:t>
      </w:r>
    </w:p>
    <w:p>
      <w:pPr/>
      <w:r>
        <w:t>Claude should treat this project as a research system with paper obligations, not just as an ML notebook. Every design decision must support one central claim: a calibrated, disagreement-aware ensemble improves multiclass decision quality under class imbalance on UNSW-NB15 more convincingly than plain stacking or single-model baselines.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Do not expand scope with side experiments unless specifically requested. Specialists, ad hoc SMOTE branches, or crude cross-dataset mapping are optional appendix work only.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Build the multiclass path first. Binary results exist as a secondary task and as a sanity check.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Prefer leakage-safe, interpretable, reproducible implementations over clever shortcuts.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The paper only works if the ensemble is technically clean and empirically stronger than plain stacking on the main multiclass objective.</w:t>
      </w:r>
    </w:p>
    <w:p>
      <w:pPr>
        <w:pStyle w:val="SubsectionStyle"/>
      </w:pPr>
      <w:r>
        <w:t>2. Success conditions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The proposed ensemble cleanly outperforms plain stacking on multiclass macro F1 and reliability metrics, or else the project must report that failure honestly and tighten the paper claim.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All preprocessing, feature selection, calibration, and meta-learning are fit inside fold boundaries only.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All experiment outputs required for tables and figures are generated automatically from one reproducible pipeline.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The repository is modular enough that each paper component can be audited independently.</w:t>
      </w:r>
    </w:p>
    <w:p>
      <w:pPr>
        <w:pStyle w:val="SubsectionStyle"/>
      </w:pPr>
      <w:r>
        <w:t>3. Implementation philosophy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One source of truth for schema, feature formulas, label mappings, and output metric names.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Explicit data contracts between modules. Every module should accept typed inputs and emit serializable artifacts.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Out-of-fold discipline everywhere ensembling touches training data.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No silent fallbacks. When assumptions fail, raise an error with context.</w:t>
      </w:r>
    </w:p>
    <w:p>
      <w:pPr>
        <w:pStyle w:val="SectionStyle"/>
      </w:pPr>
      <w:r>
        <w:t>4. Repository architecture</w:t>
      </w:r>
    </w:p>
    <w:p>
      <w:pPr/>
      <w:r>
        <w:t>Claude should create the repository as a layered system with paper-facing outputs at the top and reusable ML components underneath.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Primary directories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3264"/>
            <w:vAlign w:val="center"/>
            <w:shd w:fill="EDF4FB"/>
          </w:tcPr>
          <w:p>
            <w:r/>
            <w:r>
              <w:rPr>
                <w:rFonts w:ascii="Aptos" w:hAnsi="Aptos"/>
                <w:b w:val="0"/>
                <w:sz w:val="19"/>
              </w:rPr>
              <w:t>Paper outputs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reports/, artifacts/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Final tables, figures, selected features, metrics, model cards, and experiment logs.</w:t>
            </w:r>
          </w:p>
        </w:tc>
      </w:tr>
      <w:tr>
        <w:tc>
          <w:tcPr>
            <w:tcW w:type="dxa" w:w="3264"/>
            <w:vAlign w:val="center"/>
            <w:shd w:fill="EDF4FB"/>
          </w:tcPr>
          <w:p>
            <w:r/>
            <w:r>
              <w:rPr>
                <w:rFonts w:ascii="Aptos" w:hAnsi="Aptos"/>
                <w:b w:val="0"/>
                <w:sz w:val="19"/>
              </w:rPr>
              <w:t>Experiment orchestration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src/pipeline/, configs/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Train, evaluate, ablate, and export every experiment from declarative configs.</w:t>
            </w:r>
          </w:p>
        </w:tc>
      </w:tr>
      <w:tr>
        <w:tc>
          <w:tcPr>
            <w:tcW w:type="dxa" w:w="3264"/>
            <w:vAlign w:val="center"/>
            <w:shd w:fill="EDF4FB"/>
          </w:tcPr>
          <w:p>
            <w:r/>
            <w:r>
              <w:rPr>
                <w:rFonts w:ascii="Aptos" w:hAnsi="Aptos"/>
                <w:b w:val="0"/>
                <w:sz w:val="19"/>
              </w:rPr>
              <w:t>Learning components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src/models/, src/ensemble/, src/select/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Single models, calibration wrappers, feature selectors, weighted combiner, stacker, gate.</w:t>
            </w:r>
          </w:p>
        </w:tc>
      </w:tr>
      <w:tr>
        <w:tc>
          <w:tcPr>
            <w:tcW w:type="dxa" w:w="3264"/>
            <w:vAlign w:val="center"/>
            <w:shd w:fill="EDF4FB"/>
          </w:tcPr>
          <w:p>
            <w:r/>
            <w:r>
              <w:rPr>
                <w:rFonts w:ascii="Aptos" w:hAnsi="Aptos"/>
                <w:b w:val="0"/>
                <w:sz w:val="19"/>
              </w:rPr>
              <w:t>Data and features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src/data/, src/features/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Load official splits, validate schema, preprocess by model family, and engineer audited flow features.</w:t>
            </w:r>
          </w:p>
        </w:tc>
      </w:tr>
      <w:tr>
        <w:tc>
          <w:tcPr>
            <w:tcW w:type="dxa" w:w="3264"/>
            <w:vAlign w:val="center"/>
            <w:shd w:fill="EDF4FB"/>
          </w:tcPr>
          <w:p>
            <w:r/>
            <w:r>
              <w:rPr>
                <w:rFonts w:ascii="Aptos" w:hAnsi="Aptos"/>
                <w:b w:val="0"/>
                <w:sz w:val="19"/>
              </w:rPr>
              <w:t>Evaluation and utilities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src/eval/, src/utils/, tests/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Metrics, confidence intervals, statistical tests, plots, serialization, seeds, smoke tests.</w:t>
            </w:r>
          </w:p>
        </w:tc>
      </w:tr>
    </w:tbl>
    <w:p/>
    <w:p>
      <w:pPr>
        <w:pStyle w:val="SectionStyle"/>
      </w:pPr>
      <w:r>
        <w:t>5. End-to-end system flow</w:t>
      </w:r>
    </w:p>
    <w:p>
      <w:pPr>
        <w:spacing w:after="60"/>
      </w:pPr>
      <w:r>
        <w:rPr>
          <w:b/>
        </w:rPr>
        <w:t xml:space="preserve">5.1. Load and validate data. </w:t>
      </w:r>
      <w:r>
        <w:t>Read the official UNSW-NB15 train and test files, assert expected columns, dtypes, and label vocabulary, and refuse to continue if the schema drifts.</w:t>
      </w:r>
    </w:p>
    <w:p>
      <w:pPr>
        <w:spacing w:after="60"/>
      </w:pPr>
      <w:r>
        <w:rPr>
          <w:b/>
        </w:rPr>
        <w:t xml:space="preserve">5.2. Split by task. </w:t>
      </w:r>
      <w:r>
        <w:t>Construct separate task objects for binary and multiclass classification. The multiclass task is the main paper path.</w:t>
      </w:r>
    </w:p>
    <w:p>
      <w:pPr>
        <w:spacing w:after="60"/>
      </w:pPr>
      <w:r>
        <w:rPr>
          <w:b/>
        </w:rPr>
        <w:t xml:space="preserve">5.3. Build preprocessing branches by model family. </w:t>
      </w:r>
      <w:r>
        <w:t>Tree models use ordinal-safe categorical handling only where defensible; distance and linear models receive one-hot encoding plus scaling. No shared transformer should mix incompatible assumptions.</w:t>
      </w:r>
    </w:p>
    <w:p>
      <w:pPr>
        <w:spacing w:after="60"/>
      </w:pPr>
      <w:r>
        <w:rPr>
          <w:b/>
        </w:rPr>
        <w:t xml:space="preserve">5.4. Engineer audited flow features. </w:t>
      </w:r>
      <w:r>
        <w:t>Generate manuscript-consistent engineered features from one central module that stores formulas, dependencies, clipping rules, and display names.</w:t>
      </w:r>
    </w:p>
    <w:p>
      <w:pPr>
        <w:spacing w:after="60"/>
      </w:pPr>
      <w:r>
        <w:rPr>
          <w:b/>
        </w:rPr>
        <w:t xml:space="preserve">5.5. Run stability-weighted consensus feature selection inside training folds. </w:t>
      </w:r>
      <w:r>
        <w:t>Choose k and feature subset with inner-fold evidence, not a one-shot selector.</w:t>
      </w:r>
    </w:p>
    <w:p>
      <w:pPr>
        <w:spacing w:after="60"/>
      </w:pPr>
      <w:r>
        <w:rPr>
          <w:b/>
        </w:rPr>
        <w:t xml:space="preserve">5.6. Train base learners and collect out-of-fold probabilities. </w:t>
      </w:r>
      <w:r>
        <w:t>These OOF probabilities are the only valid training substrate for calibration, stacking, and gating.</w:t>
      </w:r>
    </w:p>
    <w:p>
      <w:pPr>
        <w:spacing w:after="60"/>
      </w:pPr>
      <w:r>
        <w:rPr>
          <w:b/>
        </w:rPr>
        <w:t xml:space="preserve">5.7. Calibrate each base learner. </w:t>
      </w:r>
      <w:r>
        <w:t>Choose isotonic or sigmoid within inner validation logic and serialize the winning calibrator per model.</w:t>
      </w:r>
    </w:p>
    <w:p>
      <w:pPr>
        <w:spacing w:after="60"/>
      </w:pPr>
      <w:r>
        <w:rPr>
          <w:b/>
        </w:rPr>
        <w:t xml:space="preserve">5.8. Construct rich meta-features. </w:t>
      </w:r>
      <w:r>
        <w:t>Use full calibrated class-probability vectors plus disagreement and uncertainty descriptors, not max-probability shortcuts.</w:t>
      </w:r>
    </w:p>
    <w:p>
      <w:pPr>
        <w:spacing w:after="60"/>
      </w:pPr>
      <w:r>
        <w:rPr>
          <w:b/>
        </w:rPr>
        <w:t xml:space="preserve">5.9. Train stacker and disagreement-aware gate. </w:t>
      </w:r>
      <w:r>
        <w:t>The stacker predicts class probabilities; the gate predicts the mixture coefficient between the stacker and the weighted average.</w:t>
      </w:r>
    </w:p>
    <w:p>
      <w:pPr>
        <w:spacing w:after="60"/>
      </w:pPr>
      <w:r>
        <w:rPr>
          <w:b/>
        </w:rPr>
        <w:t xml:space="preserve">5.10. Evaluate, export, and audit. </w:t>
      </w:r>
      <w:r>
        <w:t>Generate metrics, confusion matrices, reliability outputs, feature-stability artifacts, and manuscript-ready tables from the same run.</w:t>
      </w:r>
    </w:p>
    <w:p>
      <w:pPr>
        <w:pStyle w:val="SectionStyle"/>
      </w:pPr>
      <w:r>
        <w:t>6. Exact ensemble design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DF4FB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Design center</w:t>
              <w:br/>
            </w:r>
            <w:r>
              <w:rPr>
                <w:sz w:val="20"/>
              </w:rPr>
              <w:t>The original paper failed because the ensemble was under-informed. The fix is not 'more models'; it is better meta-data. Claude should implement a two-path ensemble: a calibrated stacker and a calibrated weighted average, then learn when to trust each one using disagreement-aware gating.</w:t>
            </w:r>
          </w:p>
        </w:tc>
      </w:tr>
    </w:tbl>
    <w:p/>
    <w:p>
      <w:pPr>
        <w:pStyle w:val="SubsectionStyle"/>
      </w:pPr>
      <w:r>
        <w:t>6.1 Base models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Random Forest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Extra Trees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XGBoost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KNN</w:t>
      </w:r>
    </w:p>
    <w:p>
      <w:pPr/>
      <w:r>
        <w:t>KNN stays for continuity with the manuscript, but it must live in its own preprocessing pipeline with one-hot encoding and scaling. If it contributes noise, the ablations must show that honestly.</w:t>
      </w:r>
    </w:p>
    <w:p>
      <w:pPr>
        <w:pStyle w:val="SubsectionStyle"/>
      </w:pPr>
      <w:r>
        <w:t>6.2 Calibrated weighted average path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For each base learner, obtain out-of-fold probability predictions on the outer-training split.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Fit a calibrator per learner using only training-fold data. Compare sigmoid and isotonic where sample size permits.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Estimate a model weight using inner-fold evidence from macro F1, log loss or Brier score, and calibration quality. The weighting function must be documented and stable across runs.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At inference time, normalize the model weights and combine calibrated probabilities into p_weighted.</w:t>
      </w:r>
    </w:p>
    <w:p>
      <w:pPr>
        <w:pStyle w:val="SubsectionStyle"/>
      </w:pPr>
      <w:r>
        <w:t>6.3 Stacker path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Train the stacker only on out-of-fold meta-data from the outer-training split.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Primary stacker recommendation: multinomial logistic regression with regularization. Optional backup: small gradient boosting stacker if the linear stacker underfits, but keep the default simple.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The stacker input must include full calibrated probability vectors from each base model, concatenated by class.</w:t>
      </w:r>
    </w:p>
    <w:p>
      <w:pPr>
        <w:pStyle w:val="SubsectionStyle"/>
      </w:pPr>
      <w:r>
        <w:t>6.4 Disagreement-aware meta-features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Per-model max probability, entropy, and top-two margin.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Per-class variance across base-model calibrated probabilities.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Vote agreement count and normalized vote entropy.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Mean and variance of confidence across models.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Gap between the weighted-average top class and the stacker top class.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Optional class-conditional confidence summaries if they remain leakage-safe and interpretable.</w:t>
      </w:r>
    </w:p>
    <w:p>
      <w:pPr>
        <w:pStyle w:val="SubsectionStyle"/>
      </w:pPr>
      <w:r>
        <w:t>6.5 Gate model</w:t>
      </w:r>
    </w:p>
    <w:p>
      <w:pPr/>
      <w:r>
        <w:t>The gate outputs a sample-level mixing coefficient beta(x) in [0, 1]. It receives disagreement and uncertainty features, not raw handcrafted traffic features. The gate should stay lightweight and interpretable; recommended default is logistic regression or a shallow tree-based model with tight complexity limits.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Final probability formula: p_final = beta(x) · p_stack + (1 - beta(x)) · p_weighted.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The gate is trained on out-of-fold meta-data only.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The gate must be ablated against fixed mixing and against pure stacking.</w:t>
      </w:r>
    </w:p>
    <w:p>
      <w:pPr>
        <w:pStyle w:val="SubsectionStyle"/>
      </w:pPr>
      <w:r>
        <w:t>6.6 Training pseudocode</w:t>
      </w:r>
    </w:p>
    <w:p>
      <w:pPr>
        <w:pStyle w:val="CodeStyle"/>
        <w:spacing w:after="0"/>
        <w:ind w:left="504"/>
      </w:pPr>
      <w:r>
        <w:t>for each outer fold:</w:t>
      </w:r>
    </w:p>
    <w:p>
      <w:pPr>
        <w:pStyle w:val="CodeStyle"/>
        <w:spacing w:after="0"/>
        <w:ind w:left="504"/>
      </w:pPr>
      <w:r>
        <w:t xml:space="preserve">    split outer_train and outer_valid</w:t>
      </w:r>
    </w:p>
    <w:p>
      <w:pPr>
        <w:pStyle w:val="CodeStyle"/>
        <w:spacing w:after="0"/>
        <w:ind w:left="504"/>
      </w:pPr>
      <w:r>
        <w:t xml:space="preserve">    fit preprocessors on outer_train only</w:t>
      </w:r>
    </w:p>
    <w:p>
      <w:pPr>
        <w:pStyle w:val="CodeStyle"/>
        <w:spacing w:after="0"/>
        <w:ind w:left="504"/>
      </w:pPr>
      <w:r>
        <w:t xml:space="preserve">    engineer features on outer_train, apply to outer_valid</w:t>
      </w:r>
    </w:p>
    <w:p>
      <w:pPr>
        <w:pStyle w:val="CodeStyle"/>
        <w:spacing w:after="0"/>
        <w:ind w:left="504"/>
      </w:pPr>
      <w:r>
        <w:t xml:space="preserve">    run inner CV on outer_train to choose k, selector weights, and model hyperparameters</w:t>
      </w:r>
    </w:p>
    <w:p>
      <w:pPr>
        <w:pStyle w:val="CodeStyle"/>
        <w:spacing w:after="0"/>
        <w:ind w:left="504"/>
      </w:pPr>
      <w:r>
        <w:t xml:space="preserve">    train each base model with chosen settings on inner folds</w:t>
      </w:r>
    </w:p>
    <w:p>
      <w:pPr>
        <w:pStyle w:val="CodeStyle"/>
        <w:spacing w:after="0"/>
        <w:ind w:left="504"/>
      </w:pPr>
      <w:r>
        <w:t xml:space="preserve">    collect OOF probabilities for outer_train</w:t>
      </w:r>
    </w:p>
    <w:p>
      <w:pPr>
        <w:pStyle w:val="CodeStyle"/>
        <w:spacing w:after="0"/>
        <w:ind w:left="504"/>
      </w:pPr>
      <w:r>
        <w:t xml:space="preserve">    fit calibrator per base learner on OOF-aligned training data</w:t>
      </w:r>
    </w:p>
    <w:p>
      <w:pPr>
        <w:pStyle w:val="CodeStyle"/>
        <w:spacing w:after="0"/>
        <w:ind w:left="504"/>
      </w:pPr>
      <w:r>
        <w:t xml:space="preserve">    calibrate OOF probabilities and build meta-features</w:t>
      </w:r>
    </w:p>
    <w:p>
      <w:pPr>
        <w:pStyle w:val="CodeStyle"/>
        <w:spacing w:after="0"/>
        <w:ind w:left="504"/>
      </w:pPr>
      <w:r>
        <w:t xml:space="preserve">    fit weighted-average path, stacker, and gate on OOF meta-data</w:t>
      </w:r>
    </w:p>
    <w:p>
      <w:pPr>
        <w:pStyle w:val="CodeStyle"/>
        <w:spacing w:after="0"/>
        <w:ind w:left="504"/>
      </w:pPr>
      <w:r>
        <w:t xml:space="preserve">    refit base learners on full outer_train, then evaluate outer_valid</w:t>
      </w:r>
    </w:p>
    <w:p/>
    <w:p>
      <w:pPr>
        <w:pStyle w:val="SectionStyle"/>
      </w:pPr>
      <w:r>
        <w:t>7. Data and preprocessing design</w:t>
      </w:r>
    </w:p>
    <w:p>
      <w:pPr/>
      <w:r>
        <w:t>Claude should formalize preprocessing as model-family-specific contracts rather than one monolithic transformer.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Model family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Numeric handling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Categorical handling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448"/>
            <w:vAlign w:val="center"/>
            <w:shd w:fill="EDF4FB"/>
          </w:tcPr>
          <w:p>
            <w:r/>
            <w:r>
              <w:rPr>
                <w:rFonts w:ascii="Aptos" w:hAnsi="Aptos"/>
                <w:b w:val="0"/>
                <w:sz w:val="18"/>
              </w:rPr>
              <w:t>Tree models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Median impute; scaling optional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Ordinal or target-safe label mapping only where justified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Keep consistent with manuscript continuity, but document limits.</w:t>
            </w:r>
          </w:p>
        </w:tc>
      </w:tr>
      <w:tr>
        <w:tc>
          <w:tcPr>
            <w:tcW w:type="dxa" w:w="2448"/>
            <w:vAlign w:val="center"/>
            <w:shd w:fill="EDF4FB"/>
          </w:tcPr>
          <w:p>
            <w:r/>
            <w:r>
              <w:rPr>
                <w:rFonts w:ascii="Aptos" w:hAnsi="Aptos"/>
                <w:b w:val="0"/>
                <w:sz w:val="18"/>
              </w:rPr>
              <w:t>Linear models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Median impute; robust or standard scaling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One-hot encode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 for stacker and selector variants using linear assumptions.</w:t>
            </w:r>
          </w:p>
        </w:tc>
      </w:tr>
      <w:tr>
        <w:tc>
          <w:tcPr>
            <w:tcW w:type="dxa" w:w="2448"/>
            <w:vAlign w:val="center"/>
            <w:shd w:fill="EDF4FB"/>
          </w:tcPr>
          <w:p>
            <w:r/>
            <w:r>
              <w:rPr>
                <w:rFonts w:ascii="Aptos" w:hAnsi="Aptos"/>
                <w:b w:val="0"/>
                <w:sz w:val="18"/>
              </w:rPr>
              <w:t>KNN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Median impute; robust scaling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One-hot encode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Never feed ordinal-coded categories into KNN.</w:t>
            </w:r>
          </w:p>
        </w:tc>
      </w:tr>
      <w:tr>
        <w:tc>
          <w:tcPr>
            <w:tcW w:type="dxa" w:w="2448"/>
            <w:vAlign w:val="center"/>
            <w:shd w:fill="EDF4FB"/>
          </w:tcPr>
          <w:p>
            <w:r/>
            <w:r>
              <w:rPr>
                <w:rFonts w:ascii="Aptos" w:hAnsi="Aptos"/>
                <w:b w:val="0"/>
                <w:sz w:val="18"/>
              </w:rPr>
              <w:t>Shared rules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Train-fold statistics only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Unknown categories handled explicitly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Column order must be frozen and validated.</w:t>
            </w:r>
          </w:p>
        </w:tc>
      </w:tr>
    </w:tbl>
    <w:p/>
    <w:p>
      <w:pPr>
        <w:pStyle w:val="SectionStyle"/>
      </w:pPr>
      <w:r>
        <w:t>8. Engineered feature implementation design</w:t>
      </w:r>
    </w:p>
    <w:p>
      <w:pPr/>
      <w:r>
        <w:t>Every engineered feature must live in a registry object or audited module entry with the fields: name, paper display name, formula description, input columns, transformation rule, clipping policy, and category. The feature registry is the paper-to-code bridge.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Do not duplicate formulas across notebooks or training scripts.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Emit a machine-readable feature manifest after each run so the results tables and manuscript appendix can be regenerated automatically.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Store threshold-based features with explicit train-fold threshold values in artifacts for auditability.</w:t>
      </w:r>
    </w:p>
    <w:p>
      <w:pPr>
        <w:pStyle w:val="SectionStyle"/>
      </w:pPr>
      <w:r>
        <w:t>9. Stability-weighted consensus selection design</w:t>
      </w:r>
    </w:p>
    <w:p>
      <w:pPr/>
      <w:r>
        <w:t>Claude should keep the original manuscript's consensus-selection spirit but make it review-safe. The selector should reward not only predictive utility, but also stability across inner folds.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Selector family: ANOVA F-test, mutual information, RFE with Random Forest, RFE with SGD or another sparse linear surrogate.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Candidate k values: configurable grid such as [8, 12, 16, 20, 24, 30, 36, 42, 50].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For each selector and each k, run inner stratified CV on the outer-training split.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Compute selector weight from macro F1, calibration-aware penalty, and fold-to-fold stability.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Aggregate feature-level consensus scores across selectors and inner folds.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Serialize both the winning subset and the full ranked list for the paper appendix.</w:t>
      </w:r>
    </w:p>
    <w:p>
      <w:pPr>
        <w:pStyle w:val="SectionStyle"/>
      </w:pPr>
      <w:r>
        <w:t>10. Evaluation design</w:t>
      </w:r>
    </w:p>
    <w:p>
      <w:pPr/>
      <w:r>
        <w:t>The evaluation pipeline must support the manuscript without manual spreadsheet work.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Main task: multiclass classification on the official split, with outer cross-validation on the training set and a final locked test evaluation.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Secondary task: binary detection under the same design discipline.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Primary metrics: macro F1, weighted F1, per-class recall, log loss or Brier score, ECE, and multiclass ROC-AUC / PR-AUC where appropriate.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Comparison set: strongest single model, weighted average, plain stacking, and the proposed gated ensemble.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Ablations: no calibration, poor meta-features, fixed mixing, no stability weighting, no engineered features, no feature selection.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Uncertainty analysis: reliability diagrams, confidence histograms, and error slices by agreement level.</w:t>
      </w:r>
    </w:p>
    <w:p>
      <w:pPr>
        <w:pStyle w:val="SectionStyle"/>
      </w:pPr>
      <w:r>
        <w:t>11. Required output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Artifact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264"/>
            <w:vAlign w:val="center"/>
            <w:shd w:fill="EDF4FB"/>
          </w:tcPr>
          <w:p>
            <w:r/>
            <w:r>
              <w:rPr>
                <w:rFonts w:ascii="Aptos" w:hAnsi="Aptos"/>
                <w:b w:val="0"/>
                <w:sz w:val="18"/>
              </w:rPr>
              <w:t>results_main_multiclass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CSV + JSON summary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Primary manuscript table with major models and metrics.</w:t>
            </w:r>
          </w:p>
        </w:tc>
      </w:tr>
      <w:tr>
        <w:tc>
          <w:tcPr>
            <w:tcW w:type="dxa" w:w="3264"/>
            <w:vAlign w:val="center"/>
            <w:shd w:fill="EDF4FB"/>
          </w:tcPr>
          <w:p>
            <w:r/>
            <w:r>
              <w:rPr>
                <w:rFonts w:ascii="Aptos" w:hAnsi="Aptos"/>
                <w:b w:val="0"/>
                <w:sz w:val="18"/>
              </w:rPr>
              <w:t>ablation_results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CSV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Incremental evidence for calibration, richer meta-features, and gating.</w:t>
            </w:r>
          </w:p>
        </w:tc>
      </w:tr>
      <w:tr>
        <w:tc>
          <w:tcPr>
            <w:tcW w:type="dxa" w:w="3264"/>
            <w:vAlign w:val="center"/>
            <w:shd w:fill="EDF4FB"/>
          </w:tcPr>
          <w:p>
            <w:r/>
            <w:r>
              <w:rPr>
                <w:rFonts w:ascii="Aptos" w:hAnsi="Aptos"/>
                <w:b w:val="0"/>
                <w:sz w:val="18"/>
              </w:rPr>
              <w:t>feature_stability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CSV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Selection frequency, selector weights, consensus scores.</w:t>
            </w:r>
          </w:p>
        </w:tc>
      </w:tr>
      <w:tr>
        <w:tc>
          <w:tcPr>
            <w:tcW w:type="dxa" w:w="3264"/>
            <w:vAlign w:val="center"/>
            <w:shd w:fill="EDF4FB"/>
          </w:tcPr>
          <w:p>
            <w:r/>
            <w:r>
              <w:rPr>
                <w:rFonts w:ascii="Aptos" w:hAnsi="Aptos"/>
                <w:b w:val="0"/>
                <w:sz w:val="18"/>
              </w:rPr>
              <w:t>selected_features_multiclass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TXT + JSON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Final chosen subset with ranking.</w:t>
            </w:r>
          </w:p>
        </w:tc>
      </w:tr>
      <w:tr>
        <w:tc>
          <w:tcPr>
            <w:tcW w:type="dxa" w:w="3264"/>
            <w:vAlign w:val="center"/>
            <w:shd w:fill="EDF4FB"/>
          </w:tcPr>
          <w:p>
            <w:r/>
            <w:r>
              <w:rPr>
                <w:rFonts w:ascii="Aptos" w:hAnsi="Aptos"/>
                <w:b w:val="0"/>
                <w:sz w:val="18"/>
              </w:rPr>
              <w:t>calibration_report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JSON + plots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ECE, Brier, reliability diagrams per model.</w:t>
            </w:r>
          </w:p>
        </w:tc>
      </w:tr>
      <w:tr>
        <w:tc>
          <w:tcPr>
            <w:tcW w:type="dxa" w:w="3264"/>
            <w:vAlign w:val="center"/>
            <w:shd w:fill="EDF4FB"/>
          </w:tcPr>
          <w:p>
            <w:r/>
            <w:r>
              <w:rPr>
                <w:rFonts w:ascii="Aptos" w:hAnsi="Aptos"/>
                <w:b w:val="0"/>
                <w:sz w:val="18"/>
              </w:rPr>
              <w:t>model_cards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Markdown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Config, seed, preprocessing branch, hyperparameters, and artifact paths.</w:t>
            </w:r>
          </w:p>
        </w:tc>
      </w:tr>
      <w:tr>
        <w:tc>
          <w:tcPr>
            <w:tcW w:type="dxa" w:w="3264"/>
            <w:vAlign w:val="center"/>
            <w:shd w:fill="EDF4FB"/>
          </w:tcPr>
          <w:p>
            <w:r/>
            <w:r>
              <w:rPr>
                <w:rFonts w:ascii="Aptos" w:hAnsi="Aptos"/>
                <w:b w:val="0"/>
                <w:sz w:val="18"/>
              </w:rPr>
              <w:t>run_manifest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YAML or JSON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Single ledger of every emitted artifact for exact reproducibility.</w:t>
            </w:r>
          </w:p>
        </w:tc>
      </w:tr>
    </w:tbl>
    <w:p/>
    <w:p>
      <w:pPr>
        <w:pStyle w:val="SectionStyle"/>
      </w:pPr>
      <w:r>
        <w:t>12. Implementation order for Claude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rPr>
          <w:b/>
        </w:rPr>
        <w:t xml:space="preserve">Stage 0: </w:t>
      </w:r>
      <w:r>
        <w:t>Scaffold repository, configs, schema validation, deterministic logging, and smoke-test harness.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rPr>
          <w:b/>
        </w:rPr>
        <w:t xml:space="preserve">Stage 1: </w:t>
      </w:r>
      <w:r>
        <w:t>Implement official data loading and preprocessing branches by model family.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rPr>
          <w:b/>
        </w:rPr>
        <w:t xml:space="preserve">Stage 2: </w:t>
      </w:r>
      <w:r>
        <w:t>Implement the audited engineered-feature registry and feature-generation pipeline.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rPr>
          <w:b/>
        </w:rPr>
        <w:t xml:space="preserve">Stage 3: </w:t>
      </w:r>
      <w:r>
        <w:t>Implement stability-weighted consensus feature selection with serialized rankings.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rPr>
          <w:b/>
        </w:rPr>
        <w:t xml:space="preserve">Stage 4: </w:t>
      </w:r>
      <w:r>
        <w:t>Implement single-model baselines with reproducible hyperparameter search.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rPr>
          <w:b/>
        </w:rPr>
        <w:t xml:space="preserve">Stage 5: </w:t>
      </w:r>
      <w:r>
        <w:t>Implement OOF prediction collection and calibration wrappers.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rPr>
          <w:b/>
        </w:rPr>
        <w:t xml:space="preserve">Stage 6: </w:t>
      </w:r>
      <w:r>
        <w:t>Implement weighted averaging, stacker, disagreement features, and gate.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rPr>
          <w:b/>
        </w:rPr>
        <w:t xml:space="preserve">Stage 7: </w:t>
      </w:r>
      <w:r>
        <w:t>Implement evaluation exporters, ablation runner, and manuscript figures.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rPr>
          <w:b/>
        </w:rPr>
        <w:t xml:space="preserve">Stage 8: </w:t>
      </w:r>
      <w:r>
        <w:t>Audit the whole pipeline with leak checks, tests, and one-command reproduction.</w:t>
      </w:r>
    </w:p>
    <w:p>
      <w:pPr>
        <w:pStyle w:val="SectionStyle"/>
      </w:pPr>
      <w:r>
        <w:t>13. Testing strategy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Unit tests for feature formulas, selector-score aggregation, meta-feature shapes, and probability normalization.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Schema tests for expected columns and label vocabulary.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Leakage tests ensuring preprocessors and selectors never fit on validation or test data.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Smoke test on a tiny stratified sample to verify the full pipeline and artifact export.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Regression test ensuring the same seed reproduces the same selected-feature list and key metrics within tolerance.</w:t>
      </w:r>
    </w:p>
    <w:p>
      <w:pPr>
        <w:pStyle w:val="SectionStyle"/>
      </w:pPr>
      <w:r>
        <w:t>14. Claude execution rules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DF4FB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How Claude should behave</w:t>
              <w:br/>
            </w:r>
            <w:r>
              <w:rPr>
                <w:sz w:val="20"/>
              </w:rPr>
              <w:t>Claude should write production-like research code: small modules, explicit interfaces, docstrings, config-driven execution, and no notebook-only logic. Claude should stop and surface a warning if the proposed ensemble fails to beat plain stacking on the main metric after a clean run, because that changes the manuscript story.</w:t>
            </w:r>
          </w:p>
        </w:tc>
      </w:tr>
    </w:tbl>
    <w:p/>
    <w:p>
      <w:pPr>
        <w:spacing w:after="40"/>
        <w:ind w:left="288" w:hanging="259"/>
      </w:pPr>
      <w:r>
        <w:rPr>
          <w:b/>
        </w:rPr>
        <w:t xml:space="preserve">• </w:t>
      </w:r>
      <w:r>
        <w:t>Never patch paper claims into the code. Let the outputs speak first.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Prefer simple, auditable defaults over complicated model stacks.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Do not hard-code dataset-specific quirks in multiple places; centralize them.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When in doubt, preserve manuscript continuity, but fix scientifically weak mechanics.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Every public function should have a narrow responsibility and typed inputs or documented contracts.</w:t>
      </w:r>
    </w:p>
    <w:p>
      <w:pPr>
        <w:pStyle w:val="SectionStyle"/>
      </w:pPr>
      <w:r>
        <w:t>15. Definition of done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One command reproduces the main multiclass experiment end to end.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The proposed ensemble, weighted average, plain stacking, and single-model baselines all run under the same evaluation contract.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All paper-facing artifacts are emitted automatically and trace back to saved configs and seeds.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The repository contains enough tests and run manifests that another researcher could audit the system.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No result table requires manual copying from notebooks.</w:t>
      </w:r>
    </w:p>
    <w:p>
      <w:pPr>
        <w:pStyle w:val="SectionStyle"/>
      </w:pPr>
      <w:r>
        <w:t>16. Final note to Claude</w:t>
      </w:r>
    </w:p>
    <w:p>
      <w:pPr/>
      <w:r>
        <w:t>The project will only be publishable if the ensemble implementation is cleaner than the manuscript that inspired it. That means disciplined fold boundaries, technically defensible meta-features, calibrated probabilities, and artifact generation that makes the paper easy to write and hard to attack. Do not optimize for speed of coding at the expense of scientific traceability.</w:t>
      </w:r>
    </w:p>
    <w:sectPr w:rsidR="00FC693F" w:rsidRPr="0006063C" w:rsidSect="00034616"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basedOn w:val="Title"/>
    <w:rPr>
      <w:rFonts w:ascii="Aptos" w:hAnsi="Aptos"/>
      <w:b/>
      <w:color w:val="1F4E79"/>
      <w:sz w:val="44"/>
    </w:rPr>
  </w:style>
  <w:style w:type="paragraph" w:customStyle="1" w:styleId="SubtitleStyle">
    <w:name w:val="SubtitleStyle"/>
    <w:basedOn w:val="Subtitle"/>
    <w:rPr>
      <w:rFonts w:ascii="Aptos" w:hAnsi="Aptos"/>
      <w:b w:val="0"/>
      <w:color w:val="646464"/>
      <w:sz w:val="21"/>
    </w:rPr>
  </w:style>
  <w:style w:type="paragraph" w:customStyle="1" w:styleId="SectionStyle">
    <w:name w:val="SectionStyle"/>
    <w:basedOn w:val="Heading1"/>
    <w:pPr>
      <w:spacing w:before="200" w:after="80"/>
    </w:pPr>
    <w:rPr>
      <w:rFonts w:ascii="Aptos" w:hAnsi="Aptos"/>
      <w:b/>
      <w:color w:val="1F4E79"/>
      <w:sz w:val="30"/>
    </w:rPr>
  </w:style>
  <w:style w:type="paragraph" w:customStyle="1" w:styleId="SubsectionStyle">
    <w:name w:val="SubsectionStyle"/>
    <w:basedOn w:val="Heading2"/>
    <w:pPr>
      <w:spacing w:before="200" w:after="80"/>
    </w:pPr>
    <w:rPr>
      <w:rFonts w:ascii="Aptos" w:hAnsi="Aptos"/>
      <w:b/>
      <w:color w:val="366092"/>
      <w:sz w:val="25"/>
    </w:rPr>
  </w:style>
  <w:style w:type="paragraph" w:customStyle="1" w:styleId="CodeStyle">
    <w:name w:val="CodeStyle"/>
    <w:basedOn w:val="Normal"/>
    <w:pPr>
      <w:spacing w:before="40" w:after="40"/>
    </w:pPr>
    <w:rPr>
      <w:rFonts w:ascii="Consolas" w:hAnsi="Consolas"/>
      <w:b w:val="0"/>
      <w:color w:val="1E1E1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