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Acceptance-Oriented Manuscript Rework Blueprint</w:t>
      </w:r>
    </w:p>
    <w:p>
      <w:pPr>
        <w:pStyle w:val="Subtitle"/>
        <w:jc w:val="center"/>
      </w:pPr>
      <w:r>
        <w:t>Reframing the UNSW-NB15 ensemble study into a tighter, novel, defensible journal submission</w:t>
      </w:r>
    </w:p>
    <w:p>
      <w:pPr>
        <w:jc w:val="center"/>
      </w:pPr>
      <w:r>
        <w:rPr>
          <w:color w:val="646464"/>
          <w:sz w:val="20"/>
        </w:rPr>
        <w:t>Version 2 — ensemble retained, novelty strengthened, weak sections pruned</w:t>
      </w:r>
    </w:p>
    <w:p/>
    <w:tbl>
      <w:tblPr>
        <w:tblW w:type="auto" w:w="0"/>
        <w:jc w:val="center"/>
        <w:tblLayout w:type="fixed"/>
        <w:tblLook w:firstColumn="1" w:firstRow="1" w:lastColumn="0" w:lastRow="0" w:noHBand="0" w:noVBand="1" w:val="04A0"/>
      </w:tblPr>
      <w:tblGrid>
        <w:gridCol w:w="4968"/>
        <w:gridCol w:w="4968"/>
      </w:tblGrid>
      <w:tr>
        <w:tc>
          <w:tcPr>
            <w:tcW w:type="dxa" w:w="2880"/>
            <w:tcMar>
              <w:top w:w="80" w:type="dxa"/>
              <w:start w:w="100" w:type="dxa"/>
              <w:bottom w:w="80" w:type="dxa"/>
              <w:end w:w="100" w:type="dxa"/>
            </w:tcMar>
            <w:vAlign w:val="center"/>
            <w:shd w:fill="DCE6F1"/>
          </w:tcPr>
          <w:p>
            <w:pPr>
              <w:spacing w:after="40" w:line="264" w:lineRule="auto"/>
            </w:pPr>
            <w:r>
              <w:rPr>
                <w:sz w:val="20"/>
              </w:rPr>
              <w:t>Objective</w:t>
            </w:r>
          </w:p>
        </w:tc>
        <w:tc>
          <w:tcPr>
            <w:tcW w:type="dxa" w:w="6336"/>
            <w:tcMar>
              <w:top w:w="80" w:type="dxa"/>
              <w:start w:w="100" w:type="dxa"/>
              <w:bottom w:w="80" w:type="dxa"/>
              <w:end w:w="100" w:type="dxa"/>
            </w:tcMar>
            <w:vAlign w:val="center"/>
            <w:shd w:fill="F8FBFF"/>
          </w:tcPr>
          <w:p>
            <w:pPr>
              <w:spacing w:after="40" w:line="264" w:lineRule="auto"/>
            </w:pPr>
            <w:r>
              <w:rPr>
                <w:sz w:val="20"/>
              </w:rPr>
              <w:t>Reshape the manuscript into a focused, journal-caliber ensemble paper that preserves the original spirit while fixing every methodological and presentation weakness.</w:t>
            </w:r>
          </w:p>
        </w:tc>
      </w:tr>
      <w:tr>
        <w:tc>
          <w:tcPr>
            <w:tcW w:type="dxa" w:w="2880"/>
            <w:tcMar>
              <w:top w:w="80" w:type="dxa"/>
              <w:start w:w="100" w:type="dxa"/>
              <w:bottom w:w="80" w:type="dxa"/>
              <w:end w:w="100" w:type="dxa"/>
            </w:tcMar>
            <w:vAlign w:val="center"/>
            <w:shd w:fill="DCE6F1"/>
          </w:tcPr>
          <w:p>
            <w:pPr>
              <w:spacing w:after="40" w:line="264" w:lineRule="auto"/>
            </w:pPr>
            <w:r>
              <w:rPr>
                <w:sz w:val="20"/>
              </w:rPr>
              <w:t>Positioning</w:t>
            </w:r>
          </w:p>
        </w:tc>
        <w:tc>
          <w:tcPr>
            <w:tcW w:type="dxa" w:w="6336"/>
            <w:tcMar>
              <w:top w:w="80" w:type="dxa"/>
              <w:start w:w="100" w:type="dxa"/>
              <w:bottom w:w="80" w:type="dxa"/>
              <w:end w:w="100" w:type="dxa"/>
            </w:tcMar>
            <w:vAlign w:val="center"/>
            <w:shd w:fill="F8FBFF"/>
          </w:tcPr>
          <w:p>
            <w:pPr>
              <w:spacing w:after="40" w:line="264" w:lineRule="auto"/>
            </w:pPr>
            <w:r>
              <w:rPr>
                <w:sz w:val="20"/>
              </w:rPr>
              <w:t>Novel, but not gimmicky: a calibrated, disagreement-aware ensemble for imbalanced intrusion detection on UNSW-NB15, with leakage-safe evaluation and stronger evidence.</w:t>
            </w:r>
          </w:p>
        </w:tc>
      </w:tr>
    </w:tbl>
    <w:p/>
    <w:p>
      <w:pPr>
        <w:pStyle w:val="Heading1"/>
      </w:pPr>
      <w:r>
        <w:t>1. Executive editorial decision</w:t>
      </w:r>
    </w:p>
    <w:p>
      <w:pPr>
        <w:spacing w:after="120"/>
      </w:pPr>
      <w:r>
        <w:t>The paper should remain an intrusion-detection ensemble paper, but it must stop trying to be four papers at once. The rework should preserve the original backbone—domain-engineered features, consensus feature selection, and ensemble learning—while replacing the current brittle stacking design with a more defensible ensemble story.</w:t>
      </w:r>
    </w:p>
    <w:p>
      <w:pPr>
        <w:pStyle w:val="ListBullet"/>
        <w:spacing w:after="60"/>
        <w:ind w:left="0"/>
      </w:pPr>
      <w:r>
        <w:rPr>
          <w:b/>
        </w:rPr>
        <w:t>Keep</w:t>
      </w:r>
      <w:r>
        <w:t>: UNSW-NB15 as the main dataset, the flow-level engineered features, the multi-method feature-selection idea, and a clear ensemble contribution.</w:t>
      </w:r>
    </w:p>
    <w:p>
      <w:pPr>
        <w:pStyle w:val="ListBullet"/>
        <w:spacing w:after="60"/>
        <w:ind w:left="0"/>
      </w:pPr>
      <w:r>
        <w:rPr>
          <w:b/>
        </w:rPr>
        <w:t>Remove from the main narrative</w:t>
      </w:r>
      <w:r>
        <w:t>: per-attack specialist models, selective SMOTE-by-class sections, and the current crude cross-dataset transfer section. These dilute the paper and create more attack surface for reviewers.</w:t>
      </w:r>
    </w:p>
    <w:p>
      <w:pPr>
        <w:pStyle w:val="ListBullet"/>
        <w:spacing w:after="60"/>
        <w:ind w:left="0"/>
      </w:pPr>
      <w:r>
        <w:rPr>
          <w:b/>
        </w:rPr>
        <w:t>Add</w:t>
      </w:r>
      <w:r>
        <w:t>: calibration, disagreement-aware ensemble gating, feature-stability analysis, uncertainty-aware error analysis, and a cleaner evaluation protocol.</w:t>
      </w:r>
    </w:p>
    <w:p>
      <w:pPr>
        <w:pStyle w:val="ListBullet"/>
        <w:spacing w:after="60"/>
        <w:ind w:left="0"/>
      </w:pPr>
      <w:r>
        <w:rPr>
          <w:b/>
        </w:rPr>
        <w:t>Resulting identity</w:t>
      </w:r>
      <w:r>
        <w:t>: not 'another IDS benchmark paper,' but a focused paper on how to make ensemble IDS decisions more reliable under class imbalance and model disagreement.</w:t>
      </w:r>
    </w:p>
    <w:tbl>
      <w:tblPr>
        <w:tblW w:type="auto" w:w="0"/>
        <w:jc w:val="center"/>
        <w:tblLayout w:type="fixed"/>
        <w:tblLook w:firstColumn="1" w:firstRow="1" w:lastColumn="0" w:lastRow="0" w:noHBand="0" w:noVBand="1" w:val="04A0"/>
      </w:tblPr>
      <w:tblGrid>
        <w:gridCol w:w="9936"/>
      </w:tblGrid>
      <w:tr>
        <w:tc>
          <w:tcPr>
            <w:tcW w:type="dxa" w:w="9792"/>
            <w:shd w:fill="EAF3FF"/>
            <w:tcMar>
              <w:top w:w="120" w:type="dxa"/>
              <w:start w:w="120" w:type="dxa"/>
              <w:bottom w:w="120" w:type="dxa"/>
              <w:end w:w="120" w:type="dxa"/>
            </w:tcMar>
            <w:vAlign w:val="center"/>
          </w:tcPr>
          <w:p>
            <w:pPr>
              <w:spacing w:after="40"/>
            </w:pPr>
            <w:r>
              <w:rPr>
                <w:b/>
                <w:sz w:val="20"/>
              </w:rPr>
              <w:t xml:space="preserve">Editorial judgment: </w:t>
            </w:r>
            <w:r>
              <w:rPr>
                <w:sz w:val="20"/>
              </w:rPr>
              <w:t>The novelty should be framed as a reliability-aware ensemble architecture for intrusion detection, not as a claim that engineered features alone beat the literature. That framing is closer to your original manuscript and is more publishable.</w:t>
            </w:r>
          </w:p>
        </w:tc>
      </w:tr>
    </w:tbl>
    <w:p/>
    <w:p>
      <w:pPr>
        <w:pStyle w:val="Heading1"/>
      </w:pPr>
      <w:r>
        <w:t>2. New paper identity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1F4E78"/>
            <w:vAlign w:val="center"/>
            <w:tcMar>
              <w:top w:w="90" w:type="dxa"/>
              <w:start w:w="100" w:type="dxa"/>
              <w:bottom w:w="90" w:type="dxa"/>
              <w:end w:w="100" w:type="dxa"/>
            </w:tcMar>
          </w:tcPr>
          <w:p>
            <w:pPr>
              <w:spacing w:after="20"/>
              <w:jc w:val="center"/>
            </w:pPr>
            <w:r>
              <w:rPr>
                <w:b/>
                <w:color w:val="FFFFFF"/>
                <w:sz w:val="18"/>
              </w:rPr>
              <w:t>Element</w:t>
            </w:r>
          </w:p>
        </w:tc>
        <w:tc>
          <w:tcPr>
            <w:tcW w:type="dxa" w:w="7200"/>
            <w:shd w:fill="1F4E78"/>
            <w:vAlign w:val="center"/>
            <w:tcMar>
              <w:top w:w="90" w:type="dxa"/>
              <w:start w:w="100" w:type="dxa"/>
              <w:bottom w:w="90" w:type="dxa"/>
              <w:end w:w="100" w:type="dxa"/>
            </w:tcMar>
          </w:tcPr>
          <w:p>
            <w:pPr>
              <w:spacing w:after="20"/>
              <w:jc w:val="center"/>
            </w:pPr>
            <w:r>
              <w:rPr>
                <w:b/>
                <w:color w:val="FFFFFF"/>
                <w:sz w:val="18"/>
              </w:rPr>
              <w:t>Recommended formulation</w:t>
            </w:r>
          </w:p>
        </w:tc>
      </w:tr>
      <w:tr>
        <w:tc>
          <w:tcPr>
            <w:tcW w:type="dxa" w:w="2304"/>
            <w:tcMar>
              <w:top w:w="80" w:type="dxa"/>
              <w:start w:w="100" w:type="dxa"/>
              <w:bottom w:w="80" w:type="dxa"/>
              <w:end w:w="100" w:type="dxa"/>
            </w:tcMar>
            <w:shd w:fill="F8FBFF"/>
            <w:vAlign w:val="center"/>
          </w:tcPr>
          <w:p>
            <w:pPr>
              <w:spacing w:line="259" w:lineRule="auto" w:after="40"/>
              <w:jc w:val="center"/>
            </w:pPr>
            <w:r>
              <w:rPr>
                <w:sz w:val="18"/>
              </w:rPr>
              <w:t>Proposed title</w:t>
            </w:r>
          </w:p>
        </w:tc>
        <w:tc>
          <w:tcPr>
            <w:tcW w:type="dxa" w:w="7200"/>
            <w:tcMar>
              <w:top w:w="80" w:type="dxa"/>
              <w:start w:w="100" w:type="dxa"/>
              <w:bottom w:w="80" w:type="dxa"/>
              <w:end w:w="100" w:type="dxa"/>
            </w:tcMar>
            <w:shd w:fill="F8FBFF"/>
            <w:vAlign w:val="center"/>
          </w:tcPr>
          <w:p>
            <w:pPr>
              <w:spacing w:line="259" w:lineRule="auto" w:after="40"/>
              <w:jc w:val="left"/>
            </w:pPr>
            <w:r>
              <w:rPr>
                <w:sz w:val="18"/>
              </w:rPr>
              <w:t>Calibration- and Disagreement-Aware Stacked Ensembling with Consensus Feature Selection for Imbalanced Intrusion Detection on UNSW-NB15</w:t>
            </w:r>
          </w:p>
        </w:tc>
      </w:tr>
      <w:tr>
        <w:tc>
          <w:tcPr>
            <w:tcW w:type="dxa" w:w="2304"/>
            <w:tcMar>
              <w:top w:w="80" w:type="dxa"/>
              <w:start w:w="100" w:type="dxa"/>
              <w:bottom w:w="80" w:type="dxa"/>
              <w:end w:w="100" w:type="dxa"/>
            </w:tcMar>
            <w:vAlign w:val="center"/>
          </w:tcPr>
          <w:p>
            <w:pPr>
              <w:spacing w:line="259" w:lineRule="auto" w:after="40"/>
              <w:jc w:val="center"/>
            </w:pPr>
            <w:r>
              <w:rPr>
                <w:sz w:val="18"/>
              </w:rPr>
              <w:t>Backup title</w:t>
            </w:r>
          </w:p>
        </w:tc>
        <w:tc>
          <w:tcPr>
            <w:tcW w:type="dxa" w:w="7200"/>
            <w:tcMar>
              <w:top w:w="80" w:type="dxa"/>
              <w:start w:w="100" w:type="dxa"/>
              <w:bottom w:w="80" w:type="dxa"/>
              <w:end w:w="100" w:type="dxa"/>
            </w:tcMar>
            <w:vAlign w:val="center"/>
          </w:tcPr>
          <w:p>
            <w:pPr>
              <w:spacing w:line="259" w:lineRule="auto" w:after="40"/>
              <w:jc w:val="left"/>
            </w:pPr>
            <w:r>
              <w:rPr>
                <w:sz w:val="18"/>
              </w:rPr>
              <w:t>Reliability-Aware Ensemble Intrusion Detection with Stability-Weighted Feature Selection on UNSW-NB15</w:t>
            </w:r>
          </w:p>
        </w:tc>
      </w:tr>
      <w:tr>
        <w:tc>
          <w:tcPr>
            <w:tcW w:type="dxa" w:w="2304"/>
            <w:tcMar>
              <w:top w:w="80" w:type="dxa"/>
              <w:start w:w="100" w:type="dxa"/>
              <w:bottom w:w="80" w:type="dxa"/>
              <w:end w:w="100" w:type="dxa"/>
            </w:tcMar>
            <w:shd w:fill="F8FBFF"/>
            <w:vAlign w:val="center"/>
          </w:tcPr>
          <w:p>
            <w:pPr>
              <w:spacing w:line="259" w:lineRule="auto" w:after="40"/>
              <w:jc w:val="center"/>
            </w:pPr>
            <w:r>
              <w:rPr>
                <w:sz w:val="18"/>
              </w:rPr>
              <w:t>One-sentence thesis</w:t>
            </w:r>
          </w:p>
        </w:tc>
        <w:tc>
          <w:tcPr>
            <w:tcW w:type="dxa" w:w="7200"/>
            <w:tcMar>
              <w:top w:w="80" w:type="dxa"/>
              <w:start w:w="100" w:type="dxa"/>
              <w:bottom w:w="80" w:type="dxa"/>
              <w:end w:w="100" w:type="dxa"/>
            </w:tcMar>
            <w:shd w:fill="F8FBFF"/>
            <w:vAlign w:val="center"/>
          </w:tcPr>
          <w:p>
            <w:pPr>
              <w:spacing w:line="259" w:lineRule="auto" w:after="40"/>
              <w:jc w:val="left"/>
            </w:pPr>
            <w:r>
              <w:rPr>
                <w:sz w:val="18"/>
              </w:rPr>
              <w:t>A leakage-safe, calibration-aware ensemble that explicitly models classifier agreement and uncertainty can improve multiclass intrusion detection reliability beyond plain stacking or single-model baselines.</w:t>
            </w:r>
          </w:p>
        </w:tc>
      </w:tr>
      <w:tr>
        <w:tc>
          <w:tcPr>
            <w:tcW w:type="dxa" w:w="2304"/>
            <w:tcMar>
              <w:top w:w="80" w:type="dxa"/>
              <w:start w:w="100" w:type="dxa"/>
              <w:bottom w:w="80" w:type="dxa"/>
              <w:end w:w="100" w:type="dxa"/>
            </w:tcMar>
            <w:vAlign w:val="center"/>
          </w:tcPr>
          <w:p>
            <w:pPr>
              <w:spacing w:line="259" w:lineRule="auto" w:after="40"/>
              <w:jc w:val="center"/>
            </w:pPr>
            <w:r>
              <w:rPr>
                <w:sz w:val="18"/>
              </w:rPr>
              <w:t>Target contribution type</w:t>
            </w:r>
          </w:p>
        </w:tc>
        <w:tc>
          <w:tcPr>
            <w:tcW w:type="dxa" w:w="7200"/>
            <w:tcMar>
              <w:top w:w="80" w:type="dxa"/>
              <w:start w:w="100" w:type="dxa"/>
              <w:bottom w:w="80" w:type="dxa"/>
              <w:end w:w="100" w:type="dxa"/>
            </w:tcMar>
            <w:vAlign w:val="center"/>
          </w:tcPr>
          <w:p>
            <w:pPr>
              <w:spacing w:line="259" w:lineRule="auto" w:after="40"/>
              <w:jc w:val="left"/>
            </w:pPr>
            <w:r>
              <w:rPr>
                <w:sz w:val="18"/>
              </w:rPr>
              <w:t>Methodological improvement plus careful evidence, not headline-grabbing novelty.</w:t>
            </w:r>
          </w:p>
        </w:tc>
      </w:tr>
      <w:tr>
        <w:tc>
          <w:tcPr>
            <w:tcW w:type="dxa" w:w="2304"/>
            <w:tcMar>
              <w:top w:w="80" w:type="dxa"/>
              <w:start w:w="100" w:type="dxa"/>
              <w:bottom w:w="80" w:type="dxa"/>
              <w:end w:w="100" w:type="dxa"/>
            </w:tcMar>
            <w:shd w:fill="F8FBFF"/>
            <w:vAlign w:val="center"/>
          </w:tcPr>
          <w:p>
            <w:pPr>
              <w:spacing w:line="259" w:lineRule="auto" w:after="40"/>
              <w:jc w:val="center"/>
            </w:pPr>
            <w:r>
              <w:rPr>
                <w:sz w:val="18"/>
              </w:rPr>
              <w:t>Claim boundary</w:t>
            </w:r>
          </w:p>
        </w:tc>
        <w:tc>
          <w:tcPr>
            <w:tcW w:type="dxa" w:w="7200"/>
            <w:tcMar>
              <w:top w:w="80" w:type="dxa"/>
              <w:start w:w="100" w:type="dxa"/>
              <w:bottom w:w="80" w:type="dxa"/>
              <w:end w:w="100" w:type="dxa"/>
            </w:tcMar>
            <w:shd w:fill="F8FBFF"/>
            <w:vAlign w:val="center"/>
          </w:tcPr>
          <w:p>
            <w:pPr>
              <w:spacing w:line="259" w:lineRule="auto" w:after="40"/>
              <w:jc w:val="left"/>
            </w:pPr>
            <w:r>
              <w:rPr>
                <w:sz w:val="18"/>
              </w:rPr>
              <w:t>The paper claims stronger reliability, calibration, and multiclass decision quality on UNSW-NB15; it does not claim universal cross-domain generalization.</w:t>
            </w:r>
          </w:p>
        </w:tc>
      </w:tr>
    </w:tbl>
    <w:p/>
    <w:p>
      <w:pPr>
        <w:pStyle w:val="Heading1"/>
      </w:pPr>
      <w:r>
        <w:t>3. What stays, what changes, what goes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664"/>
            <w:shd w:fill="1F4E78"/>
            <w:vAlign w:val="center"/>
            <w:tcMar>
              <w:top w:w="90" w:type="dxa"/>
              <w:start w:w="100" w:type="dxa"/>
              <w:bottom w:w="90" w:type="dxa"/>
              <w:end w:w="100" w:type="dxa"/>
            </w:tcMar>
          </w:tcPr>
          <w:p>
            <w:pPr>
              <w:spacing w:after="20"/>
              <w:jc w:val="center"/>
            </w:pPr>
            <w:r>
              <w:rPr>
                <w:b/>
                <w:color w:val="FFFFFF"/>
                <w:sz w:val="18"/>
              </w:rPr>
              <w:t>Component</w:t>
            </w:r>
          </w:p>
        </w:tc>
        <w:tc>
          <w:tcPr>
            <w:tcW w:type="dxa" w:w="2088"/>
            <w:shd w:fill="1F4E78"/>
            <w:vAlign w:val="center"/>
            <w:tcMar>
              <w:top w:w="90" w:type="dxa"/>
              <w:start w:w="100" w:type="dxa"/>
              <w:bottom w:w="90" w:type="dxa"/>
              <w:end w:w="100" w:type="dxa"/>
            </w:tcMar>
          </w:tcPr>
          <w:p>
            <w:pPr>
              <w:spacing w:after="20"/>
              <w:jc w:val="center"/>
            </w:pPr>
            <w:r>
              <w:rPr>
                <w:b/>
                <w:color w:val="FFFFFF"/>
                <w:sz w:val="18"/>
              </w:rPr>
              <w:t>Decision</w:t>
            </w:r>
          </w:p>
        </w:tc>
        <w:tc>
          <w:tcPr>
            <w:tcW w:type="dxa" w:w="4896"/>
            <w:shd w:fill="1F4E78"/>
            <w:vAlign w:val="center"/>
            <w:tcMar>
              <w:top w:w="90" w:type="dxa"/>
              <w:start w:w="100" w:type="dxa"/>
              <w:bottom w:w="90" w:type="dxa"/>
              <w:end w:w="100" w:type="dxa"/>
            </w:tcMar>
          </w:tcPr>
          <w:p>
            <w:pPr>
              <w:spacing w:after="20"/>
              <w:jc w:val="center"/>
            </w:pPr>
            <w:r>
              <w:rPr>
                <w:b/>
                <w:color w:val="FFFFFF"/>
                <w:sz w:val="18"/>
              </w:rPr>
              <w:t>Reason</w:t>
            </w:r>
          </w:p>
        </w:tc>
      </w:tr>
      <w:tr>
        <w:tc>
          <w:tcPr>
            <w:tcW w:type="dxa" w:w="2664"/>
            <w:tcMar>
              <w:top w:w="80" w:type="dxa"/>
              <w:start w:w="100" w:type="dxa"/>
              <w:bottom w:w="80" w:type="dxa"/>
              <w:end w:w="100" w:type="dxa"/>
            </w:tcMar>
            <w:shd w:fill="F8FBFF"/>
            <w:vAlign w:val="center"/>
          </w:tcPr>
          <w:p>
            <w:pPr>
              <w:spacing w:line="259" w:lineRule="auto" w:after="40"/>
              <w:jc w:val="center"/>
            </w:pPr>
            <w:r>
              <w:rPr>
                <w:sz w:val="18"/>
              </w:rPr>
              <w:t>23 engineered features</w:t>
            </w:r>
          </w:p>
        </w:tc>
        <w:tc>
          <w:tcPr>
            <w:tcW w:type="dxa" w:w="2088"/>
            <w:tcMar>
              <w:top w:w="80" w:type="dxa"/>
              <w:start w:w="100" w:type="dxa"/>
              <w:bottom w:w="80" w:type="dxa"/>
              <w:end w:w="100" w:type="dxa"/>
            </w:tcMar>
            <w:shd w:fill="F8FBFF"/>
            <w:vAlign w:val="center"/>
          </w:tcPr>
          <w:p>
            <w:pPr>
              <w:spacing w:line="259" w:lineRule="auto" w:after="40"/>
              <w:jc w:val="left"/>
            </w:pPr>
            <w:r>
              <w:rPr>
                <w:sz w:val="18"/>
              </w:rPr>
              <w:t>Keep</w:t>
            </w:r>
          </w:p>
        </w:tc>
        <w:tc>
          <w:tcPr>
            <w:tcW w:type="dxa" w:w="4896"/>
            <w:tcMar>
              <w:top w:w="80" w:type="dxa"/>
              <w:start w:w="100" w:type="dxa"/>
              <w:bottom w:w="80" w:type="dxa"/>
              <w:end w:w="100" w:type="dxa"/>
            </w:tcMar>
            <w:shd w:fill="F8FBFF"/>
            <w:vAlign w:val="center"/>
          </w:tcPr>
          <w:p>
            <w:pPr>
              <w:spacing w:line="259" w:lineRule="auto" w:after="40"/>
              <w:jc w:val="center"/>
            </w:pPr>
            <w:r>
              <w:rPr>
                <w:sz w:val="18"/>
              </w:rPr>
              <w:t>They are part of the paper's identity, but definitions must be cleaned, audited, and made leakage-safe.</w:t>
            </w:r>
          </w:p>
        </w:tc>
      </w:tr>
      <w:tr>
        <w:tc>
          <w:tcPr>
            <w:tcW w:type="dxa" w:w="2664"/>
            <w:tcMar>
              <w:top w:w="80" w:type="dxa"/>
              <w:start w:w="100" w:type="dxa"/>
              <w:bottom w:w="80" w:type="dxa"/>
              <w:end w:w="100" w:type="dxa"/>
            </w:tcMar>
            <w:vAlign w:val="center"/>
          </w:tcPr>
          <w:p>
            <w:pPr>
              <w:spacing w:line="259" w:lineRule="auto" w:after="40"/>
              <w:jc w:val="center"/>
            </w:pPr>
            <w:r>
              <w:rPr>
                <w:sz w:val="18"/>
              </w:rPr>
              <w:t>Consensus feature selection</w:t>
            </w:r>
          </w:p>
        </w:tc>
        <w:tc>
          <w:tcPr>
            <w:tcW w:type="dxa" w:w="2088"/>
            <w:tcMar>
              <w:top w:w="80" w:type="dxa"/>
              <w:start w:w="100" w:type="dxa"/>
              <w:bottom w:w="80" w:type="dxa"/>
              <w:end w:w="100" w:type="dxa"/>
            </w:tcMar>
            <w:vAlign w:val="center"/>
          </w:tcPr>
          <w:p>
            <w:pPr>
              <w:spacing w:line="259" w:lineRule="auto" w:after="40"/>
              <w:jc w:val="left"/>
            </w:pPr>
            <w:r>
              <w:rPr>
                <w:sz w:val="18"/>
              </w:rPr>
              <w:t>Keep and upgrade</w:t>
            </w:r>
          </w:p>
        </w:tc>
        <w:tc>
          <w:tcPr>
            <w:tcW w:type="dxa" w:w="4896"/>
            <w:tcMar>
              <w:top w:w="80" w:type="dxa"/>
              <w:start w:w="100" w:type="dxa"/>
              <w:bottom w:w="80" w:type="dxa"/>
              <w:end w:w="100" w:type="dxa"/>
            </w:tcMar>
            <w:vAlign w:val="center"/>
          </w:tcPr>
          <w:p>
            <w:pPr>
              <w:spacing w:line="259" w:lineRule="auto" w:after="40"/>
              <w:jc w:val="center"/>
            </w:pPr>
            <w:r>
              <w:rPr>
                <w:sz w:val="18"/>
              </w:rPr>
              <w:t>Retain the idea, but weight methods by stability and inner-fold performance, not only by a single holdout score.</w:t>
            </w:r>
          </w:p>
        </w:tc>
      </w:tr>
      <w:tr>
        <w:tc>
          <w:tcPr>
            <w:tcW w:type="dxa" w:w="2664"/>
            <w:tcMar>
              <w:top w:w="80" w:type="dxa"/>
              <w:start w:w="100" w:type="dxa"/>
              <w:bottom w:w="80" w:type="dxa"/>
              <w:end w:w="100" w:type="dxa"/>
            </w:tcMar>
            <w:shd w:fill="F8FBFF"/>
            <w:vAlign w:val="center"/>
          </w:tcPr>
          <w:p>
            <w:pPr>
              <w:spacing w:line="259" w:lineRule="auto" w:after="40"/>
              <w:jc w:val="center"/>
            </w:pPr>
            <w:r>
              <w:rPr>
                <w:sz w:val="18"/>
              </w:rPr>
              <w:t>RF / ET / XGB / KNN base pool</w:t>
            </w:r>
          </w:p>
        </w:tc>
        <w:tc>
          <w:tcPr>
            <w:tcW w:type="dxa" w:w="2088"/>
            <w:tcMar>
              <w:top w:w="80" w:type="dxa"/>
              <w:start w:w="100" w:type="dxa"/>
              <w:bottom w:w="80" w:type="dxa"/>
              <w:end w:w="100" w:type="dxa"/>
            </w:tcMar>
            <w:shd w:fill="F8FBFF"/>
            <w:vAlign w:val="center"/>
          </w:tcPr>
          <w:p>
            <w:pPr>
              <w:spacing w:line="259" w:lineRule="auto" w:after="40"/>
              <w:jc w:val="left"/>
            </w:pPr>
            <w:r>
              <w:rPr>
                <w:sz w:val="18"/>
              </w:rPr>
              <w:t>Keep with pipeline separation</w:t>
            </w:r>
          </w:p>
        </w:tc>
        <w:tc>
          <w:tcPr>
            <w:tcW w:type="dxa" w:w="4896"/>
            <w:tcMar>
              <w:top w:w="80" w:type="dxa"/>
              <w:start w:w="100" w:type="dxa"/>
              <w:bottom w:w="80" w:type="dxa"/>
              <w:end w:w="100" w:type="dxa"/>
            </w:tcMar>
            <w:shd w:fill="F8FBFF"/>
            <w:vAlign w:val="center"/>
          </w:tcPr>
          <w:p>
            <w:pPr>
              <w:spacing w:line="259" w:lineRule="auto" w:after="40"/>
              <w:jc w:val="center"/>
            </w:pPr>
            <w:r>
              <w:rPr>
                <w:sz w:val="18"/>
              </w:rPr>
              <w:t>Preserves continuity with the original manuscript; KNN stays only if encoded/scaled correctly in its own branch.</w:t>
            </w:r>
          </w:p>
        </w:tc>
      </w:tr>
      <w:tr>
        <w:tc>
          <w:tcPr>
            <w:tcW w:type="dxa" w:w="2664"/>
            <w:tcMar>
              <w:top w:w="80" w:type="dxa"/>
              <w:start w:w="100" w:type="dxa"/>
              <w:bottom w:w="80" w:type="dxa"/>
              <w:end w:w="100" w:type="dxa"/>
            </w:tcMar>
            <w:vAlign w:val="center"/>
          </w:tcPr>
          <w:p>
            <w:pPr>
              <w:spacing w:line="259" w:lineRule="auto" w:after="40"/>
              <w:jc w:val="center"/>
            </w:pPr>
            <w:r>
              <w:rPr>
                <w:sz w:val="18"/>
              </w:rPr>
              <w:t>Plain stacking</w:t>
            </w:r>
          </w:p>
        </w:tc>
        <w:tc>
          <w:tcPr>
            <w:tcW w:type="dxa" w:w="2088"/>
            <w:tcMar>
              <w:top w:w="80" w:type="dxa"/>
              <w:start w:w="100" w:type="dxa"/>
              <w:bottom w:w="80" w:type="dxa"/>
              <w:end w:w="100" w:type="dxa"/>
            </w:tcMar>
            <w:vAlign w:val="center"/>
          </w:tcPr>
          <w:p>
            <w:pPr>
              <w:spacing w:line="259" w:lineRule="auto" w:after="40"/>
              <w:jc w:val="left"/>
            </w:pPr>
            <w:r>
              <w:rPr>
                <w:sz w:val="18"/>
              </w:rPr>
              <w:t>Keep as baseline</w:t>
            </w:r>
          </w:p>
        </w:tc>
        <w:tc>
          <w:tcPr>
            <w:tcW w:type="dxa" w:w="4896"/>
            <w:tcMar>
              <w:top w:w="80" w:type="dxa"/>
              <w:start w:w="100" w:type="dxa"/>
              <w:bottom w:w="80" w:type="dxa"/>
              <w:end w:w="100" w:type="dxa"/>
            </w:tcMar>
            <w:vAlign w:val="center"/>
          </w:tcPr>
          <w:p>
            <w:pPr>
              <w:spacing w:line="259" w:lineRule="auto" w:after="40"/>
              <w:jc w:val="center"/>
            </w:pPr>
            <w:r>
              <w:rPr>
                <w:sz w:val="18"/>
              </w:rPr>
              <w:t>Needed so the new ensemble can demonstrate why naive stacking is insufficient.</w:t>
            </w:r>
          </w:p>
        </w:tc>
      </w:tr>
      <w:tr>
        <w:tc>
          <w:tcPr>
            <w:tcW w:type="dxa" w:w="2664"/>
            <w:tcMar>
              <w:top w:w="80" w:type="dxa"/>
              <w:start w:w="100" w:type="dxa"/>
              <w:bottom w:w="80" w:type="dxa"/>
              <w:end w:w="100" w:type="dxa"/>
            </w:tcMar>
            <w:shd w:fill="F8FBFF"/>
            <w:vAlign w:val="center"/>
          </w:tcPr>
          <w:p>
            <w:pPr>
              <w:spacing w:line="259" w:lineRule="auto" w:after="40"/>
              <w:jc w:val="center"/>
            </w:pPr>
            <w:r>
              <w:rPr>
                <w:sz w:val="18"/>
              </w:rPr>
              <w:t>Weighted averaging</w:t>
            </w:r>
          </w:p>
        </w:tc>
        <w:tc>
          <w:tcPr>
            <w:tcW w:type="dxa" w:w="2088"/>
            <w:tcMar>
              <w:top w:w="80" w:type="dxa"/>
              <w:start w:w="100" w:type="dxa"/>
              <w:bottom w:w="80" w:type="dxa"/>
              <w:end w:w="100" w:type="dxa"/>
            </w:tcMar>
            <w:shd w:fill="F8FBFF"/>
            <w:vAlign w:val="center"/>
          </w:tcPr>
          <w:p>
            <w:pPr>
              <w:spacing w:line="259" w:lineRule="auto" w:after="40"/>
              <w:jc w:val="left"/>
            </w:pPr>
            <w:r>
              <w:rPr>
                <w:sz w:val="18"/>
              </w:rPr>
              <w:t>Keep as baseline</w:t>
            </w:r>
          </w:p>
        </w:tc>
        <w:tc>
          <w:tcPr>
            <w:tcW w:type="dxa" w:w="4896"/>
            <w:tcMar>
              <w:top w:w="80" w:type="dxa"/>
              <w:start w:w="100" w:type="dxa"/>
              <w:bottom w:w="80" w:type="dxa"/>
              <w:end w:w="100" w:type="dxa"/>
            </w:tcMar>
            <w:shd w:fill="F8FBFF"/>
            <w:vAlign w:val="center"/>
          </w:tcPr>
          <w:p>
            <w:pPr>
              <w:spacing w:line="259" w:lineRule="auto" w:after="40"/>
              <w:jc w:val="center"/>
            </w:pPr>
            <w:r>
              <w:rPr>
                <w:sz w:val="18"/>
              </w:rPr>
              <w:t>Important comparator for the new disagreement-aware gating stage.</w:t>
            </w:r>
          </w:p>
        </w:tc>
      </w:tr>
      <w:tr>
        <w:tc>
          <w:tcPr>
            <w:tcW w:type="dxa" w:w="2664"/>
            <w:tcMar>
              <w:top w:w="80" w:type="dxa"/>
              <w:start w:w="100" w:type="dxa"/>
              <w:bottom w:w="80" w:type="dxa"/>
              <w:end w:w="100" w:type="dxa"/>
            </w:tcMar>
            <w:vAlign w:val="center"/>
          </w:tcPr>
          <w:p>
            <w:pPr>
              <w:spacing w:line="259" w:lineRule="auto" w:after="40"/>
              <w:jc w:val="center"/>
            </w:pPr>
            <w:r>
              <w:rPr>
                <w:sz w:val="18"/>
              </w:rPr>
              <w:t>Current meta-learner input = max probability only</w:t>
            </w:r>
          </w:p>
        </w:tc>
        <w:tc>
          <w:tcPr>
            <w:tcW w:type="dxa" w:w="2088"/>
            <w:tcMar>
              <w:top w:w="80" w:type="dxa"/>
              <w:start w:w="100" w:type="dxa"/>
              <w:bottom w:w="80" w:type="dxa"/>
              <w:end w:w="100" w:type="dxa"/>
            </w:tcMar>
            <w:vAlign w:val="center"/>
          </w:tcPr>
          <w:p>
            <w:pPr>
              <w:spacing w:line="259" w:lineRule="auto" w:after="40"/>
              <w:jc w:val="left"/>
            </w:pPr>
            <w:r>
              <w:rPr>
                <w:sz w:val="18"/>
              </w:rPr>
              <w:t>Delete</w:t>
            </w:r>
          </w:p>
        </w:tc>
        <w:tc>
          <w:tcPr>
            <w:tcW w:type="dxa" w:w="4896"/>
            <w:tcMar>
              <w:top w:w="80" w:type="dxa"/>
              <w:start w:w="100" w:type="dxa"/>
              <w:bottom w:w="80" w:type="dxa"/>
              <w:end w:w="100" w:type="dxa"/>
            </w:tcMar>
            <w:vAlign w:val="center"/>
          </w:tcPr>
          <w:p>
            <w:pPr>
              <w:spacing w:line="259" w:lineRule="auto" w:after="40"/>
              <w:jc w:val="center"/>
            </w:pPr>
            <w:r>
              <w:rPr>
                <w:sz w:val="18"/>
              </w:rPr>
              <w:t>This is one of the weakest design choices in the current paper because it throws away class structure.</w:t>
            </w:r>
          </w:p>
        </w:tc>
      </w:tr>
      <w:tr>
        <w:tc>
          <w:tcPr>
            <w:tcW w:type="dxa" w:w="2664"/>
            <w:tcMar>
              <w:top w:w="80" w:type="dxa"/>
              <w:start w:w="100" w:type="dxa"/>
              <w:bottom w:w="80" w:type="dxa"/>
              <w:end w:w="100" w:type="dxa"/>
            </w:tcMar>
            <w:shd w:fill="F8FBFF"/>
            <w:vAlign w:val="center"/>
          </w:tcPr>
          <w:p>
            <w:pPr>
              <w:spacing w:line="259" w:lineRule="auto" w:after="40"/>
              <w:jc w:val="center"/>
            </w:pPr>
            <w:r>
              <w:rPr>
                <w:sz w:val="18"/>
              </w:rPr>
              <w:t>Specialist models + SMOTE</w:t>
            </w:r>
          </w:p>
        </w:tc>
        <w:tc>
          <w:tcPr>
            <w:tcW w:type="dxa" w:w="2088"/>
            <w:tcMar>
              <w:top w:w="80" w:type="dxa"/>
              <w:start w:w="100" w:type="dxa"/>
              <w:bottom w:w="80" w:type="dxa"/>
              <w:end w:w="100" w:type="dxa"/>
            </w:tcMar>
            <w:shd w:fill="F8FBFF"/>
            <w:vAlign w:val="center"/>
          </w:tcPr>
          <w:p>
            <w:pPr>
              <w:spacing w:line="259" w:lineRule="auto" w:after="40"/>
              <w:jc w:val="left"/>
            </w:pPr>
            <w:r>
              <w:rPr>
                <w:sz w:val="18"/>
              </w:rPr>
              <w:t>Move to appendix or remove</w:t>
            </w:r>
          </w:p>
        </w:tc>
        <w:tc>
          <w:tcPr>
            <w:tcW w:type="dxa" w:w="4896"/>
            <w:tcMar>
              <w:top w:w="80" w:type="dxa"/>
              <w:start w:w="100" w:type="dxa"/>
              <w:bottom w:w="80" w:type="dxa"/>
              <w:end w:w="100" w:type="dxa"/>
            </w:tcMar>
            <w:shd w:fill="F8FBFF"/>
            <w:vAlign w:val="center"/>
          </w:tcPr>
          <w:p>
            <w:pPr>
              <w:spacing w:line="259" w:lineRule="auto" w:after="40"/>
              <w:jc w:val="center"/>
            </w:pPr>
            <w:r>
              <w:rPr>
                <w:sz w:val="18"/>
              </w:rPr>
              <w:t>They inflate scope, complicate the paper, and produce reviewer questions that are not central to the new contribution.</w:t>
            </w:r>
          </w:p>
        </w:tc>
      </w:tr>
      <w:tr>
        <w:tc>
          <w:tcPr>
            <w:tcW w:type="dxa" w:w="2664"/>
            <w:tcMar>
              <w:top w:w="80" w:type="dxa"/>
              <w:start w:w="100" w:type="dxa"/>
              <w:bottom w:w="80" w:type="dxa"/>
              <w:end w:w="100" w:type="dxa"/>
            </w:tcMar>
            <w:vAlign w:val="center"/>
          </w:tcPr>
          <w:p>
            <w:pPr>
              <w:spacing w:line="259" w:lineRule="auto" w:after="40"/>
              <w:jc w:val="center"/>
            </w:pPr>
            <w:r>
              <w:rPr>
                <w:sz w:val="18"/>
              </w:rPr>
              <w:t>Cross-dataset UNSW→BoT-IoT mapping section</w:t>
            </w:r>
          </w:p>
        </w:tc>
        <w:tc>
          <w:tcPr>
            <w:tcW w:type="dxa" w:w="2088"/>
            <w:tcMar>
              <w:top w:w="80" w:type="dxa"/>
              <w:start w:w="100" w:type="dxa"/>
              <w:bottom w:w="80" w:type="dxa"/>
              <w:end w:w="100" w:type="dxa"/>
            </w:tcMar>
            <w:vAlign w:val="center"/>
          </w:tcPr>
          <w:p>
            <w:pPr>
              <w:spacing w:line="259" w:lineRule="auto" w:after="40"/>
              <w:jc w:val="left"/>
            </w:pPr>
            <w:r>
              <w:rPr>
                <w:sz w:val="18"/>
              </w:rPr>
              <w:t>Remove from main paper</w:t>
            </w:r>
          </w:p>
        </w:tc>
        <w:tc>
          <w:tcPr>
            <w:tcW w:type="dxa" w:w="4896"/>
            <w:tcMar>
              <w:top w:w="80" w:type="dxa"/>
              <w:start w:w="100" w:type="dxa"/>
              <w:bottom w:w="80" w:type="dxa"/>
              <w:end w:w="100" w:type="dxa"/>
            </w:tcMar>
            <w:vAlign w:val="center"/>
          </w:tcPr>
          <w:p>
            <w:pPr>
              <w:spacing w:line="259" w:lineRule="auto" w:after="40"/>
              <w:jc w:val="center"/>
            </w:pPr>
            <w:r>
              <w:rPr>
                <w:sz w:val="18"/>
              </w:rPr>
              <w:t>The current mapping is too approximate; it weakens the paper more than it helps. Only reintroduce it later if done rigorously.</w:t>
            </w:r>
          </w:p>
        </w:tc>
      </w:tr>
      <w:tr>
        <w:tc>
          <w:tcPr>
            <w:tcW w:type="dxa" w:w="2664"/>
            <w:tcMar>
              <w:top w:w="80" w:type="dxa"/>
              <w:start w:w="100" w:type="dxa"/>
              <w:bottom w:w="80" w:type="dxa"/>
              <w:end w:w="100" w:type="dxa"/>
            </w:tcMar>
            <w:shd w:fill="F8FBFF"/>
            <w:vAlign w:val="center"/>
          </w:tcPr>
          <w:p>
            <w:pPr>
              <w:spacing w:line="259" w:lineRule="auto" w:after="40"/>
              <w:jc w:val="center"/>
            </w:pPr>
            <w:r>
              <w:rPr>
                <w:sz w:val="18"/>
              </w:rPr>
              <w:t>Ablation study</w:t>
            </w:r>
          </w:p>
        </w:tc>
        <w:tc>
          <w:tcPr>
            <w:tcW w:type="dxa" w:w="2088"/>
            <w:tcMar>
              <w:top w:w="80" w:type="dxa"/>
              <w:start w:w="100" w:type="dxa"/>
              <w:bottom w:w="80" w:type="dxa"/>
              <w:end w:w="100" w:type="dxa"/>
            </w:tcMar>
            <w:shd w:fill="F8FBFF"/>
            <w:vAlign w:val="center"/>
          </w:tcPr>
          <w:p>
            <w:pPr>
              <w:spacing w:line="259" w:lineRule="auto" w:after="40"/>
              <w:jc w:val="left"/>
            </w:pPr>
            <w:r>
              <w:rPr>
                <w:sz w:val="18"/>
              </w:rPr>
              <w:t>Keep and strengthen</w:t>
            </w:r>
          </w:p>
        </w:tc>
        <w:tc>
          <w:tcPr>
            <w:tcW w:type="dxa" w:w="4896"/>
            <w:tcMar>
              <w:top w:w="80" w:type="dxa"/>
              <w:start w:w="100" w:type="dxa"/>
              <w:bottom w:w="80" w:type="dxa"/>
              <w:end w:w="100" w:type="dxa"/>
            </w:tcMar>
            <w:shd w:fill="F8FBFF"/>
            <w:vAlign w:val="center"/>
          </w:tcPr>
          <w:p>
            <w:pPr>
              <w:spacing w:line="259" w:lineRule="auto" w:after="40"/>
              <w:jc w:val="center"/>
            </w:pPr>
            <w:r>
              <w:rPr>
                <w:sz w:val="18"/>
              </w:rPr>
              <w:t>Make it the backbone of the empirical story: feature groups, calibration, stacking, gating, and uncertainty features.</w:t>
            </w:r>
          </w:p>
        </w:tc>
      </w:tr>
    </w:tbl>
    <w:p/>
    <w:p>
      <w:pPr>
        <w:pStyle w:val="Heading1"/>
      </w:pPr>
      <w:r>
        <w:t>4. Novelty that is realistic and defendable</w:t>
      </w:r>
    </w:p>
    <w:p>
      <w:pPr>
        <w:spacing w:after="120"/>
      </w:pPr>
      <w:r>
        <w:t>The paper needs novelty, but not novelty theater. The best route is to turn your existing ensemble idea into a stronger and cleaner contribution.</w:t>
      </w:r>
    </w:p>
    <w:p>
      <w:pPr>
        <w:pStyle w:val="ListNumber"/>
        <w:spacing w:after="60"/>
      </w:pPr>
      <w:r>
        <w:rPr>
          <w:b/>
        </w:rPr>
        <w:t xml:space="preserve">Primary novelty: </w:t>
      </w:r>
      <w:r>
        <w:t>a calibration-aware, disagreement-aware stacked ensemble for IDS. Each base learner is calibrated, the stacker receives richer out-of-fold meta-features, and a gate learns when to trust stacking versus weighted averaging.</w:t>
      </w:r>
    </w:p>
    <w:p>
      <w:pPr>
        <w:pStyle w:val="ListNumber"/>
        <w:spacing w:after="60"/>
      </w:pPr>
      <w:r>
        <w:rPr>
          <w:b/>
        </w:rPr>
        <w:t xml:space="preserve">Secondary novelty: </w:t>
      </w:r>
      <w:r>
        <w:t>stability-weighted consensus feature selection. Instead of selecting features from one split and one score, feature importance is aggregated across inner folds and multiple selectors, rewarding features that are both strong and stable.</w:t>
      </w:r>
    </w:p>
    <w:p>
      <w:pPr>
        <w:pStyle w:val="ListNumber"/>
        <w:spacing w:after="60"/>
      </w:pPr>
      <w:r>
        <w:rPr>
          <w:b/>
        </w:rPr>
        <w:t xml:space="preserve">Practical novelty: </w:t>
      </w:r>
      <w:r>
        <w:t>uncertainty-aware analysis. In addition to accuracy and macro F1, report calibration and confidence behavior, showing how the ensemble behaves on difficult classes and ambiguous flows.</w:t>
      </w:r>
    </w:p>
    <w:p>
      <w:pPr>
        <w:pStyle w:val="ListNumber"/>
        <w:spacing w:after="60"/>
      </w:pPr>
      <w:r>
        <w:rPr>
          <w:b/>
        </w:rPr>
        <w:t xml:space="preserve">Negative-result novelty: </w:t>
      </w:r>
      <w:r>
        <w:t>show, with discipline, that naive stacking does not automatically help IDS; the gains come only after calibration and disagreement-aware control.</w:t>
      </w:r>
    </w:p>
    <w:tbl>
      <w:tblPr>
        <w:tblW w:type="auto" w:w="0"/>
        <w:jc w:val="center"/>
        <w:tblLayout w:type="fixed"/>
        <w:tblLook w:firstColumn="1" w:firstRow="1" w:lastColumn="0" w:lastRow="0" w:noHBand="0" w:noVBand="1" w:val="04A0"/>
      </w:tblPr>
      <w:tblGrid>
        <w:gridCol w:w="9936"/>
      </w:tblGrid>
      <w:tr>
        <w:tc>
          <w:tcPr>
            <w:tcW w:type="dxa" w:w="9792"/>
            <w:shd w:fill="EDF7ED"/>
            <w:tcMar>
              <w:top w:w="120" w:type="dxa"/>
              <w:start w:w="120" w:type="dxa"/>
              <w:bottom w:w="120" w:type="dxa"/>
              <w:end w:w="120" w:type="dxa"/>
            </w:tcMar>
            <w:vAlign w:val="center"/>
          </w:tcPr>
          <w:p>
            <w:pPr>
              <w:spacing w:after="40"/>
            </w:pPr>
            <w:r>
              <w:rPr>
                <w:b/>
                <w:sz w:val="20"/>
              </w:rPr>
              <w:t xml:space="preserve">Recommended novelty sentence for the abstract: </w:t>
            </w:r>
            <w:r>
              <w:rPr>
                <w:sz w:val="20"/>
              </w:rPr>
              <w:t>We propose a calibrated, disagreement-aware ensemble that fuses out-of-fold class probabilities, uncertainty descriptors, and inter-model agreement signals to improve multiclass intrusion detection reliability under severe class imbalance.</w:t>
            </w:r>
          </w:p>
        </w:tc>
      </w:tr>
    </w:tbl>
    <w:p/>
    <w:p>
      <w:pPr>
        <w:pStyle w:val="Heading1"/>
      </w:pPr>
      <w:r>
        <w:t>5. Research questions and hypotheses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296"/>
            <w:shd w:fill="1F4E78"/>
            <w:vAlign w:val="center"/>
            <w:tcMar>
              <w:top w:w="90" w:type="dxa"/>
              <w:start w:w="100" w:type="dxa"/>
              <w:bottom w:w="90" w:type="dxa"/>
              <w:end w:w="100" w:type="dxa"/>
            </w:tcMar>
          </w:tcPr>
          <w:p>
            <w:pPr>
              <w:spacing w:after="20"/>
              <w:jc w:val="center"/>
            </w:pPr>
            <w:r>
              <w:rPr>
                <w:b/>
                <w:color w:val="FFFFFF"/>
                <w:sz w:val="18"/>
              </w:rPr>
              <w:t>RQ / H</w:t>
            </w:r>
          </w:p>
        </w:tc>
        <w:tc>
          <w:tcPr>
            <w:tcW w:type="dxa" w:w="4032"/>
            <w:shd w:fill="1F4E78"/>
            <w:vAlign w:val="center"/>
            <w:tcMar>
              <w:top w:w="90" w:type="dxa"/>
              <w:start w:w="100" w:type="dxa"/>
              <w:bottom w:w="90" w:type="dxa"/>
              <w:end w:w="100" w:type="dxa"/>
            </w:tcMar>
          </w:tcPr>
          <w:p>
            <w:pPr>
              <w:spacing w:after="20"/>
              <w:jc w:val="center"/>
            </w:pPr>
            <w:r>
              <w:rPr>
                <w:b/>
                <w:color w:val="FFFFFF"/>
                <w:sz w:val="18"/>
              </w:rPr>
              <w:t>Exact focus</w:t>
            </w:r>
          </w:p>
        </w:tc>
        <w:tc>
          <w:tcPr>
            <w:tcW w:type="dxa" w:w="4536"/>
            <w:shd w:fill="1F4E78"/>
            <w:vAlign w:val="center"/>
            <w:tcMar>
              <w:top w:w="90" w:type="dxa"/>
              <w:start w:w="100" w:type="dxa"/>
              <w:bottom w:w="90" w:type="dxa"/>
              <w:end w:w="100" w:type="dxa"/>
            </w:tcMar>
          </w:tcPr>
          <w:p>
            <w:pPr>
              <w:spacing w:after="20"/>
              <w:jc w:val="center"/>
            </w:pPr>
            <w:r>
              <w:rPr>
                <w:b/>
                <w:color w:val="FFFFFF"/>
                <w:sz w:val="18"/>
              </w:rPr>
              <w:t>Acceptance-friendly interpretation</w:t>
            </w:r>
          </w:p>
        </w:tc>
      </w:tr>
      <w:tr>
        <w:tc>
          <w:tcPr>
            <w:tcW w:type="dxa" w:w="1296"/>
            <w:tcMar>
              <w:top w:w="80" w:type="dxa"/>
              <w:start w:w="100" w:type="dxa"/>
              <w:bottom w:w="80" w:type="dxa"/>
              <w:end w:w="100" w:type="dxa"/>
            </w:tcMar>
            <w:shd w:fill="F8FBFF"/>
            <w:vAlign w:val="center"/>
          </w:tcPr>
          <w:p>
            <w:pPr>
              <w:spacing w:line="259" w:lineRule="auto" w:after="40"/>
              <w:jc w:val="center"/>
            </w:pPr>
            <w:r>
              <w:rPr>
                <w:sz w:val="18"/>
              </w:rPr>
              <w:t>RQ1</w:t>
            </w:r>
          </w:p>
        </w:tc>
        <w:tc>
          <w:tcPr>
            <w:tcW w:type="dxa" w:w="4032"/>
            <w:tcMar>
              <w:top w:w="80" w:type="dxa"/>
              <w:start w:w="100" w:type="dxa"/>
              <w:bottom w:w="80" w:type="dxa"/>
              <w:end w:w="100" w:type="dxa"/>
            </w:tcMar>
            <w:shd w:fill="F8FBFF"/>
            <w:vAlign w:val="center"/>
          </w:tcPr>
          <w:p>
            <w:pPr>
              <w:spacing w:line="259" w:lineRule="auto" w:after="40"/>
              <w:jc w:val="left"/>
            </w:pPr>
            <w:r>
              <w:rPr>
                <w:sz w:val="18"/>
              </w:rPr>
              <w:t>Do stability-weighted consensus-selected features improve generalization and calibration relative to raw engineered features and single-selector subsets?</w:t>
            </w:r>
          </w:p>
        </w:tc>
        <w:tc>
          <w:tcPr>
            <w:tcW w:type="dxa" w:w="4536"/>
            <w:tcMar>
              <w:top w:w="80" w:type="dxa"/>
              <w:start w:w="100" w:type="dxa"/>
              <w:bottom w:w="80" w:type="dxa"/>
              <w:end w:w="100" w:type="dxa"/>
            </w:tcMar>
            <w:shd w:fill="F8FBFF"/>
            <w:vAlign w:val="center"/>
          </w:tcPr>
          <w:p>
            <w:pPr>
              <w:spacing w:line="259" w:lineRule="auto" w:after="40"/>
              <w:jc w:val="center"/>
            </w:pPr>
            <w:r>
              <w:rPr>
                <w:sz w:val="18"/>
              </w:rPr>
              <w:t>This turns feature selection into a methodological question rather than a decorative preprocessing step.</w:t>
            </w:r>
          </w:p>
        </w:tc>
      </w:tr>
      <w:tr>
        <w:tc>
          <w:tcPr>
            <w:tcW w:type="dxa" w:w="1296"/>
            <w:tcMar>
              <w:top w:w="80" w:type="dxa"/>
              <w:start w:w="100" w:type="dxa"/>
              <w:bottom w:w="80" w:type="dxa"/>
              <w:end w:w="100" w:type="dxa"/>
            </w:tcMar>
            <w:vAlign w:val="center"/>
          </w:tcPr>
          <w:p>
            <w:pPr>
              <w:spacing w:line="259" w:lineRule="auto" w:after="40"/>
              <w:jc w:val="center"/>
            </w:pPr>
            <w:r>
              <w:rPr>
                <w:sz w:val="18"/>
              </w:rPr>
              <w:t>RQ2</w:t>
            </w:r>
          </w:p>
        </w:tc>
        <w:tc>
          <w:tcPr>
            <w:tcW w:type="dxa" w:w="4032"/>
            <w:tcMar>
              <w:top w:w="80" w:type="dxa"/>
              <w:start w:w="100" w:type="dxa"/>
              <w:bottom w:w="80" w:type="dxa"/>
              <w:end w:w="100" w:type="dxa"/>
            </w:tcMar>
            <w:vAlign w:val="center"/>
          </w:tcPr>
          <w:p>
            <w:pPr>
              <w:spacing w:line="259" w:lineRule="auto" w:after="40"/>
              <w:jc w:val="left"/>
            </w:pPr>
            <w:r>
              <w:rPr>
                <w:sz w:val="18"/>
              </w:rPr>
              <w:t>Does the proposed calibrated, disagreement-aware ensemble outperform the best single model, weighted averaging, and plain stacking on multiclass reliability metrics?</w:t>
            </w:r>
          </w:p>
        </w:tc>
        <w:tc>
          <w:tcPr>
            <w:tcW w:type="dxa" w:w="4536"/>
            <w:tcMar>
              <w:top w:w="80" w:type="dxa"/>
              <w:start w:w="100" w:type="dxa"/>
              <w:bottom w:w="80" w:type="dxa"/>
              <w:end w:w="100" w:type="dxa"/>
            </w:tcMar>
            <w:vAlign w:val="center"/>
          </w:tcPr>
          <w:p>
            <w:pPr>
              <w:spacing w:line="259" w:lineRule="auto" w:after="40"/>
              <w:jc w:val="center"/>
            </w:pPr>
            <w:r>
              <w:rPr>
                <w:sz w:val="18"/>
              </w:rPr>
              <w:t>This becomes the central paper question.</w:t>
            </w:r>
          </w:p>
        </w:tc>
      </w:tr>
      <w:tr>
        <w:tc>
          <w:tcPr>
            <w:tcW w:type="dxa" w:w="1296"/>
            <w:tcMar>
              <w:top w:w="80" w:type="dxa"/>
              <w:start w:w="100" w:type="dxa"/>
              <w:bottom w:w="80" w:type="dxa"/>
              <w:end w:w="100" w:type="dxa"/>
            </w:tcMar>
            <w:shd w:fill="F8FBFF"/>
            <w:vAlign w:val="center"/>
          </w:tcPr>
          <w:p>
            <w:pPr>
              <w:spacing w:line="259" w:lineRule="auto" w:after="40"/>
              <w:jc w:val="center"/>
            </w:pPr>
            <w:r>
              <w:rPr>
                <w:sz w:val="18"/>
              </w:rPr>
              <w:t>RQ3</w:t>
            </w:r>
          </w:p>
        </w:tc>
        <w:tc>
          <w:tcPr>
            <w:tcW w:type="dxa" w:w="4032"/>
            <w:tcMar>
              <w:top w:w="80" w:type="dxa"/>
              <w:start w:w="100" w:type="dxa"/>
              <w:bottom w:w="80" w:type="dxa"/>
              <w:end w:w="100" w:type="dxa"/>
            </w:tcMar>
            <w:shd w:fill="F8FBFF"/>
            <w:vAlign w:val="center"/>
          </w:tcPr>
          <w:p>
            <w:pPr>
              <w:spacing w:line="259" w:lineRule="auto" w:after="40"/>
              <w:jc w:val="left"/>
            </w:pPr>
            <w:r>
              <w:rPr>
                <w:sz w:val="18"/>
              </w:rPr>
              <w:t>Which engineered features are consistently stable across inner folds and attack classes?</w:t>
            </w:r>
          </w:p>
        </w:tc>
        <w:tc>
          <w:tcPr>
            <w:tcW w:type="dxa" w:w="4536"/>
            <w:tcMar>
              <w:top w:w="80" w:type="dxa"/>
              <w:start w:w="100" w:type="dxa"/>
              <w:bottom w:w="80" w:type="dxa"/>
              <w:end w:w="100" w:type="dxa"/>
            </w:tcMar>
            <w:shd w:fill="F8FBFF"/>
            <w:vAlign w:val="center"/>
          </w:tcPr>
          <w:p>
            <w:pPr>
              <w:spacing w:line="259" w:lineRule="auto" w:after="40"/>
              <w:jc w:val="center"/>
            </w:pPr>
            <w:r>
              <w:rPr>
                <w:sz w:val="18"/>
              </w:rPr>
              <w:t>Adds interpretability without pretending the paper is a feature-discovery paper.</w:t>
            </w:r>
          </w:p>
        </w:tc>
      </w:tr>
      <w:tr>
        <w:tc>
          <w:tcPr>
            <w:tcW w:type="dxa" w:w="1296"/>
            <w:tcMar>
              <w:top w:w="80" w:type="dxa"/>
              <w:start w:w="100" w:type="dxa"/>
              <w:bottom w:w="80" w:type="dxa"/>
              <w:end w:w="100" w:type="dxa"/>
            </w:tcMar>
            <w:vAlign w:val="center"/>
          </w:tcPr>
          <w:p>
            <w:pPr>
              <w:spacing w:line="259" w:lineRule="auto" w:after="40"/>
              <w:jc w:val="center"/>
            </w:pPr>
            <w:r>
              <w:rPr>
                <w:sz w:val="18"/>
              </w:rPr>
              <w:t>RQ4</w:t>
            </w:r>
          </w:p>
        </w:tc>
        <w:tc>
          <w:tcPr>
            <w:tcW w:type="dxa" w:w="4032"/>
            <w:tcMar>
              <w:top w:w="80" w:type="dxa"/>
              <w:start w:w="100" w:type="dxa"/>
              <w:bottom w:w="80" w:type="dxa"/>
              <w:end w:w="100" w:type="dxa"/>
            </w:tcMar>
            <w:vAlign w:val="center"/>
          </w:tcPr>
          <w:p>
            <w:pPr>
              <w:spacing w:line="259" w:lineRule="auto" w:after="40"/>
              <w:jc w:val="left"/>
            </w:pPr>
            <w:r>
              <w:rPr>
                <w:sz w:val="18"/>
              </w:rPr>
              <w:t>How much of the final gain comes from calibration, richer meta-features, and gating, respectively?</w:t>
            </w:r>
          </w:p>
        </w:tc>
        <w:tc>
          <w:tcPr>
            <w:tcW w:type="dxa" w:w="4536"/>
            <w:tcMar>
              <w:top w:w="80" w:type="dxa"/>
              <w:start w:w="100" w:type="dxa"/>
              <w:bottom w:w="80" w:type="dxa"/>
              <w:end w:w="100" w:type="dxa"/>
            </w:tcMar>
            <w:vAlign w:val="center"/>
          </w:tcPr>
          <w:p>
            <w:pPr>
              <w:spacing w:line="259" w:lineRule="auto" w:after="40"/>
              <w:jc w:val="center"/>
            </w:pPr>
            <w:r>
              <w:rPr>
                <w:sz w:val="18"/>
              </w:rPr>
              <w:t>This justifies the architecture through ablation rather than assertion.</w:t>
            </w:r>
          </w:p>
        </w:tc>
      </w:tr>
      <w:tr>
        <w:tc>
          <w:tcPr>
            <w:tcW w:type="dxa" w:w="1296"/>
            <w:tcMar>
              <w:top w:w="80" w:type="dxa"/>
              <w:start w:w="100" w:type="dxa"/>
              <w:bottom w:w="80" w:type="dxa"/>
              <w:end w:w="100" w:type="dxa"/>
            </w:tcMar>
            <w:shd w:fill="F8FBFF"/>
            <w:vAlign w:val="center"/>
          </w:tcPr>
          <w:p>
            <w:pPr>
              <w:spacing w:line="259" w:lineRule="auto" w:after="40"/>
              <w:jc w:val="center"/>
            </w:pPr>
            <w:r>
              <w:rPr>
                <w:sz w:val="18"/>
              </w:rPr>
              <w:t>H1</w:t>
            </w:r>
          </w:p>
        </w:tc>
        <w:tc>
          <w:tcPr>
            <w:tcW w:type="dxa" w:w="4032"/>
            <w:tcMar>
              <w:top w:w="80" w:type="dxa"/>
              <w:start w:w="100" w:type="dxa"/>
              <w:bottom w:w="80" w:type="dxa"/>
              <w:end w:w="100" w:type="dxa"/>
            </w:tcMar>
            <w:shd w:fill="F8FBFF"/>
            <w:vAlign w:val="center"/>
          </w:tcPr>
          <w:p>
            <w:pPr>
              <w:spacing w:line="259" w:lineRule="auto" w:after="40"/>
              <w:jc w:val="left"/>
            </w:pPr>
            <w:r>
              <w:rPr>
                <w:sz w:val="18"/>
              </w:rPr>
              <w:t>Consensus feature selection will improve macro F1 and calibration stability over all-features training.</w:t>
            </w:r>
          </w:p>
        </w:tc>
        <w:tc>
          <w:tcPr>
            <w:tcW w:type="dxa" w:w="4536"/>
            <w:tcMar>
              <w:top w:w="80" w:type="dxa"/>
              <w:start w:w="100" w:type="dxa"/>
              <w:bottom w:w="80" w:type="dxa"/>
              <w:end w:w="100" w:type="dxa"/>
            </w:tcMar>
            <w:shd w:fill="F8FBFF"/>
            <w:vAlign w:val="center"/>
          </w:tcPr>
          <w:p>
            <w:pPr>
              <w:spacing w:line="259" w:lineRule="auto" w:after="40"/>
              <w:jc w:val="center"/>
            </w:pPr>
            <w:r>
              <w:rPr>
                <w:sz w:val="18"/>
              </w:rPr>
              <w:t>Realistic and testable.</w:t>
            </w:r>
          </w:p>
        </w:tc>
      </w:tr>
      <w:tr>
        <w:tc>
          <w:tcPr>
            <w:tcW w:type="dxa" w:w="1296"/>
            <w:tcMar>
              <w:top w:w="80" w:type="dxa"/>
              <w:start w:w="100" w:type="dxa"/>
              <w:bottom w:w="80" w:type="dxa"/>
              <w:end w:w="100" w:type="dxa"/>
            </w:tcMar>
            <w:vAlign w:val="center"/>
          </w:tcPr>
          <w:p>
            <w:pPr>
              <w:spacing w:line="259" w:lineRule="auto" w:after="40"/>
              <w:jc w:val="center"/>
            </w:pPr>
            <w:r>
              <w:rPr>
                <w:sz w:val="18"/>
              </w:rPr>
              <w:t>H2</w:t>
            </w:r>
          </w:p>
        </w:tc>
        <w:tc>
          <w:tcPr>
            <w:tcW w:type="dxa" w:w="4032"/>
            <w:tcMar>
              <w:top w:w="80" w:type="dxa"/>
              <w:start w:w="100" w:type="dxa"/>
              <w:bottom w:w="80" w:type="dxa"/>
              <w:end w:w="100" w:type="dxa"/>
            </w:tcMar>
            <w:vAlign w:val="center"/>
          </w:tcPr>
          <w:p>
            <w:pPr>
              <w:spacing w:line="259" w:lineRule="auto" w:after="40"/>
              <w:jc w:val="left"/>
            </w:pPr>
            <w:r>
              <w:rPr>
                <w:sz w:val="18"/>
              </w:rPr>
              <w:t>Naive stacking will not consistently beat the best single model; calibrated disagreement-aware ensembling will.</w:t>
            </w:r>
          </w:p>
        </w:tc>
        <w:tc>
          <w:tcPr>
            <w:tcW w:type="dxa" w:w="4536"/>
            <w:tcMar>
              <w:top w:w="80" w:type="dxa"/>
              <w:start w:w="100" w:type="dxa"/>
              <w:bottom w:w="80" w:type="dxa"/>
              <w:end w:w="100" w:type="dxa"/>
            </w:tcMar>
            <w:vAlign w:val="center"/>
          </w:tcPr>
          <w:p>
            <w:pPr>
              <w:spacing w:line="259" w:lineRule="auto" w:after="40"/>
              <w:jc w:val="center"/>
            </w:pPr>
            <w:r>
              <w:rPr>
                <w:sz w:val="18"/>
              </w:rPr>
              <w:t>Directly fixes the weakness in the current manuscript.</w:t>
            </w:r>
          </w:p>
        </w:tc>
      </w:tr>
      <w:tr>
        <w:tc>
          <w:tcPr>
            <w:tcW w:type="dxa" w:w="1296"/>
            <w:tcMar>
              <w:top w:w="80" w:type="dxa"/>
              <w:start w:w="100" w:type="dxa"/>
              <w:bottom w:w="80" w:type="dxa"/>
              <w:end w:w="100" w:type="dxa"/>
            </w:tcMar>
            <w:shd w:fill="F8FBFF"/>
            <w:vAlign w:val="center"/>
          </w:tcPr>
          <w:p>
            <w:pPr>
              <w:spacing w:line="259" w:lineRule="auto" w:after="40"/>
              <w:jc w:val="center"/>
            </w:pPr>
            <w:r>
              <w:rPr>
                <w:sz w:val="18"/>
              </w:rPr>
              <w:t>H3</w:t>
            </w:r>
          </w:p>
        </w:tc>
        <w:tc>
          <w:tcPr>
            <w:tcW w:type="dxa" w:w="4032"/>
            <w:tcMar>
              <w:top w:w="80" w:type="dxa"/>
              <w:start w:w="100" w:type="dxa"/>
              <w:bottom w:w="80" w:type="dxa"/>
              <w:end w:w="100" w:type="dxa"/>
            </w:tcMar>
            <w:shd w:fill="F8FBFF"/>
            <w:vAlign w:val="center"/>
          </w:tcPr>
          <w:p>
            <w:pPr>
              <w:spacing w:line="259" w:lineRule="auto" w:after="40"/>
              <w:jc w:val="left"/>
            </w:pPr>
            <w:r>
              <w:rPr>
                <w:sz w:val="18"/>
              </w:rPr>
              <w:t>The largest gains will appear on multiclass reliability metrics rather than raw accuracy.</w:t>
            </w:r>
          </w:p>
        </w:tc>
        <w:tc>
          <w:tcPr>
            <w:tcW w:type="dxa" w:w="4536"/>
            <w:tcMar>
              <w:top w:w="80" w:type="dxa"/>
              <w:start w:w="100" w:type="dxa"/>
              <w:bottom w:w="80" w:type="dxa"/>
              <w:end w:w="100" w:type="dxa"/>
            </w:tcMar>
            <w:shd w:fill="F8FBFF"/>
            <w:vAlign w:val="center"/>
          </w:tcPr>
          <w:p>
            <w:pPr>
              <w:spacing w:line="259" w:lineRule="auto" w:after="40"/>
              <w:jc w:val="center"/>
            </w:pPr>
            <w:r>
              <w:rPr>
                <w:sz w:val="18"/>
              </w:rPr>
              <w:t>This helps position the paper beyond plain benchmark chasing.</w:t>
            </w:r>
          </w:p>
        </w:tc>
      </w:tr>
    </w:tbl>
    <w:p/>
    <w:p>
      <w:pPr>
        <w:pStyle w:val="Heading1"/>
      </w:pPr>
      <w:r>
        <w:t>6. Full manuscript architecture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1F4E78"/>
            <w:vAlign w:val="center"/>
            <w:tcMar>
              <w:top w:w="90" w:type="dxa"/>
              <w:start w:w="100" w:type="dxa"/>
              <w:bottom w:w="90" w:type="dxa"/>
              <w:end w:w="100" w:type="dxa"/>
            </w:tcMar>
          </w:tcPr>
          <w:p>
            <w:pPr>
              <w:spacing w:after="20"/>
              <w:jc w:val="center"/>
            </w:pPr>
            <w:r>
              <w:rPr>
                <w:b/>
                <w:color w:val="FFFFFF"/>
                <w:sz w:val="18"/>
              </w:rPr>
              <w:t>Section</w:t>
            </w:r>
          </w:p>
        </w:tc>
        <w:tc>
          <w:tcPr>
            <w:tcW w:type="dxa" w:w="4392"/>
            <w:shd w:fill="1F4E78"/>
            <w:vAlign w:val="center"/>
            <w:tcMar>
              <w:top w:w="90" w:type="dxa"/>
              <w:start w:w="100" w:type="dxa"/>
              <w:bottom w:w="90" w:type="dxa"/>
              <w:end w:w="100" w:type="dxa"/>
            </w:tcMar>
          </w:tcPr>
          <w:p>
            <w:pPr>
              <w:spacing w:after="20"/>
              <w:jc w:val="center"/>
            </w:pPr>
            <w:r>
              <w:rPr>
                <w:b/>
                <w:color w:val="FFFFFF"/>
                <w:sz w:val="18"/>
              </w:rPr>
              <w:t>What it must contain</w:t>
            </w:r>
          </w:p>
        </w:tc>
        <w:tc>
          <w:tcPr>
            <w:tcW w:type="dxa" w:w="3168"/>
            <w:shd w:fill="1F4E78"/>
            <w:vAlign w:val="center"/>
            <w:tcMar>
              <w:top w:w="90" w:type="dxa"/>
              <w:start w:w="100" w:type="dxa"/>
              <w:bottom w:w="90" w:type="dxa"/>
              <w:end w:w="100" w:type="dxa"/>
            </w:tcMar>
          </w:tcPr>
          <w:p>
            <w:pPr>
              <w:spacing w:after="20"/>
              <w:jc w:val="center"/>
            </w:pPr>
            <w:r>
              <w:rPr>
                <w:b/>
                <w:color w:val="FFFFFF"/>
                <w:sz w:val="18"/>
              </w:rPr>
              <w:t>What to avoid</w:t>
            </w:r>
          </w:p>
        </w:tc>
      </w:tr>
      <w:tr>
        <w:tc>
          <w:tcPr>
            <w:tcW w:type="dxa" w:w="2232"/>
            <w:tcMar>
              <w:top w:w="80" w:type="dxa"/>
              <w:start w:w="100" w:type="dxa"/>
              <w:bottom w:w="80" w:type="dxa"/>
              <w:end w:w="100" w:type="dxa"/>
            </w:tcMar>
            <w:shd w:fill="F8FBFF"/>
            <w:vAlign w:val="center"/>
          </w:tcPr>
          <w:p>
            <w:pPr>
              <w:spacing w:line="259" w:lineRule="auto" w:after="40"/>
              <w:jc w:val="center"/>
            </w:pPr>
            <w:r>
              <w:rPr>
                <w:sz w:val="18"/>
              </w:rPr>
              <w:t>Abstract</w:t>
            </w:r>
          </w:p>
        </w:tc>
        <w:tc>
          <w:tcPr>
            <w:tcW w:type="dxa" w:w="4392"/>
            <w:tcMar>
              <w:top w:w="80" w:type="dxa"/>
              <w:start w:w="100" w:type="dxa"/>
              <w:bottom w:w="80" w:type="dxa"/>
              <w:end w:w="100" w:type="dxa"/>
            </w:tcMar>
            <w:shd w:fill="F8FBFF"/>
            <w:vAlign w:val="center"/>
          </w:tcPr>
          <w:p>
            <w:pPr>
              <w:spacing w:line="259" w:lineRule="auto" w:after="40"/>
              <w:jc w:val="left"/>
            </w:pPr>
            <w:r>
              <w:rPr>
                <w:sz w:val="18"/>
              </w:rPr>
              <w:t>Problem, method, dataset, key metrics, strongest result, and calibrated ensemble contribution.</w:t>
            </w:r>
          </w:p>
        </w:tc>
        <w:tc>
          <w:tcPr>
            <w:tcW w:type="dxa" w:w="3168"/>
            <w:tcMar>
              <w:top w:w="80" w:type="dxa"/>
              <w:start w:w="100" w:type="dxa"/>
              <w:bottom w:w="80" w:type="dxa"/>
              <w:end w:w="100" w:type="dxa"/>
            </w:tcMar>
            <w:shd w:fill="F8FBFF"/>
            <w:vAlign w:val="center"/>
          </w:tcPr>
          <w:p>
            <w:pPr>
              <w:spacing w:line="259" w:lineRule="auto" w:after="40"/>
              <w:jc w:val="center"/>
            </w:pPr>
            <w:r>
              <w:rPr>
                <w:sz w:val="18"/>
              </w:rPr>
              <w:t>Do not list every experiment or every model.</w:t>
            </w:r>
          </w:p>
        </w:tc>
      </w:tr>
      <w:tr>
        <w:tc>
          <w:tcPr>
            <w:tcW w:type="dxa" w:w="2232"/>
            <w:tcMar>
              <w:top w:w="80" w:type="dxa"/>
              <w:start w:w="100" w:type="dxa"/>
              <w:bottom w:w="80" w:type="dxa"/>
              <w:end w:w="100" w:type="dxa"/>
            </w:tcMar>
            <w:vAlign w:val="center"/>
          </w:tcPr>
          <w:p>
            <w:pPr>
              <w:spacing w:line="259" w:lineRule="auto" w:after="40"/>
              <w:jc w:val="center"/>
            </w:pPr>
            <w:r>
              <w:rPr>
                <w:sz w:val="18"/>
              </w:rPr>
              <w:t>1. Introduction</w:t>
            </w:r>
          </w:p>
        </w:tc>
        <w:tc>
          <w:tcPr>
            <w:tcW w:type="dxa" w:w="4392"/>
            <w:tcMar>
              <w:top w:w="80" w:type="dxa"/>
              <w:start w:w="100" w:type="dxa"/>
              <w:bottom w:w="80" w:type="dxa"/>
              <w:end w:w="100" w:type="dxa"/>
            </w:tcMar>
            <w:vAlign w:val="center"/>
          </w:tcPr>
          <w:p>
            <w:pPr>
              <w:spacing w:line="259" w:lineRule="auto" w:after="40"/>
              <w:jc w:val="left"/>
            </w:pPr>
            <w:r>
              <w:rPr>
                <w:sz w:val="18"/>
              </w:rPr>
              <w:t>Why IDS papers often overclaim from static benchmarks; why ensemble reliability matters under imbalance; what gap this paper closes.</w:t>
            </w:r>
          </w:p>
        </w:tc>
        <w:tc>
          <w:tcPr>
            <w:tcW w:type="dxa" w:w="3168"/>
            <w:tcMar>
              <w:top w:w="80" w:type="dxa"/>
              <w:start w:w="100" w:type="dxa"/>
              <w:bottom w:w="80" w:type="dxa"/>
              <w:end w:w="100" w:type="dxa"/>
            </w:tcMar>
            <w:vAlign w:val="center"/>
          </w:tcPr>
          <w:p>
            <w:pPr>
              <w:spacing w:line="259" w:lineRule="auto" w:after="40"/>
              <w:jc w:val="center"/>
            </w:pPr>
            <w:r>
              <w:rPr>
                <w:sz w:val="18"/>
              </w:rPr>
              <w:t>Do not spend pages re-explaining basic IDS history.</w:t>
            </w:r>
          </w:p>
        </w:tc>
      </w:tr>
      <w:tr>
        <w:tc>
          <w:tcPr>
            <w:tcW w:type="dxa" w:w="2232"/>
            <w:tcMar>
              <w:top w:w="80" w:type="dxa"/>
              <w:start w:w="100" w:type="dxa"/>
              <w:bottom w:w="80" w:type="dxa"/>
              <w:end w:w="100" w:type="dxa"/>
            </w:tcMar>
            <w:shd w:fill="F8FBFF"/>
            <w:vAlign w:val="center"/>
          </w:tcPr>
          <w:p>
            <w:pPr>
              <w:spacing w:line="259" w:lineRule="auto" w:after="40"/>
              <w:jc w:val="center"/>
            </w:pPr>
            <w:r>
              <w:rPr>
                <w:sz w:val="18"/>
              </w:rPr>
              <w:t>2. Related Work</w:t>
            </w:r>
          </w:p>
        </w:tc>
        <w:tc>
          <w:tcPr>
            <w:tcW w:type="dxa" w:w="4392"/>
            <w:tcMar>
              <w:top w:w="80" w:type="dxa"/>
              <w:start w:w="100" w:type="dxa"/>
              <w:bottom w:w="80" w:type="dxa"/>
              <w:end w:w="100" w:type="dxa"/>
            </w:tcMar>
            <w:shd w:fill="F8FBFF"/>
            <w:vAlign w:val="center"/>
          </w:tcPr>
          <w:p>
            <w:pPr>
              <w:spacing w:line="259" w:lineRule="auto" w:after="40"/>
              <w:jc w:val="left"/>
            </w:pPr>
            <w:r>
              <w:rPr>
                <w:sz w:val="18"/>
              </w:rPr>
              <w:t>Three threads only: feature engineering for IDS, ensemble IDS, calibration/uncertainty in security ML.</w:t>
            </w:r>
          </w:p>
        </w:tc>
        <w:tc>
          <w:tcPr>
            <w:tcW w:type="dxa" w:w="3168"/>
            <w:tcMar>
              <w:top w:w="80" w:type="dxa"/>
              <w:start w:w="100" w:type="dxa"/>
              <w:bottom w:w="80" w:type="dxa"/>
              <w:end w:w="100" w:type="dxa"/>
            </w:tcMar>
            <w:shd w:fill="F8FBFF"/>
            <w:vAlign w:val="center"/>
          </w:tcPr>
          <w:p>
            <w:pPr>
              <w:spacing w:line="259" w:lineRule="auto" w:after="40"/>
              <w:jc w:val="center"/>
            </w:pPr>
            <w:r>
              <w:rPr>
                <w:sz w:val="18"/>
              </w:rPr>
              <w:t>Do not turn this into a long catalog of accuracy numbers.</w:t>
            </w:r>
          </w:p>
        </w:tc>
      </w:tr>
      <w:tr>
        <w:tc>
          <w:tcPr>
            <w:tcW w:type="dxa" w:w="2232"/>
            <w:tcMar>
              <w:top w:w="80" w:type="dxa"/>
              <w:start w:w="100" w:type="dxa"/>
              <w:bottom w:w="80" w:type="dxa"/>
              <w:end w:w="100" w:type="dxa"/>
            </w:tcMar>
            <w:vAlign w:val="center"/>
          </w:tcPr>
          <w:p>
            <w:pPr>
              <w:spacing w:line="259" w:lineRule="auto" w:after="40"/>
              <w:jc w:val="center"/>
            </w:pPr>
            <w:r>
              <w:rPr>
                <w:sz w:val="18"/>
              </w:rPr>
              <w:t>3. Problem Formulation and Contributions</w:t>
            </w:r>
          </w:p>
        </w:tc>
        <w:tc>
          <w:tcPr>
            <w:tcW w:type="dxa" w:w="4392"/>
            <w:tcMar>
              <w:top w:w="80" w:type="dxa"/>
              <w:start w:w="100" w:type="dxa"/>
              <w:bottom w:w="80" w:type="dxa"/>
              <w:end w:w="100" w:type="dxa"/>
            </w:tcMar>
            <w:vAlign w:val="center"/>
          </w:tcPr>
          <w:p>
            <w:pPr>
              <w:spacing w:line="259" w:lineRule="auto" w:after="40"/>
              <w:jc w:val="left"/>
            </w:pPr>
            <w:r>
              <w:rPr>
                <w:sz w:val="18"/>
              </w:rPr>
              <w:t>Formalize binary and multiclass tasks, define reliability goals, state contributions in 3–4 bullets.</w:t>
            </w:r>
          </w:p>
        </w:tc>
        <w:tc>
          <w:tcPr>
            <w:tcW w:type="dxa" w:w="3168"/>
            <w:tcMar>
              <w:top w:w="80" w:type="dxa"/>
              <w:start w:w="100" w:type="dxa"/>
              <w:bottom w:w="80" w:type="dxa"/>
              <w:end w:w="100" w:type="dxa"/>
            </w:tcMar>
            <w:vAlign w:val="center"/>
          </w:tcPr>
          <w:p>
            <w:pPr>
              <w:spacing w:line="259" w:lineRule="auto" w:after="40"/>
              <w:jc w:val="center"/>
            </w:pPr>
            <w:r>
              <w:rPr>
                <w:sz w:val="18"/>
              </w:rPr>
              <w:t>Do not hide the contribution statement until later.</w:t>
            </w:r>
          </w:p>
        </w:tc>
      </w:tr>
      <w:tr>
        <w:tc>
          <w:tcPr>
            <w:tcW w:type="dxa" w:w="2232"/>
            <w:tcMar>
              <w:top w:w="80" w:type="dxa"/>
              <w:start w:w="100" w:type="dxa"/>
              <w:bottom w:w="80" w:type="dxa"/>
              <w:end w:w="100" w:type="dxa"/>
            </w:tcMar>
            <w:shd w:fill="F8FBFF"/>
            <w:vAlign w:val="center"/>
          </w:tcPr>
          <w:p>
            <w:pPr>
              <w:spacing w:line="259" w:lineRule="auto" w:after="40"/>
              <w:jc w:val="center"/>
            </w:pPr>
            <w:r>
              <w:rPr>
                <w:sz w:val="18"/>
              </w:rPr>
              <w:t>4. Dataset and Leakage-Safe Preprocessing</w:t>
            </w:r>
          </w:p>
        </w:tc>
        <w:tc>
          <w:tcPr>
            <w:tcW w:type="dxa" w:w="4392"/>
            <w:tcMar>
              <w:top w:w="80" w:type="dxa"/>
              <w:start w:w="100" w:type="dxa"/>
              <w:bottom w:w="80" w:type="dxa"/>
              <w:end w:w="100" w:type="dxa"/>
            </w:tcMar>
            <w:shd w:fill="F8FBFF"/>
            <w:vAlign w:val="center"/>
          </w:tcPr>
          <w:p>
            <w:pPr>
              <w:spacing w:line="259" w:lineRule="auto" w:after="40"/>
              <w:jc w:val="left"/>
            </w:pPr>
            <w:r>
              <w:rPr>
                <w:sz w:val="18"/>
              </w:rPr>
              <w:t>Official UNSW split, feature schema, missingness handling, encoding policy by model family, leakage controls.</w:t>
            </w:r>
          </w:p>
        </w:tc>
        <w:tc>
          <w:tcPr>
            <w:tcW w:type="dxa" w:w="3168"/>
            <w:tcMar>
              <w:top w:w="80" w:type="dxa"/>
              <w:start w:w="100" w:type="dxa"/>
              <w:bottom w:w="80" w:type="dxa"/>
              <w:end w:w="100" w:type="dxa"/>
            </w:tcMar>
            <w:shd w:fill="F8FBFF"/>
            <w:vAlign w:val="center"/>
          </w:tcPr>
          <w:p>
            <w:pPr>
              <w:spacing w:line="259" w:lineRule="auto" w:after="40"/>
              <w:jc w:val="center"/>
            </w:pPr>
            <w:r>
              <w:rPr>
                <w:sz w:val="18"/>
              </w:rPr>
              <w:t>Do not mix tree-friendly encoding decisions with KNN / linear branches.</w:t>
            </w:r>
          </w:p>
        </w:tc>
      </w:tr>
      <w:tr>
        <w:tc>
          <w:tcPr>
            <w:tcW w:type="dxa" w:w="2232"/>
            <w:tcMar>
              <w:top w:w="80" w:type="dxa"/>
              <w:start w:w="100" w:type="dxa"/>
              <w:bottom w:w="80" w:type="dxa"/>
              <w:end w:w="100" w:type="dxa"/>
            </w:tcMar>
            <w:vAlign w:val="center"/>
          </w:tcPr>
          <w:p>
            <w:pPr>
              <w:spacing w:line="259" w:lineRule="auto" w:after="40"/>
              <w:jc w:val="center"/>
            </w:pPr>
            <w:r>
              <w:rPr>
                <w:sz w:val="18"/>
              </w:rPr>
              <w:t>5. Engineered Features</w:t>
            </w:r>
          </w:p>
        </w:tc>
        <w:tc>
          <w:tcPr>
            <w:tcW w:type="dxa" w:w="4392"/>
            <w:tcMar>
              <w:top w:w="80" w:type="dxa"/>
              <w:start w:w="100" w:type="dxa"/>
              <w:bottom w:w="80" w:type="dxa"/>
              <w:end w:w="100" w:type="dxa"/>
            </w:tcMar>
            <w:vAlign w:val="center"/>
          </w:tcPr>
          <w:p>
            <w:pPr>
              <w:spacing w:line="259" w:lineRule="auto" w:after="40"/>
              <w:jc w:val="left"/>
            </w:pPr>
            <w:r>
              <w:rPr>
                <w:sz w:val="18"/>
              </w:rPr>
              <w:t>Clean table with all engineered features, definitions, intuition, and whether each uses thresholds learned on training only.</w:t>
            </w:r>
          </w:p>
        </w:tc>
        <w:tc>
          <w:tcPr>
            <w:tcW w:type="dxa" w:w="3168"/>
            <w:tcMar>
              <w:top w:w="80" w:type="dxa"/>
              <w:start w:w="100" w:type="dxa"/>
              <w:bottom w:w="80" w:type="dxa"/>
              <w:end w:w="100" w:type="dxa"/>
            </w:tcMar>
            <w:vAlign w:val="center"/>
          </w:tcPr>
          <w:p>
            <w:pPr>
              <w:spacing w:line="259" w:lineRule="auto" w:after="40"/>
              <w:jc w:val="center"/>
            </w:pPr>
            <w:r>
              <w:rPr>
                <w:sz w:val="18"/>
              </w:rPr>
              <w:t>No unresolved references, no vague feature descriptions.</w:t>
            </w:r>
          </w:p>
        </w:tc>
      </w:tr>
      <w:tr>
        <w:tc>
          <w:tcPr>
            <w:tcW w:type="dxa" w:w="2232"/>
            <w:tcMar>
              <w:top w:w="80" w:type="dxa"/>
              <w:start w:w="100" w:type="dxa"/>
              <w:bottom w:w="80" w:type="dxa"/>
              <w:end w:w="100" w:type="dxa"/>
            </w:tcMar>
            <w:shd w:fill="F8FBFF"/>
            <w:vAlign w:val="center"/>
          </w:tcPr>
          <w:p>
            <w:pPr>
              <w:spacing w:line="259" w:lineRule="auto" w:after="40"/>
              <w:jc w:val="center"/>
            </w:pPr>
            <w:r>
              <w:rPr>
                <w:sz w:val="18"/>
              </w:rPr>
              <w:t>6. Stability-Weighted Consensus Feature Selection</w:t>
            </w:r>
          </w:p>
        </w:tc>
        <w:tc>
          <w:tcPr>
            <w:tcW w:type="dxa" w:w="4392"/>
            <w:tcMar>
              <w:top w:w="80" w:type="dxa"/>
              <w:start w:w="100" w:type="dxa"/>
              <w:bottom w:w="80" w:type="dxa"/>
              <w:end w:w="100" w:type="dxa"/>
            </w:tcMar>
            <w:shd w:fill="F8FBFF"/>
            <w:vAlign w:val="center"/>
          </w:tcPr>
          <w:p>
            <w:pPr>
              <w:spacing w:line="259" w:lineRule="auto" w:after="40"/>
              <w:jc w:val="left"/>
            </w:pPr>
            <w:r>
              <w:rPr>
                <w:sz w:val="18"/>
              </w:rPr>
              <w:t>Selectors, inner-fold aggregation, stability score, selection rule, and why this is better than one-shot voting.</w:t>
            </w:r>
          </w:p>
        </w:tc>
        <w:tc>
          <w:tcPr>
            <w:tcW w:type="dxa" w:w="3168"/>
            <w:tcMar>
              <w:top w:w="80" w:type="dxa"/>
              <w:start w:w="100" w:type="dxa"/>
              <w:bottom w:w="80" w:type="dxa"/>
              <w:end w:w="100" w:type="dxa"/>
            </w:tcMar>
            <w:shd w:fill="F8FBFF"/>
            <w:vAlign w:val="center"/>
          </w:tcPr>
          <w:p>
            <w:pPr>
              <w:spacing w:line="259" w:lineRule="auto" w:after="40"/>
              <w:jc w:val="center"/>
            </w:pPr>
            <w:r>
              <w:rPr>
                <w:sz w:val="18"/>
              </w:rPr>
              <w:t>Do not rely on one validation split.</w:t>
            </w:r>
          </w:p>
        </w:tc>
      </w:tr>
      <w:tr>
        <w:tc>
          <w:tcPr>
            <w:tcW w:type="dxa" w:w="2232"/>
            <w:tcMar>
              <w:top w:w="80" w:type="dxa"/>
              <w:start w:w="100" w:type="dxa"/>
              <w:bottom w:w="80" w:type="dxa"/>
              <w:end w:w="100" w:type="dxa"/>
            </w:tcMar>
            <w:vAlign w:val="center"/>
          </w:tcPr>
          <w:p>
            <w:pPr>
              <w:spacing w:line="259" w:lineRule="auto" w:after="40"/>
              <w:jc w:val="center"/>
            </w:pPr>
            <w:r>
              <w:rPr>
                <w:sz w:val="18"/>
              </w:rPr>
              <w:t>7. Proposed Ensemble</w:t>
            </w:r>
          </w:p>
        </w:tc>
        <w:tc>
          <w:tcPr>
            <w:tcW w:type="dxa" w:w="4392"/>
            <w:tcMar>
              <w:top w:w="80" w:type="dxa"/>
              <w:start w:w="100" w:type="dxa"/>
              <w:bottom w:w="80" w:type="dxa"/>
              <w:end w:w="100" w:type="dxa"/>
            </w:tcMar>
            <w:vAlign w:val="center"/>
          </w:tcPr>
          <w:p>
            <w:pPr>
              <w:spacing w:line="259" w:lineRule="auto" w:after="40"/>
              <w:jc w:val="left"/>
            </w:pPr>
            <w:r>
              <w:rPr>
                <w:sz w:val="18"/>
              </w:rPr>
              <w:t>Base learners, calibration, out-of-fold meta-feature construction, disagreement features, gate/blender, and inference path.</w:t>
            </w:r>
          </w:p>
        </w:tc>
        <w:tc>
          <w:tcPr>
            <w:tcW w:type="dxa" w:w="3168"/>
            <w:tcMar>
              <w:top w:w="80" w:type="dxa"/>
              <w:start w:w="100" w:type="dxa"/>
              <w:bottom w:w="80" w:type="dxa"/>
              <w:end w:w="100" w:type="dxa"/>
            </w:tcMar>
            <w:vAlign w:val="center"/>
          </w:tcPr>
          <w:p>
            <w:pPr>
              <w:spacing w:line="259" w:lineRule="auto" w:after="40"/>
              <w:jc w:val="center"/>
            </w:pPr>
            <w:r>
              <w:rPr>
                <w:sz w:val="18"/>
              </w:rPr>
              <w:t>Do not compress multiclass probabilities into max-probability only.</w:t>
            </w:r>
          </w:p>
        </w:tc>
      </w:tr>
      <w:tr>
        <w:tc>
          <w:tcPr>
            <w:tcW w:type="dxa" w:w="2232"/>
            <w:tcMar>
              <w:top w:w="80" w:type="dxa"/>
              <w:start w:w="100" w:type="dxa"/>
              <w:bottom w:w="80" w:type="dxa"/>
              <w:end w:w="100" w:type="dxa"/>
            </w:tcMar>
            <w:shd w:fill="F8FBFF"/>
            <w:vAlign w:val="center"/>
          </w:tcPr>
          <w:p>
            <w:pPr>
              <w:spacing w:line="259" w:lineRule="auto" w:after="40"/>
              <w:jc w:val="center"/>
            </w:pPr>
            <w:r>
              <w:rPr>
                <w:sz w:val="18"/>
              </w:rPr>
              <w:t>8. Experimental Design</w:t>
            </w:r>
          </w:p>
        </w:tc>
        <w:tc>
          <w:tcPr>
            <w:tcW w:type="dxa" w:w="4392"/>
            <w:tcMar>
              <w:top w:w="80" w:type="dxa"/>
              <w:start w:w="100" w:type="dxa"/>
              <w:bottom w:w="80" w:type="dxa"/>
              <w:end w:w="100" w:type="dxa"/>
            </w:tcMar>
            <w:shd w:fill="F8FBFF"/>
            <w:vAlign w:val="center"/>
          </w:tcPr>
          <w:p>
            <w:pPr>
              <w:spacing w:line="259" w:lineRule="auto" w:after="40"/>
              <w:jc w:val="left"/>
            </w:pPr>
            <w:r>
              <w:rPr>
                <w:sz w:val="18"/>
              </w:rPr>
              <w:t>Nested CV on train, locked test evaluation, metrics, statistical tests, and ablation plan.</w:t>
            </w:r>
          </w:p>
        </w:tc>
        <w:tc>
          <w:tcPr>
            <w:tcW w:type="dxa" w:w="3168"/>
            <w:tcMar>
              <w:top w:w="80" w:type="dxa"/>
              <w:start w:w="100" w:type="dxa"/>
              <w:bottom w:w="80" w:type="dxa"/>
              <w:end w:w="100" w:type="dxa"/>
            </w:tcMar>
            <w:shd w:fill="F8FBFF"/>
            <w:vAlign w:val="center"/>
          </w:tcPr>
          <w:p>
            <w:pPr>
              <w:spacing w:line="259" w:lineRule="auto" w:after="40"/>
              <w:jc w:val="center"/>
            </w:pPr>
            <w:r>
              <w:rPr>
                <w:sz w:val="18"/>
              </w:rPr>
              <w:t>Do not let tables imply that CV and test are the same thing.</w:t>
            </w:r>
          </w:p>
        </w:tc>
      </w:tr>
      <w:tr>
        <w:tc>
          <w:tcPr>
            <w:tcW w:type="dxa" w:w="2232"/>
            <w:tcMar>
              <w:top w:w="80" w:type="dxa"/>
              <w:start w:w="100" w:type="dxa"/>
              <w:bottom w:w="80" w:type="dxa"/>
              <w:end w:w="100" w:type="dxa"/>
            </w:tcMar>
            <w:vAlign w:val="center"/>
          </w:tcPr>
          <w:p>
            <w:pPr>
              <w:spacing w:line="259" w:lineRule="auto" w:after="40"/>
              <w:jc w:val="center"/>
            </w:pPr>
            <w:r>
              <w:rPr>
                <w:sz w:val="18"/>
              </w:rPr>
              <w:t>9. Results</w:t>
            </w:r>
          </w:p>
        </w:tc>
        <w:tc>
          <w:tcPr>
            <w:tcW w:type="dxa" w:w="4392"/>
            <w:tcMar>
              <w:top w:w="80" w:type="dxa"/>
              <w:start w:w="100" w:type="dxa"/>
              <w:bottom w:w="80" w:type="dxa"/>
              <w:end w:w="100" w:type="dxa"/>
            </w:tcMar>
            <w:vAlign w:val="center"/>
          </w:tcPr>
          <w:p>
            <w:pPr>
              <w:spacing w:line="259" w:lineRule="auto" w:after="40"/>
              <w:jc w:val="left"/>
            </w:pPr>
            <w:r>
              <w:rPr>
                <w:sz w:val="18"/>
              </w:rPr>
              <w:t>Binary results secondary; multiclass results primary; calibration tables; ablations; error analysis; class-wise confusion and PR behavior.</w:t>
            </w:r>
          </w:p>
        </w:tc>
        <w:tc>
          <w:tcPr>
            <w:tcW w:type="dxa" w:w="3168"/>
            <w:tcMar>
              <w:top w:w="80" w:type="dxa"/>
              <w:start w:w="100" w:type="dxa"/>
              <w:bottom w:w="80" w:type="dxa"/>
              <w:end w:w="100" w:type="dxa"/>
            </w:tcMar>
            <w:vAlign w:val="center"/>
          </w:tcPr>
          <w:p>
            <w:pPr>
              <w:spacing w:line="259" w:lineRule="auto" w:after="40"/>
              <w:jc w:val="center"/>
            </w:pPr>
            <w:r>
              <w:rPr>
                <w:sz w:val="18"/>
              </w:rPr>
              <w:t>Do not bury the main positive result behind side experiments.</w:t>
            </w:r>
          </w:p>
        </w:tc>
      </w:tr>
      <w:tr>
        <w:tc>
          <w:tcPr>
            <w:tcW w:type="dxa" w:w="2232"/>
            <w:tcMar>
              <w:top w:w="80" w:type="dxa"/>
              <w:start w:w="100" w:type="dxa"/>
              <w:bottom w:w="80" w:type="dxa"/>
              <w:end w:w="100" w:type="dxa"/>
            </w:tcMar>
            <w:shd w:fill="F8FBFF"/>
            <w:vAlign w:val="center"/>
          </w:tcPr>
          <w:p>
            <w:pPr>
              <w:spacing w:line="259" w:lineRule="auto" w:after="40"/>
              <w:jc w:val="center"/>
            </w:pPr>
            <w:r>
              <w:rPr>
                <w:sz w:val="18"/>
              </w:rPr>
              <w:t>10. Discussion</w:t>
            </w:r>
          </w:p>
        </w:tc>
        <w:tc>
          <w:tcPr>
            <w:tcW w:type="dxa" w:w="4392"/>
            <w:tcMar>
              <w:top w:w="80" w:type="dxa"/>
              <w:start w:w="100" w:type="dxa"/>
              <w:bottom w:w="80" w:type="dxa"/>
              <w:end w:w="100" w:type="dxa"/>
            </w:tcMar>
            <w:shd w:fill="F8FBFF"/>
            <w:vAlign w:val="center"/>
          </w:tcPr>
          <w:p>
            <w:pPr>
              <w:spacing w:line="259" w:lineRule="auto" w:after="40"/>
              <w:jc w:val="left"/>
            </w:pPr>
            <w:r>
              <w:rPr>
                <w:sz w:val="18"/>
              </w:rPr>
              <w:t>Why the ensemble works, when it does not, what calibration and disagreement contribute, and how this compares to the strongest baseline.</w:t>
            </w:r>
          </w:p>
        </w:tc>
        <w:tc>
          <w:tcPr>
            <w:tcW w:type="dxa" w:w="3168"/>
            <w:tcMar>
              <w:top w:w="80" w:type="dxa"/>
              <w:start w:w="100" w:type="dxa"/>
              <w:bottom w:w="80" w:type="dxa"/>
              <w:end w:w="100" w:type="dxa"/>
            </w:tcMar>
            <w:shd w:fill="F8FBFF"/>
            <w:vAlign w:val="center"/>
          </w:tcPr>
          <w:p>
            <w:pPr>
              <w:spacing w:line="259" w:lineRule="auto" w:after="40"/>
              <w:jc w:val="center"/>
            </w:pPr>
            <w:r>
              <w:rPr>
                <w:sz w:val="18"/>
              </w:rPr>
              <w:t>Do not overclaim generalization beyond UNSW-NB15.</w:t>
            </w:r>
          </w:p>
        </w:tc>
      </w:tr>
      <w:tr>
        <w:tc>
          <w:tcPr>
            <w:tcW w:type="dxa" w:w="2232"/>
            <w:tcMar>
              <w:top w:w="80" w:type="dxa"/>
              <w:start w:w="100" w:type="dxa"/>
              <w:bottom w:w="80" w:type="dxa"/>
              <w:end w:w="100" w:type="dxa"/>
            </w:tcMar>
            <w:vAlign w:val="center"/>
          </w:tcPr>
          <w:p>
            <w:pPr>
              <w:spacing w:line="259" w:lineRule="auto" w:after="40"/>
              <w:jc w:val="center"/>
            </w:pPr>
            <w:r>
              <w:rPr>
                <w:sz w:val="18"/>
              </w:rPr>
              <w:t>11. Limitations</w:t>
            </w:r>
          </w:p>
        </w:tc>
        <w:tc>
          <w:tcPr>
            <w:tcW w:type="dxa" w:w="4392"/>
            <w:tcMar>
              <w:top w:w="80" w:type="dxa"/>
              <w:start w:w="100" w:type="dxa"/>
              <w:bottom w:w="80" w:type="dxa"/>
              <w:end w:w="100" w:type="dxa"/>
            </w:tcMar>
            <w:vAlign w:val="center"/>
          </w:tcPr>
          <w:p>
            <w:pPr>
              <w:spacing w:line="259" w:lineRule="auto" w:after="40"/>
              <w:jc w:val="left"/>
            </w:pPr>
            <w:r>
              <w:rPr>
                <w:sz w:val="18"/>
              </w:rPr>
              <w:t>Static benchmark, no packet sequence modeling, no external deployment claim, no fairness across network domains.</w:t>
            </w:r>
          </w:p>
        </w:tc>
        <w:tc>
          <w:tcPr>
            <w:tcW w:type="dxa" w:w="3168"/>
            <w:tcMar>
              <w:top w:w="80" w:type="dxa"/>
              <w:start w:w="100" w:type="dxa"/>
              <w:bottom w:w="80" w:type="dxa"/>
              <w:end w:w="100" w:type="dxa"/>
            </w:tcMar>
            <w:vAlign w:val="center"/>
          </w:tcPr>
          <w:p>
            <w:pPr>
              <w:spacing w:line="259" w:lineRule="auto" w:after="40"/>
              <w:jc w:val="center"/>
            </w:pPr>
            <w:r>
              <w:rPr>
                <w:sz w:val="18"/>
              </w:rPr>
              <w:t>Do not pretend the limitations are minor.</w:t>
            </w:r>
          </w:p>
        </w:tc>
      </w:tr>
      <w:tr>
        <w:tc>
          <w:tcPr>
            <w:tcW w:type="dxa" w:w="2232"/>
            <w:tcMar>
              <w:top w:w="80" w:type="dxa"/>
              <w:start w:w="100" w:type="dxa"/>
              <w:bottom w:w="80" w:type="dxa"/>
              <w:end w:w="100" w:type="dxa"/>
            </w:tcMar>
            <w:shd w:fill="F8FBFF"/>
            <w:vAlign w:val="center"/>
          </w:tcPr>
          <w:p>
            <w:pPr>
              <w:spacing w:line="259" w:lineRule="auto" w:after="40"/>
              <w:jc w:val="center"/>
            </w:pPr>
            <w:r>
              <w:rPr>
                <w:sz w:val="18"/>
              </w:rPr>
              <w:t>12. Conclusion</w:t>
            </w:r>
          </w:p>
        </w:tc>
        <w:tc>
          <w:tcPr>
            <w:tcW w:type="dxa" w:w="4392"/>
            <w:tcMar>
              <w:top w:w="80" w:type="dxa"/>
              <w:start w:w="100" w:type="dxa"/>
              <w:bottom w:w="80" w:type="dxa"/>
              <w:end w:w="100" w:type="dxa"/>
            </w:tcMar>
            <w:shd w:fill="F8FBFF"/>
            <w:vAlign w:val="center"/>
          </w:tcPr>
          <w:p>
            <w:pPr>
              <w:spacing w:line="259" w:lineRule="auto" w:after="40"/>
              <w:jc w:val="left"/>
            </w:pPr>
            <w:r>
              <w:rPr>
                <w:sz w:val="18"/>
              </w:rPr>
              <w:t>Narrow and precise close: the value is reliability-aware ensemble design on an imbalanced benchmark.</w:t>
            </w:r>
          </w:p>
        </w:tc>
        <w:tc>
          <w:tcPr>
            <w:tcW w:type="dxa" w:w="3168"/>
            <w:tcMar>
              <w:top w:w="80" w:type="dxa"/>
              <w:start w:w="100" w:type="dxa"/>
              <w:bottom w:w="80" w:type="dxa"/>
              <w:end w:w="100" w:type="dxa"/>
            </w:tcMar>
            <w:shd w:fill="F8FBFF"/>
            <w:vAlign w:val="center"/>
          </w:tcPr>
          <w:p>
            <w:pPr>
              <w:spacing w:line="259" w:lineRule="auto" w:after="40"/>
              <w:jc w:val="center"/>
            </w:pPr>
            <w:r>
              <w:rPr>
                <w:sz w:val="18"/>
              </w:rPr>
              <w:t>Avoid sweeping future-of-cybersecurity language.</w:t>
            </w:r>
          </w:p>
        </w:tc>
      </w:tr>
      <w:tr>
        <w:tc>
          <w:tcPr>
            <w:tcW w:type="dxa" w:w="2232"/>
            <w:tcMar>
              <w:top w:w="80" w:type="dxa"/>
              <w:start w:w="100" w:type="dxa"/>
              <w:bottom w:w="80" w:type="dxa"/>
              <w:end w:w="100" w:type="dxa"/>
            </w:tcMar>
            <w:vAlign w:val="center"/>
          </w:tcPr>
          <w:p>
            <w:pPr>
              <w:spacing w:line="259" w:lineRule="auto" w:after="40"/>
              <w:jc w:val="center"/>
            </w:pPr>
            <w:r>
              <w:rPr>
                <w:sz w:val="18"/>
              </w:rPr>
              <w:t>Appendix</w:t>
            </w:r>
          </w:p>
        </w:tc>
        <w:tc>
          <w:tcPr>
            <w:tcW w:type="dxa" w:w="4392"/>
            <w:tcMar>
              <w:top w:w="80" w:type="dxa"/>
              <w:start w:w="100" w:type="dxa"/>
              <w:bottom w:w="80" w:type="dxa"/>
              <w:end w:w="100" w:type="dxa"/>
            </w:tcMar>
            <w:vAlign w:val="center"/>
          </w:tcPr>
          <w:p>
            <w:pPr>
              <w:spacing w:line="259" w:lineRule="auto" w:after="40"/>
              <w:jc w:val="left"/>
            </w:pPr>
            <w:r>
              <w:rPr>
                <w:sz w:val="18"/>
              </w:rPr>
              <w:t>Hyperparameter grids, extra plots, optional specialist appendix only if strong and concise.</w:t>
            </w:r>
          </w:p>
        </w:tc>
        <w:tc>
          <w:tcPr>
            <w:tcW w:type="dxa" w:w="3168"/>
            <w:tcMar>
              <w:top w:w="80" w:type="dxa"/>
              <w:start w:w="100" w:type="dxa"/>
              <w:bottom w:w="80" w:type="dxa"/>
              <w:end w:w="100" w:type="dxa"/>
            </w:tcMar>
            <w:vAlign w:val="center"/>
          </w:tcPr>
          <w:p>
            <w:pPr>
              <w:spacing w:line="259" w:lineRule="auto" w:after="40"/>
              <w:jc w:val="center"/>
            </w:pPr>
            <w:r>
              <w:rPr>
                <w:sz w:val="18"/>
              </w:rPr>
              <w:t>Keep weak side analyses out of the main body.</w:t>
            </w:r>
          </w:p>
        </w:tc>
      </w:tr>
    </w:tbl>
    <w:p/>
    <w:p>
      <w:pPr>
        <w:pStyle w:val="Heading1"/>
      </w:pPr>
      <w:r>
        <w:t>7. Proposed ensemble architecture</w:t>
      </w:r>
    </w:p>
    <w:p>
      <w:pPr>
        <w:spacing w:after="120"/>
      </w:pPr>
      <w:r>
        <w:t>This should be the centerpiece of the new paper. It stays faithful to your manuscript's ensemble focus, but fixes the biggest design flaw: weak meta-features.</w:t>
      </w:r>
    </w:p>
    <w:p>
      <w:pPr>
        <w:pStyle w:val="ListBullet"/>
        <w:spacing w:after="60"/>
        <w:ind w:left="0"/>
      </w:pPr>
      <w:r>
        <w:rPr>
          <w:b/>
        </w:rPr>
        <w:t>Base models</w:t>
      </w:r>
      <w:r>
        <w:t>: Random Forest, Extra Trees, XGBoost, and KNN. Keep the original diversity, but run KNN in its own pipeline with one-hot encoding and proper scaling.</w:t>
      </w:r>
    </w:p>
    <w:p>
      <w:pPr>
        <w:pStyle w:val="ListBullet"/>
        <w:spacing w:after="60"/>
        <w:ind w:left="0"/>
      </w:pPr>
      <w:r>
        <w:rPr>
          <w:b/>
        </w:rPr>
        <w:t>Probability calibration</w:t>
      </w:r>
      <w:r>
        <w:t>: fit a calibration layer for each base learner on out-of-fold predictions from the training set. Evaluate isotonic versus sigmoid and lock the better option per model using inner validation only.</w:t>
      </w:r>
    </w:p>
    <w:p>
      <w:pPr>
        <w:pStyle w:val="ListBullet"/>
        <w:spacing w:after="60"/>
        <w:ind w:left="0"/>
      </w:pPr>
      <w:r>
        <w:rPr>
          <w:b/>
        </w:rPr>
        <w:t>Meta-features</w:t>
      </w:r>
      <w:r>
        <w:t>: use full calibrated class-probability vectors from each base model, plus per-model entropy, margin, max probability, vote agreement count, probability variance, and ensemble vote entropy.</w:t>
      </w:r>
    </w:p>
    <w:p>
      <w:pPr>
        <w:pStyle w:val="ListBullet"/>
        <w:spacing w:after="60"/>
        <w:ind w:left="0"/>
      </w:pPr>
      <w:r>
        <w:rPr>
          <w:b/>
        </w:rPr>
        <w:t>Disagreement-aware gate</w:t>
      </w:r>
      <w:r>
        <w:t>: train a lightweight blender that outputs a mixing coefficient between the stacker and the weighted average. The gate uses uncertainty and disagreement meta-features, not raw handcrafted rules.</w:t>
      </w:r>
    </w:p>
    <w:p>
      <w:pPr>
        <w:pStyle w:val="ListBullet"/>
        <w:spacing w:after="60"/>
        <w:ind w:left="0"/>
      </w:pPr>
      <w:r>
        <w:rPr>
          <w:b/>
        </w:rPr>
        <w:t>Final prediction</w:t>
      </w:r>
      <w:r>
        <w:t>: p_final = beta(x) · p_stack + (1 - beta(x)) · p_weighted, where beta(x) is learned from out-of-fold meta-data.</w:t>
      </w:r>
    </w:p>
    <w:p>
      <w:pPr>
        <w:pStyle w:val="ListBullet"/>
        <w:spacing w:after="60"/>
        <w:ind w:left="0"/>
      </w:pPr>
      <w:r>
        <w:rPr>
          <w:b/>
        </w:rPr>
        <w:t>Why this is publishable</w:t>
      </w:r>
      <w:r>
        <w:t>: it is novel enough to matter, still simple enough to defend, and directly answers why your original stacking setup underperformed.</w:t>
      </w:r>
    </w:p>
    <w:p>
      <w:pPr>
        <w:pStyle w:val="Heading1"/>
      </w:pPr>
      <w:r>
        <w:t>8. Evaluation protocol that will survive review</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1F4E78"/>
            <w:vAlign w:val="center"/>
            <w:tcMar>
              <w:top w:w="90" w:type="dxa"/>
              <w:start w:w="100" w:type="dxa"/>
              <w:bottom w:w="90" w:type="dxa"/>
              <w:end w:w="100" w:type="dxa"/>
            </w:tcMar>
          </w:tcPr>
          <w:p>
            <w:pPr>
              <w:spacing w:after="20"/>
              <w:jc w:val="center"/>
            </w:pPr>
            <w:r>
              <w:rPr>
                <w:b/>
                <w:color w:val="FFFFFF"/>
                <w:sz w:val="18"/>
              </w:rPr>
              <w:t>Design choice</w:t>
            </w:r>
          </w:p>
        </w:tc>
        <w:tc>
          <w:tcPr>
            <w:tcW w:type="dxa" w:w="7200"/>
            <w:shd w:fill="1F4E78"/>
            <w:vAlign w:val="center"/>
            <w:tcMar>
              <w:top w:w="90" w:type="dxa"/>
              <w:start w:w="100" w:type="dxa"/>
              <w:bottom w:w="90" w:type="dxa"/>
              <w:end w:w="100" w:type="dxa"/>
            </w:tcMar>
          </w:tcPr>
          <w:p>
            <w:pPr>
              <w:spacing w:after="20"/>
              <w:jc w:val="center"/>
            </w:pPr>
            <w:r>
              <w:rPr>
                <w:b/>
                <w:color w:val="FFFFFF"/>
                <w:sz w:val="18"/>
              </w:rPr>
              <w:t>Required implementation</w:t>
            </w:r>
          </w:p>
        </w:tc>
      </w:tr>
      <w:tr>
        <w:tc>
          <w:tcPr>
            <w:tcW w:type="dxa" w:w="2304"/>
            <w:tcMar>
              <w:top w:w="80" w:type="dxa"/>
              <w:start w:w="100" w:type="dxa"/>
              <w:bottom w:w="80" w:type="dxa"/>
              <w:end w:w="100" w:type="dxa"/>
            </w:tcMar>
            <w:shd w:fill="F8FBFF"/>
            <w:vAlign w:val="center"/>
          </w:tcPr>
          <w:p>
            <w:pPr>
              <w:spacing w:line="259" w:lineRule="auto" w:after="40"/>
              <w:jc w:val="center"/>
            </w:pPr>
            <w:r>
              <w:rPr>
                <w:sz w:val="18"/>
              </w:rPr>
              <w:t>Data split</w:t>
            </w:r>
          </w:p>
        </w:tc>
        <w:tc>
          <w:tcPr>
            <w:tcW w:type="dxa" w:w="7200"/>
            <w:tcMar>
              <w:top w:w="80" w:type="dxa"/>
              <w:start w:w="100" w:type="dxa"/>
              <w:bottom w:w="80" w:type="dxa"/>
              <w:end w:w="100" w:type="dxa"/>
            </w:tcMar>
            <w:shd w:fill="F8FBFF"/>
            <w:vAlign w:val="center"/>
          </w:tcPr>
          <w:p>
            <w:pPr>
              <w:spacing w:line="259" w:lineRule="auto" w:after="40"/>
              <w:jc w:val="left"/>
            </w:pPr>
            <w:r>
              <w:rPr>
                <w:sz w:val="18"/>
              </w:rPr>
              <w:t>Use the official UNSW-NB15 train/test split. All tuning, calibration, feature selection, and meta-feature generation occur strictly inside the training data.</w:t>
            </w:r>
          </w:p>
        </w:tc>
      </w:tr>
      <w:tr>
        <w:tc>
          <w:tcPr>
            <w:tcW w:type="dxa" w:w="2304"/>
            <w:tcMar>
              <w:top w:w="80" w:type="dxa"/>
              <w:start w:w="100" w:type="dxa"/>
              <w:bottom w:w="80" w:type="dxa"/>
              <w:end w:w="100" w:type="dxa"/>
            </w:tcMar>
            <w:vAlign w:val="center"/>
          </w:tcPr>
          <w:p>
            <w:pPr>
              <w:spacing w:line="259" w:lineRule="auto" w:after="40"/>
              <w:jc w:val="center"/>
            </w:pPr>
            <w:r>
              <w:rPr>
                <w:sz w:val="18"/>
              </w:rPr>
              <w:t>Model selection</w:t>
            </w:r>
          </w:p>
        </w:tc>
        <w:tc>
          <w:tcPr>
            <w:tcW w:type="dxa" w:w="7200"/>
            <w:tcMar>
              <w:top w:w="80" w:type="dxa"/>
              <w:start w:w="100" w:type="dxa"/>
              <w:bottom w:w="80" w:type="dxa"/>
              <w:end w:w="100" w:type="dxa"/>
            </w:tcMar>
            <w:vAlign w:val="center"/>
          </w:tcPr>
          <w:p>
            <w:pPr>
              <w:spacing w:line="259" w:lineRule="auto" w:after="40"/>
              <w:jc w:val="left"/>
            </w:pPr>
            <w:r>
              <w:rPr>
                <w:sz w:val="18"/>
              </w:rPr>
              <w:t>Nested CV on the training split. Inner folds choose feature count, selector weighting, calibration method, and hyperparameters. Outer folds estimate training-time performance.</w:t>
            </w:r>
          </w:p>
        </w:tc>
      </w:tr>
      <w:tr>
        <w:tc>
          <w:tcPr>
            <w:tcW w:type="dxa" w:w="2304"/>
            <w:tcMar>
              <w:top w:w="80" w:type="dxa"/>
              <w:start w:w="100" w:type="dxa"/>
              <w:bottom w:w="80" w:type="dxa"/>
              <w:end w:w="100" w:type="dxa"/>
            </w:tcMar>
            <w:shd w:fill="F8FBFF"/>
            <w:vAlign w:val="center"/>
          </w:tcPr>
          <w:p>
            <w:pPr>
              <w:spacing w:line="259" w:lineRule="auto" w:after="40"/>
              <w:jc w:val="center"/>
            </w:pPr>
            <w:r>
              <w:rPr>
                <w:sz w:val="18"/>
              </w:rPr>
              <w:t>Final test</w:t>
            </w:r>
          </w:p>
        </w:tc>
        <w:tc>
          <w:tcPr>
            <w:tcW w:type="dxa" w:w="7200"/>
            <w:tcMar>
              <w:top w:w="80" w:type="dxa"/>
              <w:start w:w="100" w:type="dxa"/>
              <w:bottom w:w="80" w:type="dxa"/>
              <w:end w:w="100" w:type="dxa"/>
            </w:tcMar>
            <w:shd w:fill="F8FBFF"/>
            <w:vAlign w:val="center"/>
          </w:tcPr>
          <w:p>
            <w:pPr>
              <w:spacing w:line="259" w:lineRule="auto" w:after="40"/>
              <w:jc w:val="left"/>
            </w:pPr>
            <w:r>
              <w:rPr>
                <w:sz w:val="18"/>
              </w:rPr>
              <w:t>Exactly one locked evaluation on the official test split after all design choices are frozen.</w:t>
            </w:r>
          </w:p>
        </w:tc>
      </w:tr>
      <w:tr>
        <w:tc>
          <w:tcPr>
            <w:tcW w:type="dxa" w:w="2304"/>
            <w:tcMar>
              <w:top w:w="80" w:type="dxa"/>
              <w:start w:w="100" w:type="dxa"/>
              <w:bottom w:w="80" w:type="dxa"/>
              <w:end w:w="100" w:type="dxa"/>
            </w:tcMar>
            <w:vAlign w:val="center"/>
          </w:tcPr>
          <w:p>
            <w:pPr>
              <w:spacing w:line="259" w:lineRule="auto" w:after="40"/>
              <w:jc w:val="center"/>
            </w:pPr>
            <w:r>
              <w:rPr>
                <w:sz w:val="18"/>
              </w:rPr>
              <w:t>Primary task</w:t>
            </w:r>
          </w:p>
        </w:tc>
        <w:tc>
          <w:tcPr>
            <w:tcW w:type="dxa" w:w="7200"/>
            <w:tcMar>
              <w:top w:w="80" w:type="dxa"/>
              <w:start w:w="100" w:type="dxa"/>
              <w:bottom w:w="80" w:type="dxa"/>
              <w:end w:w="100" w:type="dxa"/>
            </w:tcMar>
            <w:vAlign w:val="center"/>
          </w:tcPr>
          <w:p>
            <w:pPr>
              <w:spacing w:line="259" w:lineRule="auto" w:after="40"/>
              <w:jc w:val="left"/>
            </w:pPr>
            <w:r>
              <w:rPr>
                <w:sz w:val="18"/>
              </w:rPr>
              <w:t>Multiclass detection is the main paper task. Binary detection remains as a secondary sanity check, not the headline claim.</w:t>
            </w:r>
          </w:p>
        </w:tc>
      </w:tr>
      <w:tr>
        <w:tc>
          <w:tcPr>
            <w:tcW w:type="dxa" w:w="2304"/>
            <w:tcMar>
              <w:top w:w="80" w:type="dxa"/>
              <w:start w:w="100" w:type="dxa"/>
              <w:bottom w:w="80" w:type="dxa"/>
              <w:end w:w="100" w:type="dxa"/>
            </w:tcMar>
            <w:shd w:fill="F8FBFF"/>
            <w:vAlign w:val="center"/>
          </w:tcPr>
          <w:p>
            <w:pPr>
              <w:spacing w:line="259" w:lineRule="auto" w:after="40"/>
              <w:jc w:val="center"/>
            </w:pPr>
            <w:r>
              <w:rPr>
                <w:sz w:val="18"/>
              </w:rPr>
              <w:t>Primary metrics</w:t>
            </w:r>
          </w:p>
        </w:tc>
        <w:tc>
          <w:tcPr>
            <w:tcW w:type="dxa" w:w="7200"/>
            <w:tcMar>
              <w:top w:w="80" w:type="dxa"/>
              <w:start w:w="100" w:type="dxa"/>
              <w:bottom w:w="80" w:type="dxa"/>
              <w:end w:w="100" w:type="dxa"/>
            </w:tcMar>
            <w:shd w:fill="F8FBFF"/>
            <w:vAlign w:val="center"/>
          </w:tcPr>
          <w:p>
            <w:pPr>
              <w:spacing w:line="259" w:lineRule="auto" w:after="40"/>
              <w:jc w:val="left"/>
            </w:pPr>
            <w:r>
              <w:rPr>
                <w:sz w:val="18"/>
              </w:rPr>
              <w:t>Macro F1, weighted F1, macro AUROC, macro AUPRC, log loss, Brier score, and expected calibration error.</w:t>
            </w:r>
          </w:p>
        </w:tc>
      </w:tr>
      <w:tr>
        <w:tc>
          <w:tcPr>
            <w:tcW w:type="dxa" w:w="2304"/>
            <w:tcMar>
              <w:top w:w="80" w:type="dxa"/>
              <w:start w:w="100" w:type="dxa"/>
              <w:bottom w:w="80" w:type="dxa"/>
              <w:end w:w="100" w:type="dxa"/>
            </w:tcMar>
            <w:vAlign w:val="center"/>
          </w:tcPr>
          <w:p>
            <w:pPr>
              <w:spacing w:line="259" w:lineRule="auto" w:after="40"/>
              <w:jc w:val="center"/>
            </w:pPr>
            <w:r>
              <w:rPr>
                <w:sz w:val="18"/>
              </w:rPr>
              <w:t>Secondary metrics</w:t>
            </w:r>
          </w:p>
        </w:tc>
        <w:tc>
          <w:tcPr>
            <w:tcW w:type="dxa" w:w="7200"/>
            <w:tcMar>
              <w:top w:w="80" w:type="dxa"/>
              <w:start w:w="100" w:type="dxa"/>
              <w:bottom w:w="80" w:type="dxa"/>
              <w:end w:w="100" w:type="dxa"/>
            </w:tcMar>
            <w:vAlign w:val="center"/>
          </w:tcPr>
          <w:p>
            <w:pPr>
              <w:spacing w:line="259" w:lineRule="auto" w:after="40"/>
              <w:jc w:val="left"/>
            </w:pPr>
            <w:r>
              <w:rPr>
                <w:sz w:val="18"/>
              </w:rPr>
              <w:t>Accuracy, precision, recall, confusion matrices, and per-class PR curves.</w:t>
            </w:r>
          </w:p>
        </w:tc>
      </w:tr>
      <w:tr>
        <w:tc>
          <w:tcPr>
            <w:tcW w:type="dxa" w:w="2304"/>
            <w:tcMar>
              <w:top w:w="80" w:type="dxa"/>
              <w:start w:w="100" w:type="dxa"/>
              <w:bottom w:w="80" w:type="dxa"/>
              <w:end w:w="100" w:type="dxa"/>
            </w:tcMar>
            <w:shd w:fill="F8FBFF"/>
            <w:vAlign w:val="center"/>
          </w:tcPr>
          <w:p>
            <w:pPr>
              <w:spacing w:line="259" w:lineRule="auto" w:after="40"/>
              <w:jc w:val="center"/>
            </w:pPr>
            <w:r>
              <w:rPr>
                <w:sz w:val="18"/>
              </w:rPr>
              <w:t>Statistical comparison</w:t>
            </w:r>
          </w:p>
        </w:tc>
        <w:tc>
          <w:tcPr>
            <w:tcW w:type="dxa" w:w="7200"/>
            <w:tcMar>
              <w:top w:w="80" w:type="dxa"/>
              <w:start w:w="100" w:type="dxa"/>
              <w:bottom w:w="80" w:type="dxa"/>
              <w:end w:w="100" w:type="dxa"/>
            </w:tcMar>
            <w:shd w:fill="F8FBFF"/>
            <w:vAlign w:val="center"/>
          </w:tcPr>
          <w:p>
            <w:pPr>
              <w:spacing w:line="259" w:lineRule="auto" w:after="40"/>
              <w:jc w:val="left"/>
            </w:pPr>
            <w:r>
              <w:rPr>
                <w:sz w:val="18"/>
              </w:rPr>
              <w:t>Use outer-fold paired tests for model comparisons; report confidence intervals on final test metrics by bootstrap.</w:t>
            </w:r>
          </w:p>
        </w:tc>
      </w:tr>
      <w:tr>
        <w:tc>
          <w:tcPr>
            <w:tcW w:type="dxa" w:w="2304"/>
            <w:tcMar>
              <w:top w:w="80" w:type="dxa"/>
              <w:start w:w="100" w:type="dxa"/>
              <w:bottom w:w="80" w:type="dxa"/>
              <w:end w:w="100" w:type="dxa"/>
            </w:tcMar>
            <w:vAlign w:val="center"/>
          </w:tcPr>
          <w:p>
            <w:pPr>
              <w:spacing w:line="259" w:lineRule="auto" w:after="40"/>
              <w:jc w:val="center"/>
            </w:pPr>
            <w:r>
              <w:rPr>
                <w:sz w:val="18"/>
              </w:rPr>
              <w:t>Ablations</w:t>
            </w:r>
          </w:p>
        </w:tc>
        <w:tc>
          <w:tcPr>
            <w:tcW w:type="dxa" w:w="7200"/>
            <w:tcMar>
              <w:top w:w="80" w:type="dxa"/>
              <w:start w:w="100" w:type="dxa"/>
              <w:bottom w:w="80" w:type="dxa"/>
              <w:end w:w="100" w:type="dxa"/>
            </w:tcMar>
            <w:vAlign w:val="center"/>
          </w:tcPr>
          <w:p>
            <w:pPr>
              <w:spacing w:line="259" w:lineRule="auto" w:after="40"/>
              <w:jc w:val="left"/>
            </w:pPr>
            <w:r>
              <w:rPr>
                <w:sz w:val="18"/>
              </w:rPr>
              <w:t>At minimum: all-features, consensus-selected features, plain stacking, calibrated stacking, weighted averaging, proposed disagreement-aware ensemble, and feature-group removals.</w:t>
            </w:r>
          </w:p>
        </w:tc>
      </w:tr>
    </w:tbl>
    <w:p/>
    <w:p>
      <w:pPr>
        <w:pStyle w:val="Heading1"/>
      </w:pPr>
      <w:r>
        <w:t>9. Figures and tables that the paper must include</w:t>
      </w:r>
    </w:p>
    <w:p>
      <w:pPr>
        <w:pStyle w:val="ListNumber"/>
        <w:spacing w:after="60"/>
      </w:pPr>
      <w:r>
        <w:t>One pipeline figure showing feature engineering → stability-weighted selection → calibrated base models → meta-feature construction → disagreement-aware gating.</w:t>
      </w:r>
    </w:p>
    <w:p>
      <w:pPr>
        <w:pStyle w:val="ListNumber"/>
        <w:spacing w:after="60"/>
      </w:pPr>
      <w:r>
        <w:t>One table of all engineered features with exact formulas and rationale.</w:t>
      </w:r>
    </w:p>
    <w:p>
      <w:pPr>
        <w:pStyle w:val="ListNumber"/>
        <w:spacing w:after="60"/>
      </w:pPr>
      <w:r>
        <w:t>One table of base learners, calibration method, and tuned hyperparameters.</w:t>
      </w:r>
    </w:p>
    <w:p>
      <w:pPr>
        <w:pStyle w:val="ListNumber"/>
        <w:spacing w:after="60"/>
      </w:pPr>
      <w:r>
        <w:t>One main multiclass results table with single models, weighted averaging, plain stacking, and the proposed ensemble.</w:t>
      </w:r>
    </w:p>
    <w:p>
      <w:pPr>
        <w:pStyle w:val="ListNumber"/>
        <w:spacing w:after="60"/>
      </w:pPr>
      <w:r>
        <w:t>One ablation table showing incremental gains from calibration, richer meta-features, and gating.</w:t>
      </w:r>
    </w:p>
    <w:p>
      <w:pPr>
        <w:pStyle w:val="ListNumber"/>
        <w:spacing w:after="60"/>
      </w:pPr>
      <w:r>
        <w:t>One class-wise table or heatmap showing which classes benefit most.</w:t>
      </w:r>
    </w:p>
    <w:p>
      <w:pPr>
        <w:pStyle w:val="ListNumber"/>
        <w:spacing w:after="60"/>
      </w:pPr>
      <w:r>
        <w:t>One calibration figure (reliability diagram or ECE bar chart) for the strongest models.</w:t>
      </w:r>
    </w:p>
    <w:p>
      <w:pPr>
        <w:pStyle w:val="ListNumber"/>
        <w:spacing w:after="60"/>
      </w:pPr>
      <w:r>
        <w:t>One feature-stability figure summarizing which engineered features survive across folds.</w:t>
      </w:r>
    </w:p>
    <w:p>
      <w:pPr>
        <w:pStyle w:val="Heading1"/>
      </w:pPr>
      <w:r>
        <w:t>10. Writing rules for the rewritten paper</w:t>
      </w:r>
    </w:p>
    <w:p>
      <w:pPr>
        <w:pStyle w:val="ListBullet"/>
        <w:spacing w:after="60"/>
        <w:ind w:left="0"/>
      </w:pPr>
      <w:r>
        <w:rPr>
          <w:b/>
        </w:rPr>
        <w:t>Use precise contribution language</w:t>
      </w:r>
      <w:r>
        <w:t>: say 'improves multiclass reliability on UNSW-NB15' rather than 'outperforms existing IDS methods' unless literature comparison is rigorous and directly reproducible.</w:t>
      </w:r>
    </w:p>
    <w:p>
      <w:pPr>
        <w:pStyle w:val="ListBullet"/>
        <w:spacing w:after="60"/>
        <w:ind w:left="0"/>
      </w:pPr>
      <w:r>
        <w:rPr>
          <w:b/>
        </w:rPr>
        <w:t>No internal contradictions</w:t>
      </w:r>
      <w:r>
        <w:t>: every feature count, dataset size, class count, and metric definition must match across text, tables, and figures.</w:t>
      </w:r>
    </w:p>
    <w:p>
      <w:pPr>
        <w:pStyle w:val="ListBullet"/>
        <w:spacing w:after="60"/>
        <w:ind w:left="0"/>
      </w:pPr>
      <w:r>
        <w:rPr>
          <w:b/>
        </w:rPr>
        <w:t>No broken references</w:t>
      </w:r>
      <w:r>
        <w:t>: every table and figure must be numbered correctly; no placeholders such as 'Table ??'.</w:t>
      </w:r>
    </w:p>
    <w:p>
      <w:pPr>
        <w:pStyle w:val="ListBullet"/>
        <w:spacing w:after="60"/>
        <w:ind w:left="0"/>
      </w:pPr>
      <w:r>
        <w:rPr>
          <w:b/>
        </w:rPr>
        <w:t>No false theory claims</w:t>
      </w:r>
      <w:r>
        <w:t>: do not say logistic regression captures non-linear interactions unless you explicitly create non-linear features.</w:t>
      </w:r>
    </w:p>
    <w:p>
      <w:pPr>
        <w:pStyle w:val="ListBullet"/>
        <w:spacing w:after="60"/>
        <w:ind w:left="0"/>
      </w:pPr>
      <w:r>
        <w:rPr>
          <w:b/>
        </w:rPr>
        <w:t>No optimistic spin on weak results</w:t>
      </w:r>
      <w:r>
        <w:t>: if binary accuracy gains are small but calibration improves, say exactly that.</w:t>
      </w:r>
    </w:p>
    <w:p>
      <w:pPr>
        <w:pStyle w:val="ListBullet"/>
        <w:spacing w:after="60"/>
        <w:ind w:left="0"/>
      </w:pPr>
      <w:r>
        <w:rPr>
          <w:b/>
        </w:rPr>
        <w:t>No broad generalization claims</w:t>
      </w:r>
      <w:r>
        <w:t>: this paper is about benchmarked reliability under a clean protocol, not universal deployment robustness.</w:t>
      </w:r>
    </w:p>
    <w:p>
      <w:pPr>
        <w:pStyle w:val="Heading1"/>
      </w:pPr>
      <w:r>
        <w:t>11. Recommended appendix policy</w:t>
      </w:r>
    </w:p>
    <w:p>
      <w:pPr>
        <w:pStyle w:val="ListBullet"/>
        <w:spacing w:after="60"/>
        <w:ind w:left="0"/>
      </w:pPr>
      <w:r>
        <w:rPr>
          <w:b/>
        </w:rPr>
        <w:t>Appendix A</w:t>
      </w:r>
      <w:r>
        <w:t>: hyperparameter grids and calibration search space.</w:t>
      </w:r>
    </w:p>
    <w:p>
      <w:pPr>
        <w:pStyle w:val="ListBullet"/>
        <w:spacing w:after="60"/>
        <w:ind w:left="0"/>
      </w:pPr>
      <w:r>
        <w:rPr>
          <w:b/>
        </w:rPr>
        <w:t>Appendix B</w:t>
      </w:r>
      <w:r>
        <w:t>: complete feature formulas and encoding map.</w:t>
      </w:r>
    </w:p>
    <w:p>
      <w:pPr>
        <w:pStyle w:val="ListBullet"/>
        <w:spacing w:after="60"/>
        <w:ind w:left="0"/>
      </w:pPr>
      <w:r>
        <w:rPr>
          <w:b/>
        </w:rPr>
        <w:t>Appendix C</w:t>
      </w:r>
      <w:r>
        <w:t>: extended class-wise metrics and confusion matrices.</w:t>
      </w:r>
    </w:p>
    <w:p>
      <w:pPr>
        <w:pStyle w:val="ListBullet"/>
        <w:spacing w:after="60"/>
        <w:ind w:left="0"/>
      </w:pPr>
      <w:r>
        <w:rPr>
          <w:b/>
        </w:rPr>
        <w:t>Appendix D (optional only)</w:t>
      </w:r>
      <w:r>
        <w:t>: specialist-model appendix if and only if those results are strong and concise. Otherwise remove them entirely.</w:t>
      </w:r>
    </w:p>
    <w:p>
      <w:pPr>
        <w:pStyle w:val="Heading1"/>
      </w:pPr>
      <w:r>
        <w:t>12. Submission-quality checklist</w:t>
      </w:r>
    </w:p>
    <w:p>
      <w:pPr>
        <w:pStyle w:val="ListBullet"/>
        <w:spacing w:after="60"/>
        <w:ind w:left="0"/>
      </w:pPr>
      <w:r>
        <w:t>The proposed ensemble clearly beats plain stacking on the main multiclass objective.</w:t>
      </w:r>
    </w:p>
    <w:p>
      <w:pPr>
        <w:pStyle w:val="ListBullet"/>
        <w:spacing w:after="60"/>
        <w:ind w:left="0"/>
      </w:pPr>
      <w:r>
        <w:t>The best test table reports calibration-aware metrics, not only accuracy.</w:t>
      </w:r>
    </w:p>
    <w:p>
      <w:pPr>
        <w:pStyle w:val="ListBullet"/>
        <w:spacing w:after="60"/>
        <w:ind w:left="0"/>
      </w:pPr>
      <w:r>
        <w:t>Every comparison is leakage-safe and traceable to the training split only.</w:t>
      </w:r>
    </w:p>
    <w:p>
      <w:pPr>
        <w:pStyle w:val="ListBullet"/>
        <w:spacing w:after="60"/>
        <w:ind w:left="0"/>
      </w:pPr>
      <w:r>
        <w:t>Feature counts are internally consistent everywhere.</w:t>
      </w:r>
    </w:p>
    <w:p>
      <w:pPr>
        <w:pStyle w:val="ListBullet"/>
        <w:spacing w:after="60"/>
        <w:ind w:left="0"/>
      </w:pPr>
      <w:r>
        <w:t>Every table, figure, and caption has been audited by hand.</w:t>
      </w:r>
    </w:p>
    <w:p>
      <w:pPr>
        <w:pStyle w:val="ListBullet"/>
        <w:spacing w:after="60"/>
        <w:ind w:left="0"/>
      </w:pPr>
      <w:r>
        <w:t>The introduction and abstract lead with the ensemble contribution, not with generic IDS framing.</w:t>
      </w:r>
    </w:p>
    <w:p>
      <w:pPr>
        <w:pStyle w:val="ListBullet"/>
        <w:spacing w:after="60"/>
        <w:ind w:left="0"/>
      </w:pPr>
      <w:r>
        <w:t>The discussion explains why the method works and where it fails.</w:t>
      </w:r>
    </w:p>
    <w:p>
      <w:pPr>
        <w:pStyle w:val="ListBullet"/>
        <w:spacing w:after="60"/>
        <w:ind w:left="0"/>
      </w:pPr>
      <w:r>
        <w:t>The manuscript can survive a reviewer asking, 'Why is this not just another ensemble benchmark paper?'</w:t>
      </w:r>
    </w:p>
    <w:tbl>
      <w:tblPr>
        <w:tblW w:type="auto" w:w="0"/>
        <w:jc w:val="center"/>
        <w:tblLayout w:type="fixed"/>
        <w:tblLook w:firstColumn="1" w:firstRow="1" w:lastColumn="0" w:lastRow="0" w:noHBand="0" w:noVBand="1" w:val="04A0"/>
      </w:tblPr>
      <w:tblGrid>
        <w:gridCol w:w="9936"/>
      </w:tblGrid>
      <w:tr>
        <w:tc>
          <w:tcPr>
            <w:tcW w:type="dxa" w:w="9792"/>
            <w:shd w:fill="DFF0D8"/>
            <w:tcMar>
              <w:top w:w="120" w:type="dxa"/>
              <w:start w:w="120" w:type="dxa"/>
              <w:bottom w:w="120" w:type="dxa"/>
              <w:end w:w="120" w:type="dxa"/>
            </w:tcMar>
            <w:vAlign w:val="center"/>
          </w:tcPr>
          <w:p>
            <w:pPr>
              <w:spacing w:after="40"/>
            </w:pPr>
            <w:r>
              <w:rPr>
                <w:b/>
                <w:sz w:val="20"/>
              </w:rPr>
              <w:t xml:space="preserve">Bottom line: </w:t>
            </w:r>
            <w:r>
              <w:rPr>
                <w:sz w:val="20"/>
              </w:rPr>
              <w:t>Do not patch the old manuscript section by section. Rebuild it around a single main claim: a calibrated, disagreement-aware ensemble with stability-weighted feature selection improves multiclass IDS reliability on UNSW-NB15 under a clean evaluation protocol.</w:t>
            </w:r>
          </w:p>
        </w:tc>
      </w:tr>
    </w:tbl>
    <w:p/>
    <w:sectPr w:rsidR="00FC693F" w:rsidRPr="0006063C" w:rsidSect="00034616">
      <w:headerReference w:type="default" r:id="rId9"/>
      <w:footerReference w:type="default" r:id="rId10"/>
      <w:pgSz w:w="12240" w:h="15840"/>
      <w:pgMar w:top="1080"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78"/>
        <w:sz w:val="17"/>
      </w:rPr>
      <w:t>Acceptance-Oriented Manuscript Rework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A3D6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23232"/>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1A3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