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urso-servidor-ia-ementa-formal"/>
    <w:p>
      <w:pPr>
        <w:pStyle w:val="Heading1"/>
      </w:pPr>
      <w:r>
        <w:t xml:space="preserve">Curso Servidor + IA — Ementa Formal</w:t>
      </w:r>
    </w:p>
    <w:p>
      <w:pPr>
        <w:pStyle w:val="BlockText"/>
      </w:pPr>
      <w:r>
        <w:rPr>
          <w:b/>
          <w:bCs/>
        </w:rPr>
        <w:t xml:space="preserve">Documento institucional do curso modular de capacitação em inteligência artificial generativa para servidoras, servidores, magistradas e magistrados da Justiça Federal no Ceará.</w:t>
      </w:r>
      <w:r>
        <w:t xml:space="preserve"> </w:t>
      </w:r>
      <w:r>
        <w:t xml:space="preserve">Versão 2.0 — julho de 2026.</w:t>
      </w:r>
      <w:r>
        <w:t xml:space="preserve"> </w:t>
      </w:r>
      <w:r>
        <w:rPr>
          <w:b/>
          <w:bCs/>
        </w:rPr>
        <w:t xml:space="preserve">Substitui a Versão 1.0 (maio de 2026).</w:t>
      </w:r>
      <w:r>
        <w:t xml:space="preserve"> </w:t>
      </w:r>
      <w:r>
        <w:t xml:space="preserve">Esta versão constitui o ato formal previsto na seção 16 da ementa anterior: reajuste da carga horária (21 → 24 horas), reordenação pedagógica dos módulos, atualização do formato (online, ao vivo) e do método de construção de prompts, aprovados pela Coordenação</w:t>
      </w:r>
      <w:r>
        <w:t xml:space="preserve"> </w:t>
      </w:r>
      <w:r>
        <w:rPr>
          <w:b/>
          <w:bCs/>
        </w:rPr>
        <w:t xml:space="preserve">antes do início da Turma 1</w:t>
      </w:r>
      <w:r>
        <w:t xml:space="preserve">.</w:t>
      </w:r>
      <w:r>
        <w:t xml:space="preserve"> </w:t>
      </w:r>
      <w:r>
        <w:t xml:space="preserve">Fundamentação: Ação 1.2 do Plano de Trabalho 2026 — Eixo III; KR 2.5.2; ações 2.4 e 2.5 do Plano Nacional de Inovação da Justiça Federal — 2026; Resolução CNJ nº 615/2025; Portaria DF nº 161/2025.</w:t>
      </w:r>
    </w:p>
    <w:bookmarkStart w:id="20" w:name="identificação"/>
    <w:p>
      <w:pPr>
        <w:pStyle w:val="Heading2"/>
      </w:pPr>
      <w:r>
        <w:t xml:space="preserve">1. Identificação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Conteúdo</w:t>
            </w:r>
          </w:p>
        </w:tc>
      </w:tr>
      <w:tr>
        <w:tc>
          <w:tcPr/>
          <w:p>
            <w:pPr>
              <w:pStyle w:val="Compact"/>
              <w:jc w:val="left"/>
            </w:pPr>
            <w:r>
              <w:rPr>
                <w:b/>
                <w:bCs/>
              </w:rPr>
              <w:t xml:space="preserve">Nome</w:t>
            </w:r>
          </w:p>
        </w:tc>
        <w:tc>
          <w:tcPr/>
          <w:p>
            <w:pPr>
              <w:pStyle w:val="Compact"/>
              <w:jc w:val="left"/>
            </w:pPr>
            <w:r>
              <w:t xml:space="preserve">Servidor + IA — Inteligência Artificial Generativa Aplicada ao Trabalho Judicial e Administrativo</w:t>
            </w:r>
          </w:p>
        </w:tc>
      </w:tr>
      <w:tr>
        <w:tc>
          <w:tcPr/>
          <w:p>
            <w:pPr>
              <w:pStyle w:val="Compact"/>
              <w:jc w:val="left"/>
            </w:pPr>
            <w:r>
              <w:rPr>
                <w:b/>
                <w:bCs/>
              </w:rPr>
              <w:t xml:space="preserve">Modalidade</w:t>
            </w:r>
          </w:p>
        </w:tc>
        <w:tc>
          <w:tcPr/>
          <w:p>
            <w:pPr>
              <w:pStyle w:val="Compact"/>
              <w:jc w:val="left"/>
            </w:pPr>
            <w:r>
              <w:t xml:space="preserve">Capacitação institucional</w:t>
            </w:r>
            <w:r>
              <w:t xml:space="preserve"> </w:t>
            </w:r>
            <w:r>
              <w:rPr>
                <w:b/>
                <w:bCs/>
              </w:rPr>
              <w:t xml:space="preserve">online, ao vivo (síncrona)</w:t>
            </w:r>
            <w:r>
              <w:t xml:space="preserve">, por videoconferência, com demonstrações em tempo real</w:t>
            </w:r>
          </w:p>
        </w:tc>
      </w:tr>
      <w:tr>
        <w:tc>
          <w:tcPr/>
          <w:p>
            <w:pPr>
              <w:pStyle w:val="Compact"/>
              <w:jc w:val="left"/>
            </w:pPr>
            <w:r>
              <w:rPr>
                <w:b/>
                <w:bCs/>
              </w:rPr>
              <w:t xml:space="preserve">Carga horária total</w:t>
            </w:r>
          </w:p>
        </w:tc>
        <w:tc>
          <w:tcPr/>
          <w:p>
            <w:pPr>
              <w:pStyle w:val="Compact"/>
              <w:jc w:val="left"/>
            </w:pPr>
            <w:r>
              <w:rPr>
                <w:b/>
                <w:bCs/>
              </w:rPr>
              <w:t xml:space="preserve">24 (vinte e quatro) horas</w:t>
            </w:r>
            <w:r>
              <w:t xml:space="preserve">, em quatro módulos</w:t>
            </w:r>
          </w:p>
        </w:tc>
      </w:tr>
      <w:tr>
        <w:tc>
          <w:tcPr/>
          <w:p>
            <w:pPr>
              <w:pStyle w:val="Compact"/>
              <w:jc w:val="left"/>
            </w:pPr>
            <w:r>
              <w:rPr>
                <w:b/>
                <w:bCs/>
              </w:rPr>
              <w:t xml:space="preserve">Turmas em 2026</w:t>
            </w:r>
          </w:p>
        </w:tc>
        <w:tc>
          <w:tcPr/>
          <w:p>
            <w:pPr>
              <w:pStyle w:val="Compact"/>
              <w:jc w:val="left"/>
            </w:pPr>
            <w:r>
              <w:t xml:space="preserve">2 turmas, conduzidas em períodos distintos</w:t>
            </w:r>
          </w:p>
        </w:tc>
      </w:tr>
      <w:tr>
        <w:tc>
          <w:tcPr/>
          <w:p>
            <w:pPr>
              <w:pStyle w:val="Compact"/>
              <w:jc w:val="left"/>
            </w:pPr>
            <w:r>
              <w:rPr>
                <w:b/>
                <w:bCs/>
              </w:rPr>
              <w:t xml:space="preserve">Vagas por turma</w:t>
            </w:r>
          </w:p>
        </w:tc>
        <w:tc>
          <w:tcPr/>
          <w:p>
            <w:pPr>
              <w:pStyle w:val="Compact"/>
              <w:jc w:val="left"/>
            </w:pPr>
            <w:r>
              <w:t xml:space="preserve">25 a 30 participantes</w:t>
            </w:r>
          </w:p>
        </w:tc>
      </w:tr>
      <w:tr>
        <w:tc>
          <w:tcPr/>
          <w:p>
            <w:pPr>
              <w:pStyle w:val="Compact"/>
              <w:jc w:val="left"/>
            </w:pPr>
            <w:r>
              <w:rPr>
                <w:b/>
                <w:bCs/>
              </w:rPr>
              <w:t xml:space="preserve">Ambiente</w:t>
            </w:r>
          </w:p>
        </w:tc>
        <w:tc>
          <w:tcPr/>
          <w:p>
            <w:pPr>
              <w:pStyle w:val="Compact"/>
              <w:jc w:val="left"/>
            </w:pPr>
            <w:r>
              <w:t xml:space="preserve">Plataforma institucional de videoconferência + material do curso em endereço público (deck de apresentação e Banco de Prompts)</w:t>
            </w:r>
          </w:p>
        </w:tc>
      </w:tr>
      <w:tr>
        <w:tc>
          <w:tcPr/>
          <w:p>
            <w:pPr>
              <w:pStyle w:val="Compact"/>
              <w:jc w:val="left"/>
            </w:pPr>
            <w:r>
              <w:rPr>
                <w:b/>
                <w:bCs/>
              </w:rPr>
              <w:t xml:space="preserve">Promoção</w:t>
            </w:r>
          </w:p>
        </w:tc>
        <w:tc>
          <w:tcPr/>
          <w:p>
            <w:pPr>
              <w:pStyle w:val="Compact"/>
              <w:jc w:val="left"/>
            </w:pPr>
            <w:r>
              <w:t xml:space="preserve">INOVAJUS — Eixo III, com certificação pela Direção do Foro</w:t>
            </w:r>
          </w:p>
        </w:tc>
      </w:tr>
      <w:tr>
        <w:tc>
          <w:tcPr/>
          <w:p>
            <w:pPr>
              <w:pStyle w:val="Compact"/>
              <w:jc w:val="left"/>
            </w:pPr>
            <w:r>
              <w:rPr>
                <w:b/>
                <w:bCs/>
              </w:rPr>
              <w:t xml:space="preserve">Coordenação</w:t>
            </w:r>
          </w:p>
        </w:tc>
        <w:tc>
          <w:tcPr/>
          <w:p>
            <w:pPr>
              <w:pStyle w:val="Compact"/>
              <w:jc w:val="left"/>
            </w:pPr>
            <w:r>
              <w:t xml:space="preserve">Victor César Falcão Viana — Coordenador do Eixo III</w:t>
            </w:r>
          </w:p>
        </w:tc>
      </w:tr>
    </w:tbl>
    <w:bookmarkEnd w:id="20"/>
    <w:bookmarkStart w:id="21" w:name="calendário"/>
    <w:p>
      <w:pPr>
        <w:pStyle w:val="Heading2"/>
      </w:pPr>
      <w:r>
        <w:t xml:space="preserve">2. Calendário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Turma</w:t>
            </w:r>
          </w:p>
        </w:tc>
        <w:tc>
          <w:tcPr/>
          <w:p>
            <w:pPr>
              <w:pStyle w:val="Compact"/>
              <w:jc w:val="left"/>
            </w:pPr>
            <w:r>
              <w:t xml:space="preserve">Período</w:t>
            </w:r>
          </w:p>
        </w:tc>
      </w:tr>
      <w:tr>
        <w:tc>
          <w:tcPr/>
          <w:p>
            <w:pPr>
              <w:pStyle w:val="Compact"/>
              <w:jc w:val="left"/>
            </w:pPr>
            <w:r>
              <w:rPr>
                <w:b/>
                <w:bCs/>
              </w:rPr>
              <w:t xml:space="preserve">Turma 1</w:t>
            </w:r>
          </w:p>
        </w:tc>
        <w:tc>
          <w:tcPr/>
          <w:p>
            <w:pPr>
              <w:pStyle w:val="Compact"/>
              <w:jc w:val="left"/>
            </w:pPr>
            <w:r>
              <w:t xml:space="preserve">10 a 21 de agosto de 2026 — módulos em sequência, encontros distribuídos no período</w:t>
            </w:r>
          </w:p>
        </w:tc>
      </w:tr>
      <w:tr>
        <w:tc>
          <w:tcPr/>
          <w:p>
            <w:pPr>
              <w:pStyle w:val="Compact"/>
              <w:jc w:val="left"/>
            </w:pPr>
            <w:r>
              <w:rPr>
                <w:b/>
                <w:bCs/>
              </w:rPr>
              <w:t xml:space="preserve">Turma 2</w:t>
            </w:r>
          </w:p>
        </w:tc>
        <w:tc>
          <w:tcPr/>
          <w:p>
            <w:pPr>
              <w:pStyle w:val="Compact"/>
              <w:jc w:val="left"/>
            </w:pPr>
            <w:r>
              <w:t xml:space="preserve">segundo semestre de 2026 — datas divulgadas junto à abertura das inscrições</w:t>
            </w:r>
          </w:p>
        </w:tc>
      </w:tr>
    </w:tbl>
    <w:p>
      <w:pPr>
        <w:pStyle w:val="BodyText"/>
      </w:pPr>
      <w:r>
        <w:t xml:space="preserve">Datas específicas dos encontros são publicadas junto à abertura das inscrições e podem ser ajustadas pela Coordenação por necessidade institucional, com comunicação prévia aos inscritos.</w:t>
      </w:r>
    </w:p>
    <w:bookmarkEnd w:id="21"/>
    <w:bookmarkStart w:id="22" w:name="público-alvo"/>
    <w:p>
      <w:pPr>
        <w:pStyle w:val="Heading2"/>
      </w:pPr>
      <w:r>
        <w:t xml:space="preserve">3. Público-alvo</w:t>
      </w:r>
    </w:p>
    <w:p>
      <w:pPr>
        <w:pStyle w:val="FirstParagraph"/>
      </w:pPr>
      <w:r>
        <w:t xml:space="preserve">A Turma 1 é dirigida à</w:t>
      </w:r>
      <w:r>
        <w:t xml:space="preserve"> </w:t>
      </w:r>
      <w:r>
        <w:rPr>
          <w:b/>
          <w:bCs/>
        </w:rPr>
        <w:t xml:space="preserve">área-fim</w:t>
      </w:r>
      <w:r>
        <w:t xml:space="preserve">:</w:t>
      </w:r>
    </w:p>
    <w:p>
      <w:pPr>
        <w:pStyle w:val="Compact"/>
        <w:numPr>
          <w:ilvl w:val="0"/>
          <w:numId w:val="1001"/>
        </w:numPr>
      </w:pPr>
      <w:r>
        <w:t xml:space="preserve">Servidoras e servidores em exercício em Varas e Turmas da JFCE;</w:t>
      </w:r>
    </w:p>
    <w:p>
      <w:pPr>
        <w:pStyle w:val="Compact"/>
        <w:numPr>
          <w:ilvl w:val="0"/>
          <w:numId w:val="1001"/>
        </w:numPr>
      </w:pPr>
      <w:r>
        <w:t xml:space="preserve">Assessoras e assessores de gabinete;</w:t>
      </w:r>
    </w:p>
    <w:p>
      <w:pPr>
        <w:pStyle w:val="Compact"/>
        <w:numPr>
          <w:ilvl w:val="0"/>
          <w:numId w:val="1001"/>
        </w:numPr>
      </w:pPr>
      <w:r>
        <w:t xml:space="preserve">Magistradas e magistrados;</w:t>
      </w:r>
    </w:p>
    <w:p>
      <w:pPr>
        <w:pStyle w:val="Compact"/>
        <w:numPr>
          <w:ilvl w:val="0"/>
          <w:numId w:val="1001"/>
        </w:numPr>
      </w:pPr>
      <w:r>
        <w:t xml:space="preserve">Estagiárias e estagiários lotados nessas unidades (em vagas reservadas, com anuência da chefia imediata).</w:t>
      </w:r>
    </w:p>
    <w:p>
      <w:pPr>
        <w:pStyle w:val="FirstParagraph"/>
      </w:pPr>
      <w:r>
        <w:t xml:space="preserve">O recorte é deliberado: todos os exemplos, exercícios e roteiros de demonstração do curso partem do fluxo de trabalho judicial (processo, despacho, minuta, jurisprudência, triagem, audiência). A extensão à área-meio, com banco de exemplos próprio, poderá ser feita em turmas futuras, a critério da Coordenação.</w:t>
      </w:r>
    </w:p>
    <w:bookmarkEnd w:id="22"/>
    <w:bookmarkStart w:id="23" w:name="pré-requisitos"/>
    <w:p>
      <w:pPr>
        <w:pStyle w:val="Heading2"/>
      </w:pPr>
      <w:r>
        <w:t xml:space="preserve">4. Pré-requisitos</w:t>
      </w:r>
    </w:p>
    <w:p>
      <w:pPr>
        <w:pStyle w:val="FirstParagraph"/>
      </w:pPr>
      <w:r>
        <w:t xml:space="preserve">Não há pré-requisito formal. Recomenda-se:</w:t>
      </w:r>
    </w:p>
    <w:p>
      <w:pPr>
        <w:pStyle w:val="Compact"/>
        <w:numPr>
          <w:ilvl w:val="0"/>
          <w:numId w:val="1002"/>
        </w:numPr>
      </w:pPr>
      <w:r>
        <w:t xml:space="preserve">Conclusão prévia da Oficina Prompt Lab (qualquer edição) — não obrigatória, mas facilita o aproveitamento;</w:t>
      </w:r>
    </w:p>
    <w:p>
      <w:pPr>
        <w:pStyle w:val="Compact"/>
        <w:numPr>
          <w:ilvl w:val="0"/>
          <w:numId w:val="1002"/>
        </w:numPr>
      </w:pPr>
      <w:r>
        <w:t xml:space="preserve">Familiaridade com o Sistema PJe e com os fluxos de trabalho da própria unidade;</w:t>
      </w:r>
    </w:p>
    <w:p>
      <w:pPr>
        <w:pStyle w:val="Compact"/>
        <w:numPr>
          <w:ilvl w:val="0"/>
          <w:numId w:val="1002"/>
        </w:numPr>
      </w:pPr>
      <w:r>
        <w:t xml:space="preserve">Navegador atualizado, conta institucional de e-mail e condições de participar dos encontros por videoconferência (áudio e, preferencialmente, câmera).</w:t>
      </w:r>
    </w:p>
    <w:p>
      <w:pPr>
        <w:pStyle w:val="FirstParagraph"/>
      </w:pPr>
      <w:r>
        <w:t xml:space="preserve">A Coordenação reserva o direito de redirecionar candidatos sem perfil mínimo para a Oficina Prompt Lab antes do ingresso no curso, com vaga garantida em turma posterior.</w:t>
      </w:r>
    </w:p>
    <w:bookmarkEnd w:id="23"/>
    <w:bookmarkStart w:id="24" w:name="objetivo-geral"/>
    <w:p>
      <w:pPr>
        <w:pStyle w:val="Heading2"/>
      </w:pPr>
      <w:r>
        <w:t xml:space="preserve">5. Objetivo geral</w:t>
      </w:r>
    </w:p>
    <w:p>
      <w:pPr>
        <w:pStyle w:val="FirstParagraph"/>
      </w:pPr>
      <w:r>
        <w:t xml:space="preserve">Formar servidoras, servidores, magistradas e magistrados da Justiça Federal no Ceará para utilizar inteligência artificial generativa de forma crítica, segura e produtiva no exercício de suas atribuições, com consciência das limitações da tecnologia, das responsabilidades institucionais e das exigências normativas, em particular as da Resolução CNJ nº 615/2025 e da LGPD.</w:t>
      </w:r>
    </w:p>
    <w:bookmarkEnd w:id="24"/>
    <w:bookmarkStart w:id="25" w:name="objetivos-específicos"/>
    <w:p>
      <w:pPr>
        <w:pStyle w:val="Heading2"/>
      </w:pPr>
      <w:r>
        <w:t xml:space="preserve">6. Objetivos específicos</w:t>
      </w:r>
    </w:p>
    <w:p>
      <w:pPr>
        <w:pStyle w:val="FirstParagraph"/>
      </w:pPr>
      <w:r>
        <w:t xml:space="preserve">Ao concluir o curso, o participante deverá ser capaz de:</w:t>
      </w:r>
    </w:p>
    <w:p>
      <w:pPr>
        <w:pStyle w:val="BodyText"/>
      </w:pPr>
      <w:r>
        <w:t xml:space="preserve">I — Construir e refinar prompts para tarefas judiciais reais pelo método do</w:t>
      </w:r>
      <w:r>
        <w:t xml:space="preserve"> </w:t>
      </w:r>
      <w:r>
        <w:rPr>
          <w:b/>
          <w:bCs/>
        </w:rPr>
        <w:t xml:space="preserve">prompt em 6 etapas</w:t>
      </w:r>
      <w:r>
        <w:t xml:space="preserve"> </w:t>
      </w:r>
      <w:r>
        <w:t xml:space="preserve">(contexto, tom, tarefa, exemplos, qualidade, formato), aplicando técnicas complementares: raciocínio passo a passo, exemplos calibradores (</w:t>
      </w:r>
      <w:r>
        <w:rPr>
          <w:i/>
          <w:iCs/>
        </w:rPr>
        <w:t xml:space="preserve">few-shot</w:t>
      </w:r>
      <w:r>
        <w:t xml:space="preserve">), saída estruturada e</w:t>
      </w:r>
      <w:r>
        <w:t xml:space="preserve"> </w:t>
      </w:r>
      <w:r>
        <w:rPr>
          <w:b/>
          <w:bCs/>
        </w:rPr>
        <w:t xml:space="preserve">separação entre instrução e documento</w:t>
      </w:r>
      <w:r>
        <w:t xml:space="preserve"> </w:t>
      </w:r>
      <w:r>
        <w:t xml:space="preserve">— inclusive como defesa contra instruções embutidas em documento de terceiro;</w:t>
      </w:r>
    </w:p>
    <w:p>
      <w:pPr>
        <w:pStyle w:val="BodyText"/>
      </w:pPr>
      <w:r>
        <w:t xml:space="preserve">II — Avaliar criticamente outputs de IA generativa, detectando alucinações, vieses, inconsistências e lacunas, com aplicação imediata da supervisão humana exigida pela Resolução CNJ nº 615/2025;</w:t>
      </w:r>
    </w:p>
    <w:p>
      <w:pPr>
        <w:pStyle w:val="BodyText"/>
      </w:pPr>
      <w:r>
        <w:t xml:space="preserve">III — Aplicar pensamento crítico e causal a dados e análises auxiliadas por IA, distinguindo correlação de causa, identificando confundidores e raciocinando por contrafactuais — inclusive registrando a situação-base (</w:t>
      </w:r>
      <w:r>
        <w:rPr>
          <w:i/>
          <w:iCs/>
        </w:rPr>
        <w:t xml:space="preserve">baseline</w:t>
      </w:r>
      <w:r>
        <w:t xml:space="preserve">) antes de adotar qualquer mudança de fluxo;</w:t>
      </w:r>
    </w:p>
    <w:p>
      <w:pPr>
        <w:pStyle w:val="BodyText"/>
      </w:pPr>
      <w:r>
        <w:t xml:space="preserve">IV — Integrar IA generativa às tarefas forenses do dia a dia — triagem e classificação, resumo de peças, minutas e despachos, pesquisa de jurisprudência com salvaguardas, comparação e conferência de documentos, relatórios e trabalho em lote;</w:t>
      </w:r>
    </w:p>
    <w:p>
      <w:pPr>
        <w:pStyle w:val="BodyText"/>
      </w:pPr>
      <w:r>
        <w:t xml:space="preserve">V — Anonimizar documentos e gerir tratamento de dados pessoais conforme a LGPD, respeitando o bloqueio absoluto a dados sob sigilo em ferramentas externas;</w:t>
      </w:r>
    </w:p>
    <w:p>
      <w:pPr>
        <w:pStyle w:val="BodyText"/>
      </w:pPr>
      <w:r>
        <w:t xml:space="preserve">VI — Reconhecer riscos de IA no trabalho judicial, classificá-los segundo a Resolução CNJ nº 615/2025 e propor mitigações;</w:t>
      </w:r>
    </w:p>
    <w:p>
      <w:pPr>
        <w:pStyle w:val="BodyText"/>
      </w:pPr>
      <w:r>
        <w:t xml:space="preserve">VII — Construir,</w:t>
      </w:r>
      <w:r>
        <w:t xml:space="preserve"> </w:t>
      </w:r>
      <w:r>
        <w:rPr>
          <w:b/>
          <w:bCs/>
        </w:rPr>
        <w:t xml:space="preserve">individualmente</w:t>
      </w:r>
      <w:r>
        <w:t xml:space="preserve">,</w:t>
      </w:r>
      <w:r>
        <w:t xml:space="preserve"> </w:t>
      </w:r>
      <w:r>
        <w:rPr>
          <w:b/>
          <w:bCs/>
        </w:rPr>
        <w:t xml:space="preserve">um projeto integrador</w:t>
      </w:r>
      <w:r>
        <w:t xml:space="preserve"> </w:t>
      </w:r>
      <w:r>
        <w:t xml:space="preserve">que resolva um problema real de sua unidade, com registro do antes e do depois (</w:t>
      </w:r>
      <w:r>
        <w:rPr>
          <w:i/>
          <w:iCs/>
        </w:rPr>
        <w:t xml:space="preserve">baseline</w:t>
      </w:r>
      <w:r>
        <w:t xml:space="preserve">), integrando os conteúdos dos quatro módulos.</w:t>
      </w:r>
    </w:p>
    <w:bookmarkEnd w:id="25"/>
    <w:bookmarkStart w:id="26" w:name="estrutura-modular"/>
    <w:p>
      <w:pPr>
        <w:pStyle w:val="Heading2"/>
      </w:pPr>
      <w:r>
        <w:t xml:space="preserve">7. Estrutura modular</w:t>
      </w:r>
    </w:p>
    <w:p>
      <w:pPr>
        <w:pStyle w:val="SourceCode"/>
      </w:pPr>
      <w:r>
        <w:rPr>
          <w:rStyle w:val="VerbatimChar"/>
        </w:rPr>
        <w:t xml:space="preserve">   ┌────────────────────────────────────────────────────────────┐</w:t>
      </w:r>
      <w:r>
        <w:br/>
      </w:r>
      <w:r>
        <w:rPr>
          <w:rStyle w:val="VerbatimChar"/>
        </w:rPr>
        <w:t xml:space="preserve">   │ MÓDULO 1 — Fundamentos de IA e Prompt Engineering          │</w:t>
      </w:r>
      <w:r>
        <w:br/>
      </w:r>
      <w:r>
        <w:rPr>
          <w:rStyle w:val="VerbatimChar"/>
        </w:rPr>
        <w:t xml:space="preserve">   │ 6 horas — 2 encontros online ao vivo de 3 horas cada       │</w:t>
      </w:r>
      <w:r>
        <w:br/>
      </w:r>
      <w:r>
        <w:rPr>
          <w:rStyle w:val="VerbatimChar"/>
        </w:rPr>
        <w:t xml:space="preserve">   │ Reaproveita conteúdo das Oficinas Prompt Lab #1 e #2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MÓDULO 2 — Pensamento Crítico e Causal com IA              │</w:t>
      </w:r>
      <w:r>
        <w:br/>
      </w:r>
      <w:r>
        <w:rPr>
          <w:rStyle w:val="VerbatimChar"/>
        </w:rPr>
        <w:t xml:space="preserve">   │ 6 horas — 2 encontros online ao vivo de 3 horas cada       │</w:t>
      </w:r>
      <w:r>
        <w:br/>
      </w:r>
      <w:r>
        <w:rPr>
          <w:rStyle w:val="VerbatimChar"/>
        </w:rPr>
        <w:t xml:space="preserve">   │ Base crítica ANTES da aplicação; conecta-se ao Lab de      │</w:t>
      </w:r>
      <w:r>
        <w:br/>
      </w:r>
      <w:r>
        <w:rPr>
          <w:rStyle w:val="VerbatimChar"/>
        </w:rPr>
        <w:t xml:space="preserve">   │ Impacto (Frente 3)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MÓDULO 3 — Prática Forense                                 │</w:t>
      </w:r>
      <w:r>
        <w:br/>
      </w:r>
      <w:r>
        <w:rPr>
          <w:rStyle w:val="VerbatimChar"/>
        </w:rPr>
        <w:t xml:space="preserve">   │ 10 horas — 3 aulas online ao vivo (3h + 3h + 4h)           │</w:t>
      </w:r>
      <w:r>
        <w:br/>
      </w:r>
      <w:r>
        <w:rPr>
          <w:rStyle w:val="VerbatimChar"/>
        </w:rPr>
        <w:t xml:space="preserve">   │ Tarefas reais da Vara e do Gabinete; inclui o projeto      │</w:t>
      </w:r>
      <w:r>
        <w:br/>
      </w:r>
      <w:r>
        <w:rPr>
          <w:rStyle w:val="VerbatimChar"/>
        </w:rPr>
        <w:t xml:space="preserve">   │ integrador com a medição do "antes"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MÓDULO 4 — Ética, LGPD e Governança de IA                  │</w:t>
      </w:r>
      <w:r>
        <w:br/>
      </w:r>
      <w:r>
        <w:rPr>
          <w:rStyle w:val="VerbatimChar"/>
        </w:rPr>
        <w:t xml:space="preserve">   │ 2 horas — 1 encontro online ao vivo                        │</w:t>
      </w:r>
      <w:r>
        <w:br/>
      </w:r>
      <w:r>
        <w:rPr>
          <w:rStyle w:val="VerbatimChar"/>
        </w:rPr>
        <w:t xml:space="preserve">   │ Encerramento com estudo de casos e o bloco-horizonte       │</w:t>
      </w:r>
      <w:r>
        <w:br/>
      </w:r>
      <w:r>
        <w:rPr>
          <w:rStyle w:val="VerbatimChar"/>
        </w:rPr>
        <w:t xml:space="preserve">   │ "Sistemas agênticos" (panorama, sem tutorial)              │</w:t>
      </w:r>
      <w:r>
        <w:br/>
      </w:r>
      <w:r>
        <w:rPr>
          <w:rStyle w:val="VerbatimChar"/>
        </w:rPr>
        <w:t xml:space="preserve">   └────────────────────────────────────────────────────────────┘</w:t>
      </w:r>
      <w:r>
        <w:br/>
      </w:r>
      <w:r>
        <w:br/>
      </w:r>
      <w:r>
        <w:rPr>
          <w:rStyle w:val="VerbatimChar"/>
        </w:rPr>
        <w:t xml:space="preserve">   CARGA TOTAL: 24 HORAS</w:t>
      </w:r>
    </w:p>
    <w:p>
      <w:pPr>
        <w:pStyle w:val="FirstParagraph"/>
      </w:pPr>
      <w:r>
        <w:t xml:space="preserve">A ordem dos módulos é decisão pedagógica da Coordenação: o pensamento crítico e causal (Módulo 2) precede a prática intensiva (Módulo 3), para que o participante chegue às tarefas reais já equipado com a postura de verificação; a curva de dificuldade cresce de forma contínua e a ética (Módulo 4) fecha o curso conectada a tudo o que foi praticado.</w:t>
      </w:r>
    </w:p>
    <w:bookmarkEnd w:id="26"/>
    <w:bookmarkStart w:id="31" w:name="conteúdo-programático-por-módulo"/>
    <w:p>
      <w:pPr>
        <w:pStyle w:val="Heading2"/>
      </w:pPr>
      <w:r>
        <w:t xml:space="preserve">8. Conteúdo programático por módulo</w:t>
      </w:r>
    </w:p>
    <w:bookmarkStart w:id="27" w:name="X7eeeb0182cf754198ebace8aac3bd1442008762"/>
    <w:p>
      <w:pPr>
        <w:pStyle w:val="Heading3"/>
      </w:pPr>
      <w:r>
        <w:t xml:space="preserve">8.1 Módulo 1 — Fundamentos de IA e Prompt Engineering (6h)</w:t>
      </w:r>
    </w:p>
    <w:p>
      <w:pPr>
        <w:pStyle w:val="FirstParagraph"/>
      </w:pPr>
      <w:r>
        <w:t xml:space="preserve">Encontro 1 — O que é IA e como pedir bem (3h)</w:t>
      </w:r>
    </w:p>
    <w:p>
      <w:pPr>
        <w:pStyle w:val="Compact"/>
        <w:numPr>
          <w:ilvl w:val="0"/>
          <w:numId w:val="1003"/>
        </w:numPr>
      </w:pPr>
      <w:r>
        <w:t xml:space="preserve">Como a IA funciona: prever a próxima palavra; onde nasce a alucinação</w:t>
      </w:r>
    </w:p>
    <w:p>
      <w:pPr>
        <w:pStyle w:val="Compact"/>
        <w:numPr>
          <w:ilvl w:val="0"/>
          <w:numId w:val="1003"/>
        </w:numPr>
      </w:pPr>
      <w:r>
        <w:t xml:space="preserve">O que faz bem e onde falha — com exemplos do contexto judicial</w:t>
      </w:r>
    </w:p>
    <w:p>
      <w:pPr>
        <w:pStyle w:val="Compact"/>
        <w:numPr>
          <w:ilvl w:val="0"/>
          <w:numId w:val="1003"/>
        </w:numPr>
      </w:pPr>
      <w:r>
        <w:t xml:space="preserve">Contexto e tokens: por que não despejar o processo inteiro na ferramenta</w:t>
      </w:r>
    </w:p>
    <w:p>
      <w:pPr>
        <w:pStyle w:val="Compact"/>
        <w:numPr>
          <w:ilvl w:val="0"/>
          <w:numId w:val="1003"/>
        </w:numPr>
      </w:pPr>
      <w:r>
        <w:t xml:space="preserve">Anatomia do</w:t>
      </w:r>
      <w:r>
        <w:t xml:space="preserve"> </w:t>
      </w:r>
      <w:r>
        <w:rPr>
          <w:b/>
          <w:bCs/>
        </w:rPr>
        <w:t xml:space="preserve">prompt em 6 etapas</w:t>
      </w:r>
      <w:r>
        <w:t xml:space="preserve">: contexto, tom, tarefa, exemplos, qualidade, formato</w:t>
      </w:r>
    </w:p>
    <w:p>
      <w:pPr>
        <w:pStyle w:val="FirstParagraph"/>
      </w:pPr>
      <w:r>
        <w:t xml:space="preserve">Encontro 2 — Prompts melhores e biblioteca (3h)</w:t>
      </w:r>
    </w:p>
    <w:p>
      <w:pPr>
        <w:pStyle w:val="Compact"/>
        <w:numPr>
          <w:ilvl w:val="0"/>
          <w:numId w:val="1004"/>
        </w:numPr>
      </w:pPr>
      <w:r>
        <w:t xml:space="preserve">Prompt fraco × prompt forte: o mesmo pedido, duas saídas</w:t>
      </w:r>
    </w:p>
    <w:p>
      <w:pPr>
        <w:pStyle w:val="Compact"/>
        <w:numPr>
          <w:ilvl w:val="0"/>
          <w:numId w:val="1004"/>
        </w:numPr>
      </w:pPr>
      <w:r>
        <w:t xml:space="preserve">Técnicas que elevam a qualidade: raciocínio passo a passo, exemplos calibradores, separação entre instrução e documento (inclusive contra instrução embutida), iteração</w:t>
      </w:r>
    </w:p>
    <w:p>
      <w:pPr>
        <w:pStyle w:val="Compact"/>
        <w:numPr>
          <w:ilvl w:val="0"/>
          <w:numId w:val="1004"/>
        </w:numPr>
      </w:pPr>
      <w:r>
        <w:t xml:space="preserve">Biblioteca de prompts da unidade: o Banco de Prompts (14 prompts-mestre + apêndices)</w:t>
      </w:r>
    </w:p>
    <w:p>
      <w:pPr>
        <w:pStyle w:val="Compact"/>
        <w:numPr>
          <w:ilvl w:val="0"/>
          <w:numId w:val="1004"/>
        </w:numPr>
      </w:pPr>
      <w:r>
        <w:t xml:space="preserve">Qual ferramenta usar: escolha pela tarefa, não pela marca — o método importa mais que a ferramenta</w:t>
      </w:r>
    </w:p>
    <w:bookmarkEnd w:id="27"/>
    <w:bookmarkStart w:id="28" w:name="X57303bb81bb74bc5e8f403dca658ba3a6632868"/>
    <w:p>
      <w:pPr>
        <w:pStyle w:val="Heading3"/>
      </w:pPr>
      <w:r>
        <w:t xml:space="preserve">8.2 Módulo 2 — Pensamento Crítico e Causal com IA (6h)</w:t>
      </w:r>
    </w:p>
    <w:p>
      <w:pPr>
        <w:pStyle w:val="FirstParagraph"/>
      </w:pPr>
      <w:r>
        <w:t xml:space="preserve">Encontro 1 — Correlação, causa oculta e contrafactual (3h)</w:t>
      </w:r>
    </w:p>
    <w:p>
      <w:pPr>
        <w:pStyle w:val="Compact"/>
        <w:numPr>
          <w:ilvl w:val="0"/>
          <w:numId w:val="1005"/>
        </w:numPr>
      </w:pPr>
      <w:r>
        <w:t xml:space="preserve">Por que questionar a IA: ela rascunha, não decide</w:t>
      </w:r>
    </w:p>
    <w:p>
      <w:pPr>
        <w:pStyle w:val="Compact"/>
        <w:numPr>
          <w:ilvl w:val="0"/>
          <w:numId w:val="1005"/>
        </w:numPr>
      </w:pPr>
      <w:r>
        <w:t xml:space="preserve">Correlação não é causa: a causa oculta (confundidor) — do cotidiano ao judicial</w:t>
      </w:r>
    </w:p>
    <w:p>
      <w:pPr>
        <w:pStyle w:val="Compact"/>
        <w:numPr>
          <w:ilvl w:val="0"/>
          <w:numId w:val="1005"/>
        </w:numPr>
      </w:pPr>
      <w:r>
        <w:t xml:space="preserve">Pensamento contrafactual:</w:t>
      </w:r>
      <w:r>
        <w:t xml:space="preserve"> </w:t>
      </w:r>
      <w:r>
        <w:t xml:space="preserve">“</w:t>
      </w:r>
      <w:r>
        <w:t xml:space="preserve">e se não tivéssemos adotado?</w:t>
      </w:r>
      <w:r>
        <w:t xml:space="preserve">”</w:t>
      </w:r>
      <w:r>
        <w:t xml:space="preserve"> </w:t>
      </w:r>
      <w:r>
        <w:t xml:space="preserve">— tendência anterior, grupo de comparação e registro do</w:t>
      </w:r>
      <w:r>
        <w:t xml:space="preserve"> </w:t>
      </w:r>
      <w:r>
        <w:t xml:space="preserve">“</w:t>
      </w:r>
      <w:r>
        <w:t xml:space="preserve">antes</w:t>
      </w:r>
      <w:r>
        <w:t xml:space="preserve">”</w:t>
      </w:r>
    </w:p>
    <w:p>
      <w:pPr>
        <w:pStyle w:val="FirstParagraph"/>
      </w:pPr>
      <w:r>
        <w:t xml:space="preserve">Encontro 2 — Alucinações, validação e checklist (3h)</w:t>
      </w:r>
    </w:p>
    <w:p>
      <w:pPr>
        <w:pStyle w:val="Compact"/>
        <w:numPr>
          <w:ilvl w:val="0"/>
          <w:numId w:val="1006"/>
        </w:numPr>
      </w:pPr>
      <w:r>
        <w:t xml:space="preserve">Detectar alucinações: sinais de alerta; citação inventada e conferência na fonte oficial</w:t>
      </w:r>
    </w:p>
    <w:p>
      <w:pPr>
        <w:pStyle w:val="Compact"/>
        <w:numPr>
          <w:ilvl w:val="0"/>
          <w:numId w:val="1006"/>
        </w:numPr>
      </w:pPr>
      <w:r>
        <w:t xml:space="preserve">Validar antes de confiar: cruzar fontes; pedir à IA que aponte as próprias fraquezas</w:t>
      </w:r>
    </w:p>
    <w:p>
      <w:pPr>
        <w:pStyle w:val="Compact"/>
        <w:numPr>
          <w:ilvl w:val="0"/>
          <w:numId w:val="1006"/>
        </w:numPr>
      </w:pPr>
      <w:r>
        <w:t xml:space="preserve">Checklist de supervisão e decisão humana; auditoria da</w:t>
      </w:r>
      <w:r>
        <w:t xml:space="preserve"> </w:t>
      </w:r>
      <w:r>
        <w:t xml:space="preserve">“</w:t>
      </w:r>
      <w:r>
        <w:t xml:space="preserve">resposta boa demais</w:t>
      </w:r>
      <w:r>
        <w:t xml:space="preserve">”</w:t>
      </w:r>
      <w:r>
        <w:t xml:space="preserve"> </w:t>
      </w:r>
      <w:r>
        <w:t xml:space="preserve">(detectar lacuna, não só erro)</w:t>
      </w:r>
    </w:p>
    <w:bookmarkEnd w:id="28"/>
    <w:bookmarkStart w:id="29" w:name="módulo-3-prática-forense-10h"/>
    <w:p>
      <w:pPr>
        <w:pStyle w:val="Heading3"/>
      </w:pPr>
      <w:r>
        <w:t xml:space="preserve">8.3 Módulo 3 — Prática Forense (10h)</w:t>
      </w:r>
    </w:p>
    <w:p>
      <w:pPr>
        <w:pStyle w:val="FirstParagraph"/>
      </w:pPr>
      <w:r>
        <w:t xml:space="preserve">Aula 1 — Triagem e resumo (3h)</w:t>
      </w:r>
    </w:p>
    <w:p>
      <w:pPr>
        <w:pStyle w:val="Compact"/>
        <w:numPr>
          <w:ilvl w:val="0"/>
          <w:numId w:val="1007"/>
        </w:numPr>
      </w:pPr>
      <w:r>
        <w:t xml:space="preserve">Triagem e classificação assistida (demonstração ao vivo com lote de demandas — incluindo defesa contra instrução embutida em item do lote)</w:t>
      </w:r>
    </w:p>
    <w:p>
      <w:pPr>
        <w:pStyle w:val="Compact"/>
        <w:numPr>
          <w:ilvl w:val="0"/>
          <w:numId w:val="1007"/>
        </w:numPr>
      </w:pPr>
      <w:r>
        <w:t xml:space="preserve">Resumo de peças e processos, com conferência contra o original</w:t>
      </w:r>
    </w:p>
    <w:p>
      <w:pPr>
        <w:pStyle w:val="FirstParagraph"/>
      </w:pPr>
      <w:r>
        <w:t xml:space="preserve">Aula 2 — Minutas, jurisprudência e conferência (3h)</w:t>
      </w:r>
    </w:p>
    <w:p>
      <w:pPr>
        <w:pStyle w:val="Compact"/>
        <w:numPr>
          <w:ilvl w:val="0"/>
          <w:numId w:val="1008"/>
        </w:numPr>
      </w:pPr>
      <w:r>
        <w:t xml:space="preserve">Minutas e despachos com supervisão crítica — o conteúdo jurídico e a assinatura são sempre do servidor</w:t>
      </w:r>
    </w:p>
    <w:p>
      <w:pPr>
        <w:pStyle w:val="Compact"/>
        <w:numPr>
          <w:ilvl w:val="0"/>
          <w:numId w:val="1008"/>
        </w:numPr>
      </w:pPr>
      <w:r>
        <w:t xml:space="preserve">Pesquisa de jurisprudência com salvaguardas contra alucinação — conferência na fonte oficial</w:t>
      </w:r>
    </w:p>
    <w:p>
      <w:pPr>
        <w:pStyle w:val="Compact"/>
        <w:numPr>
          <w:ilvl w:val="0"/>
          <w:numId w:val="1008"/>
        </w:numPr>
      </w:pPr>
      <w:r>
        <w:t xml:space="preserve">Comparação e conferência de documentos</w:t>
      </w:r>
    </w:p>
    <w:p>
      <w:pPr>
        <w:pStyle w:val="FirstParagraph"/>
      </w:pPr>
      <w:r>
        <w:t xml:space="preserve">Aula 3 — Relatórios, lote e projeto integrador (4h)</w:t>
      </w:r>
    </w:p>
    <w:p>
      <w:pPr>
        <w:pStyle w:val="Compact"/>
        <w:numPr>
          <w:ilvl w:val="0"/>
          <w:numId w:val="1009"/>
        </w:numPr>
      </w:pPr>
      <w:r>
        <w:t xml:space="preserve">Relatórios e organização de dados</w:t>
      </w:r>
    </w:p>
    <w:p>
      <w:pPr>
        <w:pStyle w:val="Compact"/>
        <w:numPr>
          <w:ilvl w:val="0"/>
          <w:numId w:val="1009"/>
        </w:numPr>
      </w:pPr>
      <w:r>
        <w:t xml:space="preserve">Modelos e trabalho em lote, com anonimização prévia</w:t>
      </w:r>
    </w:p>
    <w:p>
      <w:pPr>
        <w:pStyle w:val="Compact"/>
        <w:numPr>
          <w:ilvl w:val="0"/>
          <w:numId w:val="1009"/>
        </w:numPr>
      </w:pPr>
      <w:r>
        <w:rPr>
          <w:b/>
          <w:bCs/>
        </w:rPr>
        <w:t xml:space="preserve">Projeto integrador</w:t>
      </w:r>
      <w:r>
        <w:t xml:space="preserve">: cada participante resolve um caso da própria unidade ponta a ponta, com registro do antes e do depois (</w:t>
      </w:r>
      <w:r>
        <w:rPr>
          <w:i/>
          <w:iCs/>
        </w:rPr>
        <w:t xml:space="preserve">baseline</w:t>
      </w:r>
      <w:r>
        <w:t xml:space="preserve">)</w:t>
      </w:r>
    </w:p>
    <w:bookmarkEnd w:id="29"/>
    <w:bookmarkStart w:id="30" w:name="Xaed2516a049ce6bcafbf32bb6730181bccf4242"/>
    <w:p>
      <w:pPr>
        <w:pStyle w:val="Heading3"/>
      </w:pPr>
      <w:r>
        <w:t xml:space="preserve">8.4 Módulo 4 — Ética, LGPD e Governança de IA (2h)</w:t>
      </w:r>
    </w:p>
    <w:p>
      <w:pPr>
        <w:pStyle w:val="FirstParagraph"/>
      </w:pPr>
      <w:r>
        <w:t xml:space="preserve">Encontro único — Usar a IA dentro da lei e do sigilo (2h)</w:t>
      </w:r>
    </w:p>
    <w:p>
      <w:pPr>
        <w:pStyle w:val="Compact"/>
        <w:numPr>
          <w:ilvl w:val="0"/>
          <w:numId w:val="1010"/>
        </w:numPr>
      </w:pPr>
      <w:r>
        <w:t xml:space="preserve">Resolução CNJ nº 615/2025: governança e supervisão humana obrigatória</w:t>
      </w:r>
    </w:p>
    <w:p>
      <w:pPr>
        <w:pStyle w:val="Compact"/>
        <w:numPr>
          <w:ilvl w:val="0"/>
          <w:numId w:val="1010"/>
        </w:numPr>
      </w:pPr>
      <w:r>
        <w:t xml:space="preserve">Sigilo: o que pode e o que não pode ir para a IA — bloqueio absoluto a dados sob segredo de justiça em ferramenta externa</w:t>
      </w:r>
    </w:p>
    <w:p>
      <w:pPr>
        <w:pStyle w:val="Compact"/>
        <w:numPr>
          <w:ilvl w:val="0"/>
          <w:numId w:val="1010"/>
        </w:numPr>
      </w:pPr>
      <w:r>
        <w:t xml:space="preserve">LGPD e anonimização na prática</w:t>
      </w:r>
    </w:p>
    <w:p>
      <w:pPr>
        <w:pStyle w:val="Compact"/>
        <w:numPr>
          <w:ilvl w:val="0"/>
          <w:numId w:val="1010"/>
        </w:numPr>
      </w:pPr>
      <w:r>
        <w:t xml:space="preserve">Vieses algorítmicos e boas práticas de segurança</w:t>
      </w:r>
    </w:p>
    <w:p>
      <w:pPr>
        <w:pStyle w:val="Compact"/>
        <w:numPr>
          <w:ilvl w:val="0"/>
          <w:numId w:val="1010"/>
        </w:numPr>
      </w:pPr>
      <w:r>
        <w:t xml:space="preserve">Estudo de casos (</w:t>
      </w:r>
      <w:r>
        <w:t xml:space="preserve">“</w:t>
      </w:r>
      <w:r>
        <w:t xml:space="preserve">posso colar este processo na IA?</w:t>
      </w:r>
      <w:r>
        <w:t xml:space="preserve">”</w:t>
      </w:r>
      <w:r>
        <w:t xml:space="preserve">): cada participante decide caso a caso e justifica; a discussão é feita com a turma inteira</w:t>
      </w:r>
    </w:p>
    <w:p>
      <w:pPr>
        <w:pStyle w:val="Compact"/>
        <w:numPr>
          <w:ilvl w:val="0"/>
          <w:numId w:val="1010"/>
        </w:numPr>
      </w:pPr>
      <w:r>
        <w:t xml:space="preserve">Bloco-horizonte de encerramento: sistemas agênticos — assistente × agente, o servidor como regente, autonomia com responsabilidade</w:t>
      </w:r>
    </w:p>
    <w:bookmarkEnd w:id="30"/>
    <w:bookmarkEnd w:id="31"/>
    <w:bookmarkStart w:id="32" w:name="metodologia"/>
    <w:p>
      <w:pPr>
        <w:pStyle w:val="Heading2"/>
      </w:pPr>
      <w:r>
        <w:t xml:space="preserve">9. Metodologia</w:t>
      </w:r>
    </w:p>
    <w:p>
      <w:pPr>
        <w:pStyle w:val="FirstParagraph"/>
      </w:pPr>
      <w:r>
        <w:t xml:space="preserve">O curso adota o princípio andragógico de</w:t>
      </w:r>
      <w:r>
        <w:t xml:space="preserve"> </w:t>
      </w:r>
      <w:r>
        <w:rPr>
          <w:b/>
          <w:bCs/>
        </w:rPr>
        <w:t xml:space="preserve">70% prática e 30% teoria</w:t>
      </w:r>
      <w:r>
        <w:t xml:space="preserve">, no ciclo</w:t>
      </w:r>
      <w:r>
        <w:t xml:space="preserve"> </w:t>
      </w:r>
      <w:r>
        <w:rPr>
          <w:i/>
          <w:iCs/>
        </w:rPr>
        <w:t xml:space="preserve">conceito → exemplo da Vara → demonstração ao vivo na IA → mão na massa</w:t>
      </w:r>
      <w:r>
        <w:t xml:space="preserve">. O instrutor conduz por videoconferência, compartilhando o deck do curso e a ferramenta de IA em tempo real; os participantes acompanham o deck no próprio dispositivo e praticam com os prompts do Banco.</w:t>
      </w:r>
      <w:r>
        <w:t xml:space="preserve"> </w:t>
      </w:r>
      <w:r>
        <w:rPr>
          <w:b/>
          <w:bCs/>
        </w:rPr>
        <w:t xml:space="preserve">A prática é individual</w:t>
      </w:r>
      <w:r>
        <w:t xml:space="preserve">: cada participante trabalha na própria tarefa, com a sala aberta e o instrutor disponível durante todo o bloco — não há salas de videoconferência (</w:t>
      </w:r>
      <w:r>
        <w:rPr>
          <w:i/>
          <w:iCs/>
        </w:rPr>
        <w:t xml:space="preserve">breakout</w:t>
      </w:r>
      <w:r>
        <w:t xml:space="preserve">) nem entrega em dupla ou grupo. Ao fim de cada bloco, dois ou três participantes compartilham o resultado com a turma; dúvidas e</w:t>
      </w:r>
      <w:r>
        <w:t xml:space="preserve"> </w:t>
      </w:r>
      <w:r>
        <w:t xml:space="preserve">“</w:t>
      </w:r>
      <w:r>
        <w:t xml:space="preserve">termômetro</w:t>
      </w:r>
      <w:r>
        <w:t xml:space="preserve">”</w:t>
      </w:r>
      <w:r>
        <w:t xml:space="preserve"> </w:t>
      </w:r>
      <w:r>
        <w:t xml:space="preserve">da turma correm pelo chat e por enquetes.</w:t>
      </w:r>
    </w:p>
    <w:p>
      <w:pPr>
        <w:pStyle w:val="BodyText"/>
      </w:pPr>
      <w:r>
        <w:t xml:space="preserve">Cada participante constrói, no Módulo 3, um</w:t>
      </w:r>
      <w:r>
        <w:t xml:space="preserve"> </w:t>
      </w:r>
      <w:r>
        <w:rPr>
          <w:b/>
          <w:bCs/>
        </w:rPr>
        <w:t xml:space="preserve">projeto integrador</w:t>
      </w:r>
      <w:r>
        <w:t xml:space="preserve"> </w:t>
      </w:r>
      <w:r>
        <w:t xml:space="preserve">que resolve problema real de sua unidade. O projeto exige o registro da situação anterior (</w:t>
      </w:r>
      <w:r>
        <w:rPr>
          <w:i/>
          <w:iCs/>
        </w:rPr>
        <w:t xml:space="preserve">baseline</w:t>
      </w:r>
      <w:r>
        <w:t xml:space="preserve">) e do resultado obtido — o</w:t>
      </w:r>
      <w:r>
        <w:t xml:space="preserve"> </w:t>
      </w:r>
      <w:r>
        <w:t xml:space="preserve">“</w:t>
      </w:r>
      <w:r>
        <w:t xml:space="preserve">antes × depois</w:t>
      </w:r>
      <w:r>
        <w:t xml:space="preserve">”</w:t>
      </w:r>
      <w:r>
        <w:t xml:space="preserve"> </w:t>
      </w:r>
      <w:r>
        <w:t xml:space="preserve">que alimenta os indicadores do Eixo III e a articulação com o Lab de Impacto (Frente 3).</w:t>
      </w:r>
    </w:p>
    <w:p>
      <w:pPr>
        <w:pStyle w:val="BodyText"/>
      </w:pPr>
      <w:r>
        <w:t xml:space="preserve">A facilitação é conduzida por instrutor com prática real em uso de IA no trabalho judicial. A partir da Turma 2, multiplicadores formados (Ação 1.3) podem co-conduzir módulos específicos com supervisão.</w:t>
      </w:r>
    </w:p>
    <w:bookmarkEnd w:id="32"/>
    <w:bookmarkStart w:id="33" w:name="recursos-didáticos"/>
    <w:p>
      <w:pPr>
        <w:pStyle w:val="Heading2"/>
      </w:pPr>
      <w:r>
        <w:t xml:space="preserve">10. Recursos didáticos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Recurso</w:t>
            </w:r>
          </w:p>
        </w:tc>
        <w:tc>
          <w:tcPr/>
          <w:p>
            <w:pPr>
              <w:pStyle w:val="Compact"/>
              <w:jc w:val="left"/>
            </w:pPr>
            <w:r>
              <w:t xml:space="preserve">Origem</w:t>
            </w:r>
          </w:p>
        </w:tc>
      </w:tr>
      <w:tr>
        <w:tc>
          <w:tcPr/>
          <w:p>
            <w:pPr>
              <w:pStyle w:val="Compact"/>
              <w:jc w:val="left"/>
            </w:pPr>
            <w:r>
              <w:t xml:space="preserve">Plataforma de videoconferência com chat e enquetes</w:t>
            </w:r>
          </w:p>
        </w:tc>
        <w:tc>
          <w:tcPr/>
          <w:p>
            <w:pPr>
              <w:pStyle w:val="Compact"/>
              <w:jc w:val="left"/>
            </w:pPr>
            <w:r>
              <w:t xml:space="preserve">Infraestrutura institucional</w:t>
            </w:r>
          </w:p>
        </w:tc>
      </w:tr>
      <w:tr>
        <w:tc>
          <w:tcPr/>
          <w:p>
            <w:pPr>
              <w:pStyle w:val="Compact"/>
              <w:jc w:val="left"/>
            </w:pPr>
            <w:r>
              <w:t xml:space="preserve">Deck do curso (apresentação animada, endereço público)</w:t>
            </w:r>
          </w:p>
        </w:tc>
        <w:tc>
          <w:tcPr/>
          <w:p>
            <w:pPr>
              <w:pStyle w:val="Compact"/>
              <w:jc w:val="left"/>
            </w:pPr>
            <w:r>
              <w:t xml:space="preserve">Material do Eixo III, acessível por link e QR</w:t>
            </w:r>
          </w:p>
        </w:tc>
      </w:tr>
      <w:tr>
        <w:tc>
          <w:tcPr/>
          <w:p>
            <w:pPr>
              <w:pStyle w:val="Compact"/>
              <w:jc w:val="left"/>
            </w:pPr>
            <w:r>
              <w:t xml:space="preserve">Banco de Prompts — 14 prompts-mestre + apêndices temáticos e roteiros de demonstração</w:t>
            </w:r>
          </w:p>
        </w:tc>
        <w:tc>
          <w:tcPr/>
          <w:p>
            <w:pPr>
              <w:pStyle w:val="Compact"/>
              <w:jc w:val="left"/>
            </w:pPr>
            <w:r>
              <w:t xml:space="preserve">Documento institucional do curso (endereço público)</w:t>
            </w:r>
          </w:p>
        </w:tc>
      </w:tr>
      <w:tr>
        <w:tc>
          <w:tcPr/>
          <w:p>
            <w:pPr>
              <w:pStyle w:val="Compact"/>
              <w:jc w:val="left"/>
            </w:pPr>
            <w:r>
              <w:t xml:space="preserve">Conta de uso individual em ferramenta de IA generativa</w:t>
            </w:r>
          </w:p>
        </w:tc>
        <w:tc>
          <w:tcPr/>
          <w:p>
            <w:pPr>
              <w:pStyle w:val="Compact"/>
              <w:jc w:val="left"/>
            </w:pPr>
            <w:r>
              <w:t xml:space="preserve">Acesso institucional ou conta pessoal do participante</w:t>
            </w:r>
          </w:p>
        </w:tc>
      </w:tr>
      <w:tr>
        <w:tc>
          <w:tcPr/>
          <w:p>
            <w:pPr>
              <w:pStyle w:val="Compact"/>
              <w:jc w:val="left"/>
            </w:pPr>
            <w:r>
              <w:t xml:space="preserve">Guia metodológico do curso (método, roteiro de cada aula e mapa de amarração) e guia rápido do instrutor</w:t>
            </w:r>
          </w:p>
        </w:tc>
        <w:tc>
          <w:tcPr/>
          <w:p>
            <w:pPr>
              <w:pStyle w:val="Compact"/>
              <w:jc w:val="left"/>
            </w:pPr>
            <w:r>
              <w:t xml:space="preserve">Documento interno do curso</w:t>
            </w:r>
          </w:p>
        </w:tc>
      </w:tr>
      <w:tr>
        <w:tc>
          <w:tcPr/>
          <w:p>
            <w:pPr>
              <w:pStyle w:val="Compact"/>
              <w:jc w:val="left"/>
            </w:pPr>
            <w:r>
              <w:t xml:space="preserve">Material de apoio</w:t>
            </w:r>
          </w:p>
        </w:tc>
        <w:tc>
          <w:tcPr/>
          <w:p>
            <w:pPr>
              <w:pStyle w:val="Compact"/>
              <w:jc w:val="left"/>
            </w:pPr>
            <w:r>
              <w:t xml:space="preserve">Handout</w:t>
            </w:r>
            <w:r>
              <w:t xml:space="preserve"> </w:t>
            </w:r>
            <w:r>
              <w:rPr>
                <w:i/>
                <w:iCs/>
              </w:rPr>
              <w:t xml:space="preserve">Regras de Ouro</w:t>
            </w:r>
            <w:r>
              <w:t xml:space="preserve">, ficha de validação, formulários de avaliação</w:t>
            </w:r>
          </w:p>
        </w:tc>
      </w:tr>
      <w:tr>
        <w:tc>
          <w:tcPr/>
          <w:p>
            <w:pPr>
              <w:pStyle w:val="Compact"/>
              <w:jc w:val="left"/>
            </w:pPr>
            <w:r>
              <w:t xml:space="preserve">Repositório de Prompts da JFCE</w:t>
            </w:r>
          </w:p>
        </w:tc>
        <w:tc>
          <w:tcPr/>
          <w:p>
            <w:pPr>
              <w:pStyle w:val="Compact"/>
              <w:jc w:val="left"/>
            </w:pPr>
            <w:r>
              <w:t xml:space="preserve">Acesso curado para consulta e contribuição</w:t>
            </w:r>
          </w:p>
        </w:tc>
      </w:tr>
    </w:tbl>
    <w:bookmarkEnd w:id="33"/>
    <w:bookmarkStart w:id="34" w:name="avaliação"/>
    <w:p>
      <w:pPr>
        <w:pStyle w:val="Heading2"/>
      </w:pPr>
      <w:r>
        <w:t xml:space="preserve">11. Avaliação</w:t>
      </w:r>
    </w:p>
    <w:p>
      <w:pPr>
        <w:pStyle w:val="FirstParagraph"/>
      </w:pPr>
      <w:r>
        <w:t xml:space="preserve">A avaliação é por</w:t>
      </w:r>
      <w:r>
        <w:t xml:space="preserve"> </w:t>
      </w:r>
      <w:r>
        <w:rPr>
          <w:b/>
          <w:bCs/>
        </w:rPr>
        <w:t xml:space="preserve">aplicação</w:t>
      </w:r>
      <w:r>
        <w:t xml:space="preserve">, não por prova teórica.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Critério</w:t>
            </w:r>
          </w:p>
        </w:tc>
        <w:tc>
          <w:tcPr/>
          <w:p>
            <w:pPr>
              <w:pStyle w:val="Compact"/>
              <w:jc w:val="left"/>
            </w:pPr>
            <w:r>
              <w:t xml:space="preserve">Peso</w:t>
            </w:r>
          </w:p>
        </w:tc>
        <w:tc>
          <w:tcPr/>
          <w:p>
            <w:pPr>
              <w:pStyle w:val="Compact"/>
              <w:jc w:val="left"/>
            </w:pPr>
            <w:r>
              <w:t xml:space="preserve">Forma</w:t>
            </w:r>
          </w:p>
        </w:tc>
      </w:tr>
      <w:tr>
        <w:tc>
          <w:tcPr/>
          <w:p>
            <w:pPr>
              <w:pStyle w:val="Compact"/>
              <w:jc w:val="left"/>
            </w:pPr>
            <w:r>
              <w:rPr>
                <w:b/>
                <w:bCs/>
              </w:rPr>
              <w:t xml:space="preserve">Frequência</w:t>
            </w:r>
          </w:p>
        </w:tc>
        <w:tc>
          <w:tcPr/>
          <w:p>
            <w:pPr>
              <w:pStyle w:val="Compact"/>
              <w:jc w:val="left"/>
            </w:pPr>
            <w:r>
              <w:t xml:space="preserve">requisito</w:t>
            </w:r>
          </w:p>
        </w:tc>
        <w:tc>
          <w:tcPr/>
          <w:p>
            <w:pPr>
              <w:pStyle w:val="Compact"/>
              <w:jc w:val="left"/>
            </w:pPr>
            <w:r>
              <w:t xml:space="preserve">Presença em pelo menos 80% da carga horária</w:t>
            </w:r>
          </w:p>
        </w:tc>
      </w:tr>
      <w:tr>
        <w:tc>
          <w:tcPr/>
          <w:p>
            <w:pPr>
              <w:pStyle w:val="Compact"/>
              <w:jc w:val="left"/>
            </w:pPr>
            <w:r>
              <w:rPr>
                <w:b/>
                <w:bCs/>
              </w:rPr>
              <w:t xml:space="preserve">Entregas dos módulos</w:t>
            </w:r>
          </w:p>
        </w:tc>
        <w:tc>
          <w:tcPr/>
          <w:p>
            <w:pPr>
              <w:pStyle w:val="Compact"/>
              <w:jc w:val="left"/>
            </w:pPr>
            <w:r>
              <w:t xml:space="preserve">requisito</w:t>
            </w:r>
          </w:p>
        </w:tc>
        <w:tc>
          <w:tcPr/>
          <w:p>
            <w:pPr>
              <w:pStyle w:val="Compact"/>
              <w:jc w:val="left"/>
            </w:pPr>
            <w:r>
              <w:t xml:space="preserve">Entrega de pelo menos um exercício validado por módulo</w:t>
            </w:r>
          </w:p>
        </w:tc>
      </w:tr>
      <w:tr>
        <w:tc>
          <w:tcPr/>
          <w:p>
            <w:pPr>
              <w:pStyle w:val="Compact"/>
              <w:jc w:val="left"/>
            </w:pPr>
            <w:r>
              <w:rPr>
                <w:b/>
                <w:bCs/>
              </w:rPr>
              <w:t xml:space="preserve">Projeto integrador</w:t>
            </w:r>
          </w:p>
        </w:tc>
        <w:tc>
          <w:tcPr/>
          <w:p>
            <w:pPr>
              <w:pStyle w:val="Compact"/>
              <w:jc w:val="left"/>
            </w:pPr>
            <w:r>
              <w:t xml:space="preserve">nota final</w:t>
            </w:r>
          </w:p>
        </w:tc>
        <w:tc>
          <w:tcPr/>
          <w:p>
            <w:pPr>
              <w:pStyle w:val="Compact"/>
              <w:jc w:val="left"/>
            </w:pPr>
            <w:r>
              <w:t xml:space="preserve">Individual. Avaliação por rubrica; exige a medição do antes e do depois</w:t>
            </w:r>
          </w:p>
        </w:tc>
      </w:tr>
      <w:tr>
        <w:tc>
          <w:tcPr/>
          <w:p>
            <w:pPr>
              <w:pStyle w:val="Compact"/>
              <w:jc w:val="left"/>
            </w:pPr>
            <w:r>
              <w:rPr>
                <w:b/>
                <w:bCs/>
              </w:rPr>
              <w:t xml:space="preserve">Aplicação real</w:t>
            </w:r>
          </w:p>
        </w:tc>
        <w:tc>
          <w:tcPr/>
          <w:p>
            <w:pPr>
              <w:pStyle w:val="Compact"/>
              <w:jc w:val="left"/>
            </w:pPr>
            <w:r>
              <w:t xml:space="preserve">acompanhamento</w:t>
            </w:r>
          </w:p>
        </w:tc>
        <w:tc>
          <w:tcPr/>
          <w:p>
            <w:pPr>
              <w:pStyle w:val="Compact"/>
              <w:jc w:val="left"/>
            </w:pPr>
            <w:r>
              <w:t xml:space="preserve">Avaliação D+30, D+60 e D+90 — uso efetivo no trabalho</w:t>
            </w:r>
          </w:p>
        </w:tc>
      </w:tr>
    </w:tbl>
    <w:p>
      <w:pPr>
        <w:pStyle w:val="BodyText"/>
      </w:pPr>
      <w:r>
        <w:t xml:space="preserve">Os critérios da rubrica do projeto integrador constam do documento próprio do curso (rubrica). Não há nota numérica única — a avaliação resulta em</w:t>
      </w:r>
      <w:r>
        <w:t xml:space="preserve"> </w:t>
      </w:r>
      <w:r>
        <w:rPr>
          <w:b/>
          <w:bCs/>
        </w:rPr>
        <w:t xml:space="preserve">aprovação com certificação</w:t>
      </w:r>
      <w:r>
        <w:t xml:space="preserve"> </w:t>
      </w:r>
      <w:r>
        <w:t xml:space="preserve">ou</w:t>
      </w:r>
      <w:r>
        <w:t xml:space="preserve"> </w:t>
      </w:r>
      <w:r>
        <w:rPr>
          <w:b/>
          <w:bCs/>
        </w:rPr>
        <w:t xml:space="preserve">complementação dos requisitos</w:t>
      </w:r>
      <w:r>
        <w:t xml:space="preserve">.</w:t>
      </w:r>
    </w:p>
    <w:bookmarkEnd w:id="34"/>
    <w:bookmarkStart w:id="35" w:name="certificação"/>
    <w:p>
      <w:pPr>
        <w:pStyle w:val="Heading2"/>
      </w:pPr>
      <w:r>
        <w:t xml:space="preserve">12. Certificação</w:t>
      </w:r>
    </w:p>
    <w:p>
      <w:pPr>
        <w:pStyle w:val="FirstParagraph"/>
      </w:pPr>
      <w:r>
        <w:t xml:space="preserve">Cada participante que cumprir os requisitos recebe certificado individual de</w:t>
      </w:r>
      <w:r>
        <w:t xml:space="preserve"> </w:t>
      </w:r>
      <w:r>
        <w:rPr>
          <w:b/>
          <w:bCs/>
        </w:rPr>
        <w:t xml:space="preserve">24 (vinte e quatro) horas</w:t>
      </w:r>
      <w:r>
        <w:t xml:space="preserve">, emitido pela Direção do Foro da JFCE, com assinatura da Coordenação do Eixo III.</w:t>
      </w:r>
    </w:p>
    <w:p>
      <w:pPr>
        <w:pStyle w:val="BodyText"/>
      </w:pPr>
      <w:r>
        <w:t xml:space="preserve">O certificado contém:</w:t>
      </w:r>
    </w:p>
    <w:p>
      <w:pPr>
        <w:pStyle w:val="Compact"/>
        <w:numPr>
          <w:ilvl w:val="0"/>
          <w:numId w:val="1011"/>
        </w:numPr>
      </w:pPr>
      <w:r>
        <w:t xml:space="preserve">Nome completo do participante</w:t>
      </w:r>
    </w:p>
    <w:p>
      <w:pPr>
        <w:pStyle w:val="Compact"/>
        <w:numPr>
          <w:ilvl w:val="0"/>
          <w:numId w:val="1011"/>
        </w:numPr>
      </w:pPr>
      <w:r>
        <w:t xml:space="preserve">Carga horária por módulo</w:t>
      </w:r>
    </w:p>
    <w:p>
      <w:pPr>
        <w:pStyle w:val="Compact"/>
        <w:numPr>
          <w:ilvl w:val="0"/>
          <w:numId w:val="1011"/>
        </w:numPr>
      </w:pPr>
      <w:r>
        <w:t xml:space="preserve">Período de realização</w:t>
      </w:r>
    </w:p>
    <w:p>
      <w:pPr>
        <w:pStyle w:val="Compact"/>
        <w:numPr>
          <w:ilvl w:val="0"/>
          <w:numId w:val="1011"/>
        </w:numPr>
      </w:pPr>
      <w:r>
        <w:t xml:space="preserve">Identificador institucional do curso</w:t>
      </w:r>
    </w:p>
    <w:p>
      <w:pPr>
        <w:pStyle w:val="Compact"/>
        <w:numPr>
          <w:ilvl w:val="0"/>
          <w:numId w:val="1011"/>
        </w:numPr>
      </w:pPr>
      <w:r>
        <w:t xml:space="preserve">Identificador da turma</w:t>
      </w:r>
    </w:p>
    <w:p>
      <w:pPr>
        <w:pStyle w:val="FirstParagraph"/>
      </w:pPr>
      <w:r>
        <w:t xml:space="preserve">A certificação habilita o servidor a:</w:t>
      </w:r>
    </w:p>
    <w:p>
      <w:pPr>
        <w:pStyle w:val="Compact"/>
        <w:numPr>
          <w:ilvl w:val="0"/>
          <w:numId w:val="1012"/>
        </w:numPr>
      </w:pPr>
      <w:r>
        <w:t xml:space="preserve">Submeter prompts ao Repositório com tag de coautoria</w:t>
      </w:r>
    </w:p>
    <w:p>
      <w:pPr>
        <w:pStyle w:val="Compact"/>
        <w:numPr>
          <w:ilvl w:val="0"/>
          <w:numId w:val="1012"/>
        </w:numPr>
      </w:pPr>
      <w:r>
        <w:t xml:space="preserve">Candidatar-se ao Programa de Multiplicadores (Ação 1.3) na turma seguinte</w:t>
      </w:r>
    </w:p>
    <w:p>
      <w:pPr>
        <w:pStyle w:val="Compact"/>
        <w:numPr>
          <w:ilvl w:val="0"/>
          <w:numId w:val="1012"/>
        </w:numPr>
      </w:pPr>
      <w:r>
        <w:t xml:space="preserve">Participar de eventos institucionais do Eixo III com prioridade</w:t>
      </w:r>
    </w:p>
    <w:bookmarkEnd w:id="35"/>
    <w:bookmarkStart w:id="36" w:name="indicadores-institucionais"/>
    <w:p>
      <w:pPr>
        <w:pStyle w:val="Heading2"/>
      </w:pPr>
      <w:r>
        <w:t xml:space="preserve">13. Indicadores institucionais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Indicador</w:t>
            </w:r>
          </w:p>
        </w:tc>
        <w:tc>
          <w:tcPr/>
          <w:p>
            <w:pPr>
              <w:pStyle w:val="Compact"/>
              <w:jc w:val="left"/>
            </w:pPr>
            <w:r>
              <w:t xml:space="preserve">Meta para 2026</w:t>
            </w:r>
          </w:p>
        </w:tc>
      </w:tr>
      <w:tr>
        <w:tc>
          <w:tcPr/>
          <w:p>
            <w:pPr>
              <w:pStyle w:val="Compact"/>
              <w:jc w:val="left"/>
            </w:pPr>
            <w:r>
              <w:t xml:space="preserve">Servidores certificados ao final de 2026</w:t>
            </w:r>
          </w:p>
        </w:tc>
        <w:tc>
          <w:tcPr/>
          <w:p>
            <w:pPr>
              <w:pStyle w:val="Compact"/>
              <w:jc w:val="left"/>
            </w:pPr>
            <w:r>
              <w:t xml:space="preserve">50 a 60</w:t>
            </w:r>
          </w:p>
        </w:tc>
      </w:tr>
      <w:tr>
        <w:tc>
          <w:tcPr/>
          <w:p>
            <w:pPr>
              <w:pStyle w:val="Compact"/>
              <w:jc w:val="left"/>
            </w:pPr>
            <w:r>
              <w:t xml:space="preserve">Avaliação média do curso (escala 0-10)</w:t>
            </w:r>
          </w:p>
        </w:tc>
        <w:tc>
          <w:tcPr/>
          <w:p>
            <w:pPr>
              <w:pStyle w:val="Compact"/>
              <w:jc w:val="left"/>
            </w:pPr>
            <w:r>
              <w:t xml:space="preserve">igual ou superior a 8,5</w:t>
            </w:r>
          </w:p>
        </w:tc>
      </w:tr>
      <w:tr>
        <w:tc>
          <w:tcPr/>
          <w:p>
            <w:pPr>
              <w:pStyle w:val="Compact"/>
              <w:jc w:val="left"/>
            </w:pPr>
            <w:r>
              <w:t xml:space="preserve">Taxa de cumprimento do projeto integrador</w:t>
            </w:r>
          </w:p>
        </w:tc>
        <w:tc>
          <w:tcPr/>
          <w:p>
            <w:pPr>
              <w:pStyle w:val="Compact"/>
              <w:jc w:val="left"/>
            </w:pPr>
            <w:r>
              <w:t xml:space="preserve">igual ou superior a 90% dos certificados</w:t>
            </w:r>
          </w:p>
        </w:tc>
      </w:tr>
      <w:tr>
        <w:tc>
          <w:tcPr/>
          <w:p>
            <w:pPr>
              <w:pStyle w:val="Compact"/>
              <w:jc w:val="left"/>
            </w:pPr>
            <w:r>
              <w:t xml:space="preserve">Taxa de aplicação real (D+90)</w:t>
            </w:r>
          </w:p>
        </w:tc>
        <w:tc>
          <w:tcPr/>
          <w:p>
            <w:pPr>
              <w:pStyle w:val="Compact"/>
              <w:jc w:val="left"/>
            </w:pPr>
            <w:r>
              <w:t xml:space="preserve">igual ou superior a 70% dos certificados usam IA pelo menos semanalmente</w:t>
            </w:r>
          </w:p>
        </w:tc>
      </w:tr>
      <w:tr>
        <w:tc>
          <w:tcPr/>
          <w:p>
            <w:pPr>
              <w:pStyle w:val="Compact"/>
              <w:jc w:val="left"/>
            </w:pPr>
            <w:r>
              <w:t xml:space="preserve">Multiplicadores indicados a partir das turmas</w:t>
            </w:r>
          </w:p>
        </w:tc>
        <w:tc>
          <w:tcPr/>
          <w:p>
            <w:pPr>
              <w:pStyle w:val="Compact"/>
              <w:jc w:val="left"/>
            </w:pPr>
            <w:r>
              <w:t xml:space="preserve">5 a 10 (cumulativo, conforme Ação 1.3)</w:t>
            </w:r>
          </w:p>
        </w:tc>
      </w:tr>
    </w:tbl>
    <w:bookmarkEnd w:id="36"/>
    <w:bookmarkStart w:id="37" w:name="articulação-com-outras-ações-do-eixo-iii"/>
    <w:p>
      <w:pPr>
        <w:pStyle w:val="Heading2"/>
      </w:pPr>
      <w:r>
        <w:t xml:space="preserve">14. Articulação com outras ações do Eixo III</w:t>
      </w:r>
    </w:p>
    <w:p>
      <w:pPr>
        <w:pStyle w:val="FirstParagraph"/>
      </w:pPr>
      <w:r>
        <w:t xml:space="preserve">O Curso é o produto de capacitação mais robusto do Eixo. Articula-se diretamente com: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Ação</w:t>
            </w:r>
          </w:p>
        </w:tc>
        <w:tc>
          <w:tcPr/>
          <w:p>
            <w:pPr>
              <w:pStyle w:val="Compact"/>
              <w:jc w:val="left"/>
            </w:pPr>
            <w:r>
              <w:t xml:space="preserve">Articulação</w:t>
            </w:r>
          </w:p>
        </w:tc>
      </w:tr>
      <w:tr>
        <w:tc>
          <w:tcPr/>
          <w:p>
            <w:pPr>
              <w:pStyle w:val="Compact"/>
              <w:jc w:val="left"/>
            </w:pPr>
            <w:r>
              <w:rPr>
                <w:b/>
                <w:bCs/>
              </w:rPr>
              <w:t xml:space="preserve">1.1 — Oficinas Prompt Lab</w:t>
            </w:r>
          </w:p>
        </w:tc>
        <w:tc>
          <w:tcPr/>
          <w:p>
            <w:pPr>
              <w:pStyle w:val="Compact"/>
              <w:jc w:val="left"/>
            </w:pPr>
            <w:r>
              <w:t xml:space="preserve">Conteúdo do Módulo 1 reaproveita material das Oficinas; oficina é entrada natural para o curso</w:t>
            </w:r>
          </w:p>
        </w:tc>
      </w:tr>
      <w:tr>
        <w:tc>
          <w:tcPr/>
          <w:p>
            <w:pPr>
              <w:pStyle w:val="Compact"/>
              <w:jc w:val="left"/>
            </w:pPr>
            <w:r>
              <w:rPr>
                <w:b/>
                <w:bCs/>
              </w:rPr>
              <w:t xml:space="preserve">1.3 — Multiplicadores</w:t>
            </w:r>
          </w:p>
        </w:tc>
        <w:tc>
          <w:tcPr/>
          <w:p>
            <w:pPr>
              <w:pStyle w:val="Compact"/>
              <w:jc w:val="left"/>
            </w:pPr>
            <w:r>
              <w:t xml:space="preserve">Pool de candidatos a multiplicador são certificados das turmas</w:t>
            </w:r>
          </w:p>
        </w:tc>
      </w:tr>
      <w:tr>
        <w:tc>
          <w:tcPr/>
          <w:p>
            <w:pPr>
              <w:pStyle w:val="Compact"/>
              <w:jc w:val="left"/>
            </w:pPr>
            <w:r>
              <w:rPr>
                <w:b/>
                <w:bCs/>
              </w:rPr>
              <w:t xml:space="preserve">2.1 — Adote um Experimento</w:t>
            </w:r>
          </w:p>
        </w:tc>
        <w:tc>
          <w:tcPr/>
          <w:p>
            <w:pPr>
              <w:pStyle w:val="Compact"/>
              <w:jc w:val="left"/>
            </w:pPr>
            <w:r>
              <w:t xml:space="preserve">Projetos integradores do curso podem evoluir para experimentos pilotos</w:t>
            </w:r>
          </w:p>
        </w:tc>
      </w:tr>
      <w:tr>
        <w:tc>
          <w:tcPr/>
          <w:p>
            <w:pPr>
              <w:pStyle w:val="Compact"/>
              <w:jc w:val="left"/>
            </w:pPr>
            <w:r>
              <w:rPr>
                <w:b/>
                <w:bCs/>
              </w:rPr>
              <w:t xml:space="preserve">2.2 — Publicações Periódicas</w:t>
            </w:r>
          </w:p>
        </w:tc>
        <w:tc>
          <w:tcPr/>
          <w:p>
            <w:pPr>
              <w:pStyle w:val="Compact"/>
              <w:jc w:val="left"/>
            </w:pPr>
            <w:r>
              <w:t xml:space="preserve">Cases dos projetos integradores alimentam pautas</w:t>
            </w:r>
          </w:p>
        </w:tc>
      </w:tr>
      <w:tr>
        <w:tc>
          <w:tcPr/>
          <w:p>
            <w:pPr>
              <w:pStyle w:val="Compact"/>
              <w:jc w:val="left"/>
            </w:pPr>
            <w:r>
              <w:rPr>
                <w:b/>
                <w:bCs/>
              </w:rPr>
              <w:t xml:space="preserve">3.1 — Lab de Impacto</w:t>
            </w:r>
          </w:p>
        </w:tc>
        <w:tc>
          <w:tcPr/>
          <w:p>
            <w:pPr>
              <w:pStyle w:val="Compact"/>
              <w:jc w:val="left"/>
            </w:pPr>
            <w:r>
              <w:t xml:space="preserve">O Módulo 2 (pensamento crítico e causal) fornece a base teórica do Lab; a medição antes × depois do projeto integrador gera a evidência; certificados são candidatos a auxiliar no Lab</w:t>
            </w:r>
          </w:p>
        </w:tc>
      </w:tr>
      <w:tr>
        <w:tc>
          <w:tcPr/>
          <w:p>
            <w:pPr>
              <w:pStyle w:val="Compact"/>
              <w:jc w:val="left"/>
            </w:pPr>
            <w:r>
              <w:rPr>
                <w:b/>
                <w:bCs/>
              </w:rPr>
              <w:t xml:space="preserve">4.1 — Repositório de Prompts</w:t>
            </w:r>
          </w:p>
        </w:tc>
        <w:tc>
          <w:tcPr/>
          <w:p>
            <w:pPr>
              <w:pStyle w:val="Compact"/>
              <w:jc w:val="left"/>
            </w:pPr>
            <w:r>
              <w:t xml:space="preserve">Cada projeto integrador contribui com prompts validados</w:t>
            </w:r>
          </w:p>
        </w:tc>
      </w:tr>
      <w:tr>
        <w:tc>
          <w:tcPr/>
          <w:p>
            <w:pPr>
              <w:pStyle w:val="Compact"/>
              <w:jc w:val="left"/>
            </w:pPr>
            <w:r>
              <w:rPr>
                <w:b/>
                <w:bCs/>
              </w:rPr>
              <w:t xml:space="preserve">4.3 — Diretrizes Internas de IA</w:t>
            </w:r>
          </w:p>
        </w:tc>
        <w:tc>
          <w:tcPr/>
          <w:p>
            <w:pPr>
              <w:pStyle w:val="Compact"/>
              <w:jc w:val="left"/>
            </w:pPr>
            <w:r>
              <w:t xml:space="preserve">Conteúdo do Módulo 4 antecipa e prepara recepção das Diretrizes</w:t>
            </w:r>
          </w:p>
        </w:tc>
      </w:tr>
    </w:tbl>
    <w:bookmarkEnd w:id="37"/>
    <w:bookmarkStart w:id="38" w:name="comunidade-de-prática"/>
    <w:p>
      <w:pPr>
        <w:pStyle w:val="Heading2"/>
      </w:pPr>
      <w:r>
        <w:t xml:space="preserve">15. Comunidade de prática</w:t>
      </w:r>
    </w:p>
    <w:p>
      <w:pPr>
        <w:pStyle w:val="FirstParagraph"/>
      </w:pPr>
      <w:r>
        <w:t xml:space="preserve">Após a certificação, o participante é incluído, mediante adesão voluntária, em</w:t>
      </w:r>
      <w:r>
        <w:t xml:space="preserve"> </w:t>
      </w:r>
      <w:r>
        <w:rPr>
          <w:b/>
          <w:bCs/>
        </w:rPr>
        <w:t xml:space="preserve">comunidade de prática institucional</w:t>
      </w:r>
      <w:r>
        <w:t xml:space="preserve"> </w:t>
      </w:r>
      <w:r>
        <w:t xml:space="preserve">mantida pelo Eixo III. A comunidade tem por funções:</w:t>
      </w:r>
    </w:p>
    <w:p>
      <w:pPr>
        <w:pStyle w:val="Compact"/>
        <w:numPr>
          <w:ilvl w:val="0"/>
          <w:numId w:val="1013"/>
        </w:numPr>
      </w:pPr>
      <w:r>
        <w:t xml:space="preserve">Tirar dúvidas sobre uso de IA no trabalho diário</w:t>
      </w:r>
    </w:p>
    <w:p>
      <w:pPr>
        <w:pStyle w:val="Compact"/>
        <w:numPr>
          <w:ilvl w:val="0"/>
          <w:numId w:val="1013"/>
        </w:numPr>
      </w:pPr>
      <w:r>
        <w:t xml:space="preserve">Compartilhar prompts validados</w:t>
      </w:r>
    </w:p>
    <w:p>
      <w:pPr>
        <w:pStyle w:val="Compact"/>
        <w:numPr>
          <w:ilvl w:val="0"/>
          <w:numId w:val="1013"/>
        </w:numPr>
      </w:pPr>
      <w:r>
        <w:t xml:space="preserve">Discutir mudanças regulatórias e de ferramenta</w:t>
      </w:r>
    </w:p>
    <w:p>
      <w:pPr>
        <w:pStyle w:val="Compact"/>
        <w:numPr>
          <w:ilvl w:val="0"/>
          <w:numId w:val="1013"/>
        </w:numPr>
      </w:pPr>
      <w:r>
        <w:t xml:space="preserve">Trocar cases entre unidades</w:t>
      </w:r>
    </w:p>
    <w:p>
      <w:pPr>
        <w:pStyle w:val="FirstParagraph"/>
      </w:pPr>
      <w:r>
        <w:t xml:space="preserve">A comunidade conta com encontros mensais opcionais (1 hora) e canal assíncrono de mensagens.</w:t>
      </w:r>
    </w:p>
    <w:bookmarkEnd w:id="38"/>
    <w:bookmarkStart w:id="39" w:name="X6e08af12dd73aa8c9fc341b879829d4fea4e4df"/>
    <w:p>
      <w:pPr>
        <w:pStyle w:val="Heading2"/>
      </w:pPr>
      <w:r>
        <w:t xml:space="preserve">16. Disposições finais e registro de alterações</w:t>
      </w:r>
    </w:p>
    <w:p>
      <w:pPr>
        <w:pStyle w:val="FirstParagraph"/>
      </w:pPr>
      <w:r>
        <w:t xml:space="preserve">Esta ementa é revisada anualmente, em janeiro, em paralelo à publicação do novo Plano de Trabalho do Eixo III. A Coordenação se reserva o direito de ajustar conteúdo de módulos diante de superveniência normativa, de evolução tecnológica relevante ou de lições aprendidas das turmas anteriores. Alterações de carga horária ou de estrutura modular exigem ato formal e nova versão de ementa.</w:t>
      </w:r>
    </w:p>
    <w:p>
      <w:pPr>
        <w:pStyle w:val="BodyText"/>
      </w:pPr>
      <w:r>
        <w:rPr>
          <w:b/>
          <w:bCs/>
        </w:rPr>
        <w:t xml:space="preserve">Registro de alterações da Versão 2.0</w:t>
      </w:r>
      <w:r>
        <w:t xml:space="preserve"> </w:t>
      </w:r>
      <w:r>
        <w:t xml:space="preserve">(em relação à Versão 1.0, maio/2026), aprovadas pela Coordenação antes do início da Turma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Versão 1.0</w:t>
            </w:r>
          </w:p>
        </w:tc>
        <w:tc>
          <w:tcPr/>
          <w:p>
            <w:pPr>
              <w:pStyle w:val="Compact"/>
              <w:jc w:val="left"/>
            </w:pPr>
            <w:r>
              <w:t xml:space="preserve">Versão 2.0</w:t>
            </w:r>
          </w:p>
        </w:tc>
      </w:tr>
      <w:tr>
        <w:tc>
          <w:tcPr/>
          <w:p>
            <w:pPr>
              <w:pStyle w:val="Compact"/>
              <w:jc w:val="left"/>
            </w:pPr>
            <w:r>
              <w:t xml:space="preserve">Carga horária total</w:t>
            </w:r>
          </w:p>
        </w:tc>
        <w:tc>
          <w:tcPr/>
          <w:p>
            <w:pPr>
              <w:pStyle w:val="Compact"/>
              <w:jc w:val="left"/>
            </w:pPr>
            <w:r>
              <w:t xml:space="preserve">21 horas</w:t>
            </w:r>
          </w:p>
        </w:tc>
        <w:tc>
          <w:tcPr/>
          <w:p>
            <w:pPr>
              <w:pStyle w:val="Compact"/>
              <w:jc w:val="left"/>
            </w:pPr>
            <w:r>
              <w:rPr>
                <w:b/>
                <w:bCs/>
              </w:rPr>
              <w:t xml:space="preserve">24 horas</w:t>
            </w:r>
          </w:p>
        </w:tc>
      </w:tr>
      <w:tr>
        <w:tc>
          <w:tcPr/>
          <w:p>
            <w:pPr>
              <w:pStyle w:val="Compact"/>
              <w:jc w:val="left"/>
            </w:pPr>
            <w:r>
              <w:t xml:space="preserve">Ordem e carga dos módulos</w:t>
            </w:r>
          </w:p>
        </w:tc>
        <w:tc>
          <w:tcPr/>
          <w:p>
            <w:pPr>
              <w:pStyle w:val="Compact"/>
              <w:jc w:val="left"/>
            </w:pPr>
            <w:r>
              <w:t xml:space="preserve">M2 Prática Forense (8h) · M3 Pensamento Crítico e Causal (4h) · M4 (3h)</w:t>
            </w:r>
          </w:p>
        </w:tc>
        <w:tc>
          <w:tcPr/>
          <w:p>
            <w:pPr>
              <w:pStyle w:val="Compact"/>
              <w:jc w:val="left"/>
            </w:pPr>
            <w:r>
              <w:rPr>
                <w:b/>
                <w:bCs/>
              </w:rPr>
              <w:t xml:space="preserve">M2 Pensamento Crítico e Causal (6h) · M3 Prática Forense (10h) · M4 (2h)</w:t>
            </w:r>
          </w:p>
        </w:tc>
      </w:tr>
      <w:tr>
        <w:tc>
          <w:tcPr/>
          <w:p>
            <w:pPr>
              <w:pStyle w:val="Compact"/>
              <w:jc w:val="left"/>
            </w:pPr>
            <w:r>
              <w:t xml:space="preserve">Modalidade</w:t>
            </w:r>
          </w:p>
        </w:tc>
        <w:tc>
          <w:tcPr/>
          <w:p>
            <w:pPr>
              <w:pStyle w:val="Compact"/>
              <w:jc w:val="left"/>
            </w:pPr>
            <w:r>
              <w:t xml:space="preserve">Presencial em laboratório, com componente assíncrono</w:t>
            </w:r>
          </w:p>
        </w:tc>
        <w:tc>
          <w:tcPr/>
          <w:p>
            <w:pPr>
              <w:pStyle w:val="Compact"/>
              <w:jc w:val="left"/>
            </w:pPr>
            <w:r>
              <w:rPr>
                <w:b/>
                <w:bCs/>
              </w:rPr>
              <w:t xml:space="preserve">Online, ao vivo (síncrona)</w:t>
            </w:r>
          </w:p>
        </w:tc>
      </w:tr>
      <w:tr>
        <w:tc>
          <w:tcPr/>
          <w:p>
            <w:pPr>
              <w:pStyle w:val="Compact"/>
              <w:jc w:val="left"/>
            </w:pPr>
            <w:r>
              <w:t xml:space="preserve">Método de construção de prompts</w:t>
            </w:r>
          </w:p>
        </w:tc>
        <w:tc>
          <w:tcPr/>
          <w:p>
            <w:pPr>
              <w:pStyle w:val="Compact"/>
              <w:jc w:val="left"/>
            </w:pPr>
            <w:r>
              <w:t xml:space="preserve">Framework PICE</w:t>
            </w:r>
          </w:p>
        </w:tc>
        <w:tc>
          <w:tcPr/>
          <w:p>
            <w:pPr>
              <w:pStyle w:val="Compact"/>
              <w:jc w:val="left"/>
            </w:pPr>
            <w:r>
              <w:rPr>
                <w:b/>
                <w:bCs/>
              </w:rPr>
              <w:t xml:space="preserve">Prompt em 6 etapas</w:t>
            </w:r>
            <w:r>
              <w:t xml:space="preserve"> </w:t>
            </w:r>
            <w:r>
              <w:t xml:space="preserve">(contexto, tom, tarefa, exemplos, qualidade, formato)</w:t>
            </w:r>
          </w:p>
        </w:tc>
      </w:tr>
      <w:tr>
        <w:tc>
          <w:tcPr/>
          <w:p>
            <w:pPr>
              <w:pStyle w:val="Compact"/>
              <w:jc w:val="left"/>
            </w:pPr>
            <w:r>
              <w:t xml:space="preserve">Público da Turma 1</w:t>
            </w:r>
          </w:p>
        </w:tc>
        <w:tc>
          <w:tcPr/>
          <w:p>
            <w:pPr>
              <w:pStyle w:val="Compact"/>
              <w:jc w:val="left"/>
            </w:pPr>
            <w:r>
              <w:t xml:space="preserve">Misto (área-fim e área-meio)</w:t>
            </w:r>
          </w:p>
        </w:tc>
        <w:tc>
          <w:tcPr/>
          <w:p>
            <w:pPr>
              <w:pStyle w:val="Compact"/>
              <w:jc w:val="left"/>
            </w:pPr>
            <w:r>
              <w:rPr>
                <w:b/>
                <w:bCs/>
              </w:rPr>
              <w:t xml:space="preserve">Área-fim</w:t>
            </w:r>
            <w:r>
              <w:t xml:space="preserve"> </w:t>
            </w:r>
            <w:r>
              <w:t xml:space="preserve">(Varas, Turmas e gabinetes)</w:t>
            </w:r>
          </w:p>
        </w:tc>
      </w:tr>
      <w:tr>
        <w:tc>
          <w:tcPr/>
          <w:p>
            <w:pPr>
              <w:pStyle w:val="Compact"/>
              <w:jc w:val="left"/>
            </w:pPr>
            <w:r>
              <w:t xml:space="preserve">Calendário 2026</w:t>
            </w:r>
          </w:p>
        </w:tc>
        <w:tc>
          <w:tcPr/>
          <w:p>
            <w:pPr>
              <w:pStyle w:val="Compact"/>
              <w:jc w:val="left"/>
            </w:pPr>
            <w:r>
              <w:t xml:space="preserve">Módulos distribuídos de maio a novembro</w:t>
            </w:r>
          </w:p>
        </w:tc>
        <w:tc>
          <w:tcPr/>
          <w:p>
            <w:pPr>
              <w:pStyle w:val="Compact"/>
              <w:jc w:val="left"/>
            </w:pPr>
            <w:r>
              <w:rPr>
                <w:b/>
                <w:bCs/>
              </w:rPr>
              <w:t xml:space="preserve">Turma 1 em agosto/2026</w:t>
            </w:r>
            <w:r>
              <w:t xml:space="preserve">; Turma 2 no 2º semestre</w:t>
            </w:r>
          </w:p>
        </w:tc>
      </w:tr>
      <w:tr>
        <w:tc>
          <w:tcPr/>
          <w:p>
            <w:pPr>
              <w:pStyle w:val="Compact"/>
              <w:jc w:val="left"/>
            </w:pPr>
            <w:r>
              <w:t xml:space="preserve">Avaliação final</w:t>
            </w:r>
          </w:p>
        </w:tc>
        <w:tc>
          <w:tcPr/>
          <w:p>
            <w:pPr>
              <w:pStyle w:val="Compact"/>
              <w:jc w:val="left"/>
            </w:pPr>
            <w:r>
              <w:t xml:space="preserve">Defesa de projeto aplicado no Módulo 4</w:t>
            </w:r>
          </w:p>
        </w:tc>
        <w:tc>
          <w:tcPr/>
          <w:p>
            <w:pPr>
              <w:pStyle w:val="Compact"/>
              <w:jc w:val="left"/>
            </w:pPr>
            <w:r>
              <w:rPr>
                <w:b/>
                <w:bCs/>
              </w:rPr>
              <w:t xml:space="preserve">Projeto integrador no Módulo 3</w:t>
            </w:r>
            <w:r>
              <w:t xml:space="preserve"> </w:t>
            </w:r>
            <w:r>
              <w:t xml:space="preserve">(Aula 3), com medição antes × depois</w:t>
            </w:r>
          </w:p>
        </w:tc>
      </w:tr>
    </w:tbl>
    <w:p>
      <w:pPr>
        <w:pStyle w:val="BodyText"/>
      </w:pPr>
      <w:r>
        <w:rPr>
          <w:b/>
          <w:bCs/>
        </w:rPr>
        <w:t xml:space="preserve">Ajuste da Turma 1 (2026-07-23) — prática 100% individual.</w:t>
      </w:r>
      <w:r>
        <w:t xml:space="preserve"> </w:t>
      </w:r>
      <w:r>
        <w:t xml:space="preserve">A partir da Turma 1, toda a prática</w:t>
      </w:r>
      <w:r>
        <w:t xml:space="preserve"> </w:t>
      </w:r>
      <w:r>
        <w:t xml:space="preserve">do curso é</w:t>
      </w:r>
      <w:r>
        <w:t xml:space="preserve"> </w:t>
      </w:r>
      <w:r>
        <w:rPr>
          <w:b/>
          <w:bCs/>
        </w:rPr>
        <w:t xml:space="preserve">individual</w:t>
      </w:r>
      <w:r>
        <w:t xml:space="preserve">: não há exercício em dupla, sala de videoconferência (</w:t>
      </w:r>
      <w:r>
        <w:rPr>
          <w:i/>
          <w:iCs/>
        </w:rPr>
        <w:t xml:space="preserve">breakout</w:t>
      </w:r>
      <w:r>
        <w:t xml:space="preserve">) nem</w:t>
      </w:r>
      <w:r>
        <w:t xml:space="preserve"> </w:t>
      </w:r>
      <w:r>
        <w:t xml:space="preserve">apresentação em plenário de grupo. A decisão não altera carga horária, estrutura modular, conteúdo</w:t>
      </w:r>
      <w:r>
        <w:t xml:space="preserve"> </w:t>
      </w:r>
      <w:r>
        <w:t xml:space="preserve">programático nem critérios de avaliação — por isso não constitui nova versão de ementa (seção 16,</w:t>
      </w:r>
      <w:r>
        <w:t xml:space="preserve"> </w:t>
      </w:r>
      <w:r>
        <w:rPr>
          <w:i/>
          <w:iCs/>
        </w:rPr>
        <w:t xml:space="preserve">caput</w:t>
      </w:r>
      <w:r>
        <w:t xml:space="preserve">) —, e alcança: objetivo específico VII, item de projeto integrador do Módulo 3 (seção 8.3),</w:t>
      </w:r>
      <w:r>
        <w:t xml:space="preserve"> </w:t>
      </w:r>
      <w:r>
        <w:t xml:space="preserve">estudo de casos do Módulo 4 (seção 8.4), metodologia (seção 9), recursos didáticos (seção 10) e a</w:t>
      </w:r>
      <w:r>
        <w:t xml:space="preserve"> </w:t>
      </w:r>
      <w:r>
        <w:t xml:space="preserve">forma de avaliação do projeto integrador (seção 11). Fundamento: o formato online ao vivo, com</w:t>
      </w:r>
      <w:r>
        <w:t xml:space="preserve"> </w:t>
      </w:r>
      <w:r>
        <w:t xml:space="preserve">turma heterogênea em unidades distintas, produz mais aprendizagem quando cada participante executa</w:t>
      </w:r>
      <w:r>
        <w:t xml:space="preserve"> </w:t>
      </w:r>
      <w:r>
        <w:t xml:space="preserve">a tarefa no próprio teclado, com a sala aberta, do que quando a execução é delegada dentro de um</w:t>
      </w:r>
      <w:r>
        <w:t xml:space="preserve"> </w:t>
      </w:r>
      <w:r>
        <w:t xml:space="preserve">grupo. A mesma decisão consta da rubrica do projeto integrador (nota</w:t>
      </w:r>
      <w:r>
        <w:t xml:space="preserve"> </w:t>
      </w:r>
      <w:r>
        <w:t xml:space="preserve">“</w:t>
      </w:r>
      <w:r>
        <w:t xml:space="preserve">Ajuste da turma JFCE</w:t>
      </w:r>
      <w:r>
        <w:t xml:space="preserve">”</w:t>
      </w:r>
      <w:r>
        <w:t xml:space="preserve">,</w:t>
      </w:r>
      <w:r>
        <w:t xml:space="preserve"> </w:t>
      </w:r>
      <w:r>
        <w:t xml:space="preserve">2026-07-22) e vale igualmente para a turma do TJCE.</w:t>
      </w:r>
    </w:p>
    <w:p>
      <w:r>
        <w:pict>
          <v:rect style="width:0;height:1.5pt" o:hralign="center" o:hrstd="t" o:hr="t"/>
        </w:pict>
      </w:r>
    </w:p>
    <w:p>
      <w:pPr>
        <w:pStyle w:val="FirstParagraph"/>
      </w:pPr>
      <w:r>
        <w:rPr>
          <w:i/>
          <w:iCs/>
        </w:rPr>
        <w:t xml:space="preserve">Fortaleza/CE — julho de 2026.</w:t>
      </w:r>
    </w:p>
    <w:p>
      <w:pPr>
        <w:pStyle w:val="BodyText"/>
      </w:pPr>
      <w:r>
        <w:rPr>
          <w:i/>
          <w:iCs/>
        </w:rPr>
        <w:t xml:space="preserve">Victor César Falcão Viana</w:t>
      </w:r>
      <w:r>
        <w:t xml:space="preserve"> </w:t>
      </w:r>
      <w:r>
        <w:rPr>
          <w:i/>
          <w:iCs/>
        </w:rPr>
        <w:t xml:space="preserve">Coordenador do Eixo III — INOVAJUS — JFCE</w:t>
      </w:r>
    </w:p>
    <w:bookmarkEnd w:id="39"/>
    <w:bookmarkEnd w:id="40"/>
    <w:sectPr w:rsidR="00FC693F" w:rsidRPr="0006063C" w:rsidSect="00034616">
      <w:headerReference r:id="rId9" w:type="default"/>
      <w:footerReference r:id="rId10" w:type="default"/>
      <w:pgSz w:h="15840" w:w="12240"/>
      <w:pgMar w:bottom="1417" w:footer="720" w:gutter="0" w:header="720" w:left="1701" w:right="1417"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6B7280"/>
        <w:sz w:val="18"/>
      </w:rPr>
      <w:t xml:space="preserve">INOVAJUS — Justiça Federal no Ceará  ·  </w:t>
    </w:r>
    <w:r>
      <w:rPr>
        <w:rFonts w:ascii="Calibri" w:hAnsi="Calibri" w:cs="Calibri"/>
        <w:b w:val="0"/>
        <w:i w:val="0"/>
        <w:color w:val="6B7280"/>
        <w:sz w:val="18"/>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s="Calibri"/>
        <w:b w:val="0"/>
        <w:i w:val="0"/>
        <w:color w:val="6B7280"/>
        <w:sz w:val="18"/>
      </w:rPr>
      <w:t>INOVAJUS — Eixo III — Tecnologia e Inteligência Artificial — JFCE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120" w:before="0" w:line="276" w:lineRule="auto"/>
      <w:jc w:val="both"/>
    </w:pPr>
    <w:rPr>
      <w:rFonts w:ascii="Calibri" w:cs="Calibri" w:eastAsia="Calibri" w:hAnsi="Calibri"/>
      <w:b w:val="0"/>
      <w:i w:val="0"/>
      <w:color w:val="1F2937"/>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line="276" w:lineRule="auto"/>
      <w:jc w:val="left"/>
      <w:outlineLvl w:val="0"/>
    </w:pPr>
    <w:rPr>
      <w:rFonts w:ascii="Calibri" w:asciiTheme="majorHAnsi" w:cs="Calibri" w:cstheme="majorBidi" w:eastAsia="Calibri" w:eastAsiaTheme="majorEastAsia" w:hAnsi="Calibri" w:hAnsiTheme="majorHAnsi"/>
      <w:b/>
      <w:bCs/>
      <w:i w:val="0"/>
      <w:color w:val="1B3A5C"/>
      <w:sz w:val="36"/>
      <w:szCs w:val="28"/>
    </w:rPr>
  </w:style>
  <w:style w:styleId="Heading2" w:type="paragraph">
    <w:name w:val="heading 2"/>
    <w:basedOn w:val="Normal"/>
    <w:next w:val="Normal"/>
    <w:link w:val="Heading2Char"/>
    <w:uiPriority w:val="9"/>
    <w:unhideWhenUsed/>
    <w:qFormat/>
    <w:rsid w:val="00FC693F"/>
    <w:pPr>
      <w:keepNext/>
      <w:keepLines/>
      <w:spacing w:after="160" w:before="280" w:line="276" w:lineRule="auto"/>
      <w:jc w:val="left"/>
      <w:outlineLvl w:val="1"/>
    </w:pPr>
    <w:rPr>
      <w:rFonts w:ascii="Calibri" w:asciiTheme="majorHAnsi" w:cs="Calibri" w:cstheme="majorBidi" w:eastAsia="Calibri" w:eastAsiaTheme="majorEastAsia" w:hAnsi="Calibri" w:hAnsiTheme="majorHAnsi"/>
      <w:b/>
      <w:bCs/>
      <w:i w:val="0"/>
      <w:color w:val="374151"/>
      <w:sz w:val="28"/>
      <w:szCs w:val="26"/>
    </w:rPr>
  </w:style>
  <w:style w:styleId="Heading3" w:type="paragraph">
    <w:name w:val="heading 3"/>
    <w:basedOn w:val="Normal"/>
    <w:next w:val="Normal"/>
    <w:link w:val="Heading3Char"/>
    <w:uiPriority w:val="9"/>
    <w:unhideWhenUsed/>
    <w:qFormat/>
    <w:rsid w:val="00FC693F"/>
    <w:pPr>
      <w:keepNext/>
      <w:keepLines/>
      <w:spacing w:after="120" w:before="200" w:line="276" w:lineRule="auto"/>
      <w:jc w:val="left"/>
      <w:outlineLvl w:val="2"/>
    </w:pPr>
    <w:rPr>
      <w:rFonts w:ascii="Calibri" w:asciiTheme="majorHAnsi" w:cs="Calibri" w:cstheme="majorBidi" w:eastAsia="Calibri" w:eastAsiaTheme="majorEastAsia" w:hAnsi="Calibri" w:hAnsiTheme="majorHAnsi"/>
      <w:b/>
      <w:bCs/>
      <w:i w:val="0"/>
      <w:color w:val="374151"/>
      <w:sz w:val="24"/>
    </w:rPr>
  </w:style>
  <w:style w:styleId="Heading4" w:type="paragraph">
    <w:name w:val="heading 4"/>
    <w:basedOn w:val="Normal"/>
    <w:next w:val="Normal"/>
    <w:link w:val="Heading4Char"/>
    <w:uiPriority w:val="9"/>
    <w:semiHidden/>
    <w:unhideWhenUsed/>
    <w:qFormat/>
    <w:rsid w:val="00FC693F"/>
    <w:pPr>
      <w:keepNext/>
      <w:keepLines/>
      <w:spacing w:after="80" w:before="160" w:line="276" w:lineRule="auto"/>
      <w:jc w:val="left"/>
      <w:outlineLvl w:val="3"/>
    </w:pPr>
    <w:rPr>
      <w:rFonts w:ascii="Calibri" w:asciiTheme="majorHAnsi" w:cs="Calibri" w:cstheme="majorBidi" w:eastAsia="Calibri" w:eastAsiaTheme="majorEastAsia" w:hAnsi="Calibri" w:hAnsiTheme="majorHAnsi"/>
      <w:b/>
      <w:bCs/>
      <w:i w:val="0"/>
      <w:iCs/>
      <w:color w:val="1F2937"/>
      <w:sz w:val="22"/>
    </w:rPr>
  </w:style>
  <w:style w:styleId="Heading5" w:type="paragraph">
    <w:name w:val="heading 5"/>
    <w:basedOn w:val="Normal"/>
    <w:next w:val="Normal"/>
    <w:link w:val="Heading5Char"/>
    <w:uiPriority w:val="9"/>
    <w:semiHidden/>
    <w:unhideWhenUsed/>
    <w:qFormat/>
    <w:rsid w:val="00FC693F"/>
    <w:pPr>
      <w:keepNext/>
      <w:keepLines/>
      <w:spacing w:after="60" w:before="120" w:line="276" w:lineRule="auto"/>
      <w:jc w:val="left"/>
      <w:outlineLvl w:val="4"/>
    </w:pPr>
    <w:rPr>
      <w:rFonts w:ascii="Calibri" w:asciiTheme="majorHAnsi" w:cs="Calibri" w:cstheme="majorBidi" w:eastAsia="Calibri" w:eastAsiaTheme="majorEastAsia" w:hAnsi="Calibri" w:hAnsiTheme="majorHAnsi"/>
      <w:b w:val="0"/>
      <w:i/>
      <w:color w:val="374151"/>
      <w:sz w:val="22"/>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360" w:before="0" w:line="264" w:lineRule="auto"/>
      <w:contextualSpacing/>
      <w:jc w:val="left"/>
    </w:pPr>
    <w:rPr>
      <w:rFonts w:ascii="Calibri" w:asciiTheme="majorHAnsi" w:cs="Calibri" w:cstheme="majorBidi" w:eastAsia="Calibri" w:eastAsiaTheme="majorEastAsia" w:hAnsi="Calibri" w:hAnsiTheme="majorHAnsi"/>
      <w:b/>
      <w:i w:val="0"/>
      <w:color w:val="1B3A5C"/>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480" w:before="0" w:line="276" w:lineRule="auto"/>
      <w:jc w:val="left"/>
    </w:pPr>
    <w:rPr>
      <w:rFonts w:ascii="Calibri" w:asciiTheme="majorHAnsi" w:cs="Calibri" w:cstheme="majorBidi" w:eastAsia="Calibri" w:eastAsiaTheme="majorEastAsia" w:hAnsi="Calibri" w:hAnsiTheme="majorHAnsi"/>
      <w:b w:val="0"/>
      <w:i/>
      <w:iCs/>
      <w:color w:val="6B728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spacing w:after="80" w:before="0" w:line="276" w:lineRule="auto"/>
      <w:ind w:left="720"/>
      <w:contextualSpacing/>
      <w:jc w:val="left"/>
    </w:pPr>
    <w:rPr>
      <w:rFonts w:ascii="Calibri" w:cs="Calibri" w:eastAsia="Calibri" w:hAnsi="Calibri"/>
      <w:b w:val="0"/>
      <w:i w:val="0"/>
      <w:color w:val="1F2937"/>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spacing w:after="120" w:before="120" w:line="276" w:lineRule="auto"/>
      <w:jc w:val="left"/>
    </w:pPr>
    <w:rPr>
      <w:rFonts w:ascii="Calibri" w:cs="Calibri" w:eastAsia="Calibri" w:hAnsi="Calibri"/>
      <w:b w:val="0"/>
      <w:i/>
      <w:iCs/>
      <w:color w:val="6B728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2026-08-02T20:43:49Z</dcterms:created>
  <dcterms:modified xsi:type="dcterms:W3CDTF">2026-08-02T20:43:49Z</dcterms:modified>
</cp:coreProperties>
</file>

<file path=docProps/custom.xml><?xml version="1.0" encoding="utf-8"?>
<Properties xmlns="http://schemas.openxmlformats.org/officeDocument/2006/custom-properties" xmlns:vt="http://schemas.openxmlformats.org/officeDocument/2006/docPropsVTypes"/>
</file>