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1dd4bac4197a954fb496d5e99b5afe422048e16"/>
    <w:p>
      <w:pPr>
        <w:pStyle w:val="Heading1"/>
      </w:pPr>
      <w:r>
        <w:rPr>
          <w:rFonts w:ascii="Calibri" w:hAnsi="Calibri"/>
        </w:rPr>
        <w:t xml:space="preserve">Casos-tipo do Projeto Integrador — Curso Servidor + IA (Turma TJCE)</w:t>
      </w:r>
    </w:p>
    <w:p>
      <w:pPr>
        <w:pStyle w:val="FirstParagraph"/>
      </w:pPr>
      <w:r>
        <w:rPr>
          <w:rFonts w:ascii="Calibri" w:hAnsi="Calibri"/>
        </w:rPr>
        <w:t xml:space="preserve">Anexo do curso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Servidor + IA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. Quatro cenários fictícios de Vara Cível para o projeto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integrador do Módulo 3. Turma TJCE, versão 1 · julho de 2026.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Justiça Federal no Ceará · INOVAJUS Eixo III (ministrante).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rPr>
          <w:rFonts w:ascii="Calibri" w:hAnsi="Calibri"/>
        </w:rPr>
        <w:t xml:space="preserve">Como usar</w:t>
      </w:r>
    </w:p>
    <w:p>
      <w:pPr>
        <w:pStyle w:val="FirstParagraph"/>
      </w:pPr>
      <w:r>
        <w:rPr>
          <w:rFonts w:ascii="Calibri" w:hAnsi="Calibri"/>
        </w:rPr>
        <w:t xml:space="preserve">O projeto integrador desta turma é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individual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 roda sobre um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caso-tipo</w:t>
      </w:r>
      <w:r>
        <w:rPr>
          <w:rFonts w:ascii="Calibri" w:hAnsi="Calibri"/>
        </w:rPr>
        <w:t xml:space="preserve">: um cenário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fictício de Vara Cível que já vem com a rotina descrita e um tempo médio por unidade de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referência. Isso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existe por um motivo prático — a turma não trabalha um caso real da própria unidade, e sem 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antes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registrado não há ganho demonstrável no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depois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Para o participante.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Escolha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dos quatro casos-tipo abaixo, ainda na TE6 (entre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Encontro 3 e o Encontro 4). Transcreva a situação atual e o tempo médio por unidade para as duas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primeiras linhas da ficha do projeto. Só depois disso comece a aplicar prompts.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Para o instrutor.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Distribua este anexo ao final do Encontro 3, junto com a ficha do projeto.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Os quatro casos cobrem os quatro caminhos do roteiro (triar, resumir, minutar, organizar), de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modo que a turma inteira exercite o método sem repetir a mesma demonstração. Os números de tempo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são referências calibradas para o exercício, não estatística de vara real (veja o aviso abaixo).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Se o participante já tiver rotina própria equivalente</w:t>
      </w:r>
      <w:r>
        <w:rPr>
          <w:rFonts w:ascii="Calibri" w:hAnsi="Calibri"/>
        </w:rPr>
        <w:t xml:space="preserve">, pode usá-la no lugar do caso-tipo,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desde que registre situação atual e tempo médio por unidade sem qualquer dado sigiloso ou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identificável.</w:t>
      </w:r>
    </w:p>
    <w:p>
      <w:pPr>
        <w:pStyle w:val="BlockText"/>
      </w:pPr>
      <w:r>
        <w:rPr>
          <w:rFonts w:ascii="Calibri" w:hAnsi="Calibri"/>
        </w:rPr>
        <w:t xml:space="preserve">Todos os nomes, números de processo, datas, valores e unidades deste anexo são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fictícios</w:t>
      </w:r>
      <w:r>
        <w:rPr>
          <w:rFonts w:ascii="Calibri" w:hAnsi="Calibri"/>
        </w:rPr>
        <w:t xml:space="preserve">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numeração segue o padrão do Tribunal de Justiça do Ceará (</w:t>
      </w:r>
      <w:r>
        <w:rPr>
          <w:rStyle w:val="VerbatimChar"/>
          <w:rFonts w:ascii="Calibri" w:hAnsi="Calibri"/>
        </w:rPr>
        <w:t xml:space="preserve">…8.06.0001</w:t>
      </w:r>
      <w:r>
        <w:rPr>
          <w:rFonts w:ascii="Calibri" w:hAnsi="Calibri"/>
        </w:rPr>
        <w:t xml:space="preserve">) apenas para dar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realismo ao exercício.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0"/>
    <w:bookmarkStart w:id="21" w:name="sobre-os-tempos-deste-anexo"/>
    <w:p>
      <w:pPr>
        <w:pStyle w:val="Heading2"/>
      </w:pPr>
      <w:r>
        <w:rPr>
          <w:rFonts w:ascii="Calibri" w:hAnsi="Calibri"/>
        </w:rPr>
        <w:t xml:space="preserve">Sobre os tempos deste anexo</w:t>
      </w:r>
    </w:p>
    <w:p>
      <w:pPr>
        <w:pStyle w:val="FirstParagraph"/>
      </w:pPr>
      <w:r>
        <w:rPr>
          <w:rFonts w:ascii="Calibri" w:hAnsi="Calibri"/>
        </w:rPr>
        <w:t xml:space="preserve">Os valores da coluna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tempo médio hoje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são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referências plausíveis, calibradas para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exercício — não são medição de vara estadual real</w:t>
      </w:r>
      <w:r>
        <w:rPr>
          <w:rFonts w:ascii="Calibri" w:hAnsi="Calibri"/>
        </w:rPr>
        <w:t xml:space="preserve">. Existem para que todo participante comece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projeto com 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antes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registrado, que é o que torna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depois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comparável.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Se a unidade tiver o número real da rotina</w:t>
      </w:r>
      <w:r>
        <w:rPr>
          <w:rFonts w:ascii="Calibri" w:hAnsi="Calibri"/>
        </w:rPr>
        <w:t xml:space="preserve">, o instrutor pode substituí-lo: é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uma linha por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caso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Tempo médio por unidade hoje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), e todo o resto do anexo — rotina, insumos, armadilhas 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ficha — continua valendo sem alteração. Quando isso for feito, convém dizer à turma que aquele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número passou a ser real, porque muda o peso do resultado apresentado no Encontro 4.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1"/>
    <w:bookmarkStart w:id="22" w:name="quadro-comparativo"/>
    <w:p>
      <w:pPr>
        <w:pStyle w:val="Heading2"/>
      </w:pPr>
      <w:r>
        <w:rPr>
          <w:rFonts w:ascii="Calibri" w:hAnsi="Calibri"/>
        </w:rPr>
        <w:t xml:space="preserve">Quadro comparativo</w:t>
      </w:r>
    </w:p>
    <w:tbl>
      <w:tblPr>
        <w:tblStyle w:val="Table"/>
        <w:tblLayout w:type="fixed"/>
        <w:tblLook w:firstRow="1" w:lastRow="0" w:firstColumn="0" w:lastColumn="0" w:noHBand="0" w:noVBand="0" w:val="0020"/>
        <w:tblCellMar>
          <w:top w:w="60" w:type="dxa"/>
          <w:left w:w="108" w:type="dxa"/>
          <w:bottom w:w="60" w:type="dxa"/>
          <w:right w:w="108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rHeight w:val="397" w:hRule="atLeast"/>
          <w:tblHeader w:val="on"/>
        </w:trPr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#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Caso-tipo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Tarefa central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Prompts-mestre previstos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Tempo médio hoje (referência)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A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Triagem de petições iniciais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classificar e priorizar um lote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M9 (+ roteiro E1)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6 min por petição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B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Resumo de peças para despacho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resumir e conferir contra o original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18 min por peça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C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Minutas-padrão de expediente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minutar e cotejar com o modelo da Vara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M3 + M5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12 min por minuta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D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Relatório de andamento do acervo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estruturar dados soltos em relatório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M6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3 h por relatório mensal</w:t>
            </w:r>
          </w:p>
        </w:tc>
      </w:tr>
    </w:tbl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2"/>
    <w:bookmarkStart w:id="23" w:name="caso-tipo-a-triagem-de-petições-iniciais"/>
    <w:p>
      <w:pPr>
        <w:pStyle w:val="Heading2"/>
      </w:pPr>
      <w:r>
        <w:rPr>
          <w:rFonts w:ascii="Calibri" w:hAnsi="Calibri"/>
        </w:rPr>
        <w:t xml:space="preserve">Caso-tipo A — Triagem de petições iniciais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7ª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Todo dia útil chegam entre 25 e 40 petições iniciais novas. Um servidor lê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cada uma para classificar em três filas: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urgente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(pedido de tutela de urgência, processo com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prioridade legal — idoso, pessoa com deficiência ou doença grave —, prazo legal em 48h),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normal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devolver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(falta documento essencial ou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incompetência evidente). A classificação é feita direto no sistema, sem registro do critério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aplicado. Quando o servidor titular da triagem falta, o lote do dia acumula para o dia seguinte.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6 minutos por petição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cerca de 3 horas para um lote de 30.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Lote de exemplo (fictício), para aplicar o prompt-mestre M9:</w:t>
      </w:r>
    </w:p>
    <w:tbl>
      <w:tblPr>
        <w:tblStyle w:val="Table"/>
        <w:tblLayout w:type="fixed"/>
        <w:tblLook w:firstRow="1" w:lastRow="0" w:firstColumn="0" w:lastColumn="0" w:noHBand="0" w:noVBand="0" w:val="0020"/>
        <w:tblCellMar>
          <w:top w:w="60" w:type="dxa"/>
          <w:left w:w="108" w:type="dxa"/>
          <w:bottom w:w="60" w:type="dxa"/>
          <w:right w:w="108" w:type="dxa"/>
        </w:tblCellMar>
        <w:tblW w:w="5000" w:type="pct"/>
      </w:tblPr>
      <w:tblGrid>
        <w:gridCol w:w="2640"/>
        <w:gridCol w:w="2640"/>
        <w:gridCol w:w="2640"/>
      </w:tblGrid>
      <w:tr>
        <w:trPr>
          <w:trHeight w:val="397" w:hRule="atLeast"/>
          <w:tblHeader w:val="on"/>
        </w:trPr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Nº do processo (fictício)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Objeto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Observação constante da inicial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0011223-45.2026.8.06.0001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Obrigação de fazer — plano de saúde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pede tutela de urgência; laudo do médico assistente anexado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0022334-56.2026.8.06.0001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Cobrança — contrato de prestação de serviços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sem pedido de urgência; documentos completos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0033445-67.2026.8.06.0001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Obrigação de fazer — plano de saúde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pede tutela de urgência;</w:t>
            </w: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 </w:t>
            </w: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sem</w:t>
            </w: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 </w:t>
            </w: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laudo anexado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0044556-78.2026.8.06.0001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Indenização por danos materiais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valor da causa não informado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0002233-11.2026.8.06.0001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Revisão de contrato bancário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pede gratuidade; declaração de hipossuficiência anexada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0009988-22.2021.8.06.0001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Execução de título extrajudicial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petição de reiteração; processo já distribuído em 2021</w:t>
            </w:r>
          </w:p>
        </w:tc>
      </w:tr>
    </w:tbl>
    <w:p>
      <w:pPr>
        <w:pStyle w:val="BodyText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Duas armadilhas plantadas: a inicial sem laudo (pede urgência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mas não instrui o pedido — é urgente ou é caso de emenda?) e a petição de reiteração de 2021, que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não é inicial nova. Um bom prompt força a IA a justificar cada classificação em uma frase e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marcar como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não classificável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que não se encaixa — em vez de chutar.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por petição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com a conferência humana incluída</w:t>
      </w:r>
      <w:r>
        <w:rPr>
          <w:rFonts w:ascii="Calibri" w:hAnsi="Calibri"/>
        </w:rPr>
        <w:t xml:space="preserve">.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triagem assistida não dispensa a leitura de conferência; ela muda o que se lê primeiro.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3"/>
    <w:bookmarkStart w:id="24" w:name="Xa5dd2c69ba78fc6845f4388c1a31d9f8c516d15"/>
    <w:p>
      <w:pPr>
        <w:pStyle w:val="Heading2"/>
      </w:pPr>
      <w:r>
        <w:rPr>
          <w:rFonts w:ascii="Calibri" w:hAnsi="Calibri"/>
        </w:rPr>
        <w:t xml:space="preserve">Caso-tipo B — Resumo de peças para despacho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9ª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Antes de cada despacho, o assessor lê a peça mais recente do processo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(contestação, réplica ou manifestação sobre laudo, entre 15 e 40 páginas) e escreve à mão 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resumo de meia página para o magistrado, indicando pedido, fundamento e prazo pendente. O resumo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não segue estrutura fixa — cada assessor organiza do seu jeito —, e por isso o magistrado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frequentemente volta com a mesma pergunta: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e o pedido subsidiário?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18 minutos por peça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Peça de exemplo (fictícia), para aplicar o prompt-mestre M1 — trecho de contestação:</w:t>
      </w:r>
    </w:p>
    <w:p>
      <w:pPr>
        <w:pStyle w:val="BlockText"/>
      </w:pPr>
      <w:r>
        <w:rPr>
          <w:rFonts w:ascii="Calibri" w:hAnsi="Calibri"/>
        </w:rPr>
        <w:t xml:space="preserve">Processo nº 0001234-56.2024.8.06.0001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SAÚDE VIDA PLENA OPERADORA DE PLANOS DE SAÚDE LTDA. (fictícia), já qualificada, apresenta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CONTESTAÇÃO à ação de obrigação de fazer proposta por MARIA DE SOUSA LIMA (fictícia).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Preliminarmente, sustenta a ausência de interesse de agir, porque a autora não formulou pedido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administrativo de reanálise após a negativa de 30/09/2025.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 mérito, afirma que o procedimento requerido não consta do rol da agência reguladora e que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parecer do médico auditor da operadora, de 12/10/2025, concluiu pela ausência de indicação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clínica. Sustenta a legalidade da cláusula 14.3 do contrato, que exclui a cobertura pretendida.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Subsidiariamente, caso deferida a obrigação, requer que o custeio se limite à rede credenciada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 que a multa diária não ultrapasse R$ 200,00, limitada a 30 dias.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Requer a improcedência. Protesta por prova pericial médica.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pedido subsidiário (limitação de multa e rede credenciada)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é exatamente o que costuma sumir num resumo apressado — e é o que o magistrado precisa para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despachar. A conferência tem de ser contra o texto original, parágrafo por parágrafo: um resumo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fluente que omite o subsidiário está</w:t>
      </w:r>
      <w:r>
        <w:rPr>
          <w:rFonts w:ascii="Calibri" w:hAnsi="Calibri"/>
        </w:rPr>
        <w:t xml:space="preserve"> </w:t>
      </w:r>
      <w:r>
        <w:rPr>
          <w:rFonts w:ascii="Calibri" w:hAnsi="Calibri"/>
          <w:i/>
          <w:iCs/>
        </w:rPr>
        <w:t xml:space="preserve">errado</w:t>
      </w:r>
      <w:r>
        <w:rPr>
          <w:rFonts w:ascii="Calibri" w:hAnsi="Calibri"/>
        </w:rPr>
        <w:t xml:space="preserve">, mesmo sem nenhuma frase falsa.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por peça incluindo a releitura de conferência, e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lista do que foi conferido (pedido principal, subsidiário, preliminares, prazo, prova requerida).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4"/>
    <w:bookmarkStart w:id="25" w:name="caso-tipo-c-minutas-padrão-de-expediente"/>
    <w:p>
      <w:pPr>
        <w:pStyle w:val="Heading2"/>
      </w:pPr>
      <w:r>
        <w:rPr>
          <w:rFonts w:ascii="Calibri" w:hAnsi="Calibri"/>
        </w:rPr>
        <w:t xml:space="preserve">Caso-tipo C — Minutas-padrão de expediente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3ª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secretaria produz cerca de 60 minutas de despacho de expediente por semana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(citação, intimação para réplica, especificação de provas, remessa ao contador). Cada servidor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copia a última minuta parecida que encontra na própria pasta e edita. Não há um modelo único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consolidado: circulam três versões do mesmo despacho de intimação para réplica, com prazos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escritos de formas diferentes (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quinze dias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15 (quinze) dias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prazo legal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).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12 minutos por minuta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Modelo padrão da Vara (fictício), para o cotejo com o prompt-mestre M5:</w:t>
      </w:r>
    </w:p>
    <w:p>
      <w:pPr>
        <w:pStyle w:val="BlockText"/>
      </w:pPr>
      <w:r>
        <w:rPr>
          <w:rFonts w:ascii="Calibri" w:hAnsi="Calibri"/>
          <w:b/>
          <w:bCs/>
        </w:rPr>
        <w:t xml:space="preserve">DESPACHO — intimação para réplica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Vistos.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Apresentada contestação, intime-se a parte autora para, querendo, apresentar réplica no prazo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 15 (quinze) dias (arts. 350 e 351 do CPC).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Após, venham conclusos para saneamento.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Cumpra-se. Fortaleza/CE, data da assinatura eletrônica.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Minuta gerada por IA (fictícia), para o participante cotejar:</w:t>
      </w:r>
    </w:p>
    <w:p>
      <w:pPr>
        <w:pStyle w:val="BlockText"/>
      </w:pPr>
      <w:r>
        <w:rPr>
          <w:rFonts w:ascii="Calibri" w:hAnsi="Calibri"/>
          <w:b/>
          <w:bCs/>
        </w:rPr>
        <w:t xml:space="preserve">DESPACHO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Vistos.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Tendo em vista a contestação apresentada, intime-se a parte autora para apresentar réplica no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prazo de 10 (dez) dias.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Não havendo manifestação, os autos serão arquivados.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Publique-se. Intime-se. Fortaleza/CE, 12 de agosto de 2026.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Três divergências plantadas, de gravidades diferentes: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prazo errado (10 em vez de 15 —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é a grave</w:t>
      </w:r>
      <w:r>
        <w:rPr>
          <w:rFonts w:ascii="Calibri" w:hAnsi="Calibri"/>
        </w:rPr>
        <w:t xml:space="preserve">, contraria os arts. 350 e 351 do CPC), o arquivamento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indevido pela ausência de réplica (que é faculdade da parte, não causa de arquivamento) e a data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fixa no lugar da assinatura eletrônica. Um bom cotejo não só lista as três: ordena por gravidade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 diz qual delas impediria a assinatura.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por minuta incluindo o cotejo com o modelo padrão — 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constatação de que consolidar um modelo único é parte do ganho, não efeito colateral.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5"/>
    <w:bookmarkStart w:id="26" w:name="X48c8ca90790a75ed41cbd914435d5686e586df6"/>
    <w:p>
      <w:pPr>
        <w:pStyle w:val="Heading2"/>
      </w:pPr>
      <w:r>
        <w:rPr>
          <w:rFonts w:ascii="Calibri" w:hAnsi="Calibri"/>
        </w:rPr>
        <w:t xml:space="preserve">Caso-tipo D — Relatório de andamento do acervo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7ª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Toda primeira semana do mês, o diretor de secretaria monta à mão um relatório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 andamento para a reunião de gestão. Os dados vêm de três lugares: a extração do sistema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processual (planilha), as anotações do supervisor sobre pendências de cumprimento (bloco de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notas) e os e-mails de cobrança da Corregedoria. Consolidar isso em texto corrido, com número 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comentário, consome uma manhã inteira.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3 horas por relatório mensal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Anotações soltas de exemplo (fictícias), para aplicar o prompt-mestre M6: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conclusos p/ sentença: 212 (mês passado 198)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conclusos p/ decisão: 87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cumprimento pendente na secretaria: 143, sendo 26 com prazo vencido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audiências realizadas no mês: 34; redesignadas: 6 (2 por ausência de perito)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mutirão de conciliação (semana 3): 41 acordos homologados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reclamação de advogado sobre demora em expedição de alvará — 3 registros na ouvidoria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servidor da equipe de cumprimento em licença desde 12/07, sem substituição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meta do mês: reduzir cumprimento pendente para menos de 120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número que sobe (212 conclusos para sentença) convive com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uma causa que não está na planilha: o servidor em licença desde 12/07. Um relatório que apresenta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número sem a causa oculta convida à conclusão errada — é o gancho direto do Módulo 2.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relatório bom separa o que é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dado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que é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hipótese explicativa</w:t>
      </w:r>
      <w:r>
        <w:rPr>
          <w:rFonts w:ascii="Calibri" w:hAnsi="Calibri"/>
        </w:rPr>
        <w:t xml:space="preserve">, e diz qual dado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confirmaria cada hipótese.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de consolidação incluindo a conferência de cada número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contra a fonte — nenhum número entra em relatório de gestão sem alguém ter olhado de onde ele veio.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6"/>
    <w:bookmarkStart w:id="27" w:name="X9c94d5e3f5eeb9416f6cb0b0ddcf4df80c97124"/>
    <w:p>
      <w:pPr>
        <w:pStyle w:val="Heading2"/>
      </w:pPr>
      <w:r>
        <w:rPr>
          <w:rFonts w:ascii="Calibri" w:hAnsi="Calibri"/>
        </w:rPr>
        <w:t xml:space="preserve">Ficha do projeto (a mesma para os quatro casos)</w:t>
      </w:r>
    </w:p>
    <w:tbl>
      <w:tblPr>
        <w:tblStyle w:val="Table"/>
        <w:tblLayout w:type="fixed"/>
        <w:tblLook w:firstRow="1" w:lastRow="0" w:firstColumn="0" w:lastColumn="0" w:noHBand="0" w:noVBand="0" w:val="0020"/>
        <w:tblCellMar>
          <w:top w:w="60" w:type="dxa"/>
          <w:left w:w="108" w:type="dxa"/>
          <w:bottom w:w="60" w:type="dxa"/>
          <w:right w:w="108" w:type="dxa"/>
        </w:tblCellMar>
        <w:tblW w:w="5000" w:type="pct"/>
      </w:tblPr>
      <w:tblGrid>
        <w:gridCol w:w="3960"/>
        <w:gridCol w:w="3960"/>
      </w:tblGrid>
      <w:tr>
        <w:trPr>
          <w:trHeight w:val="397" w:hRule="atLeast"/>
          <w:tblHeader w:val="on"/>
        </w:trPr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Campo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Seu preenchimento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Caso-tipo escolhido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Situação atual (como a tarefa é feita hoje, conforme o caso-tipo)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Tempo médio por unidade hoje (conforme o caso-tipo)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Como será feita com apoio de IA (prompts-mestre usados)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Tempo estimado por unidade depois (incluindo conferência humana)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Riscos de sigilo identificados e como foram tratados (anonimização, dado que não pode sair)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Quem confere cada saída antes de virar ato oficial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</w:tbl>
    <w:p>
      <w:pPr>
        <w:pStyle w:val="BodyText"/>
      </w:pPr>
      <w:r>
        <w:rPr>
          <w:rFonts w:ascii="Calibri" w:hAnsi="Calibri"/>
          <w:b/>
          <w:bCs/>
        </w:rPr>
        <w:t xml:space="preserve">Avaliação: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rubrica-projeto-integrador-v2 (7 dimensões, 4 níveis), aplicada sobre a ficha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preenchida e a apresentação de até 5 minutos para a turma.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7"/>
    <w:bookmarkStart w:id="28" w:name="nota-de-sigilo"/>
    <w:p>
      <w:pPr>
        <w:pStyle w:val="Heading2"/>
      </w:pPr>
      <w:r>
        <w:rPr>
          <w:rFonts w:ascii="Calibri" w:hAnsi="Calibri"/>
        </w:rPr>
        <w:t xml:space="preserve">Nota de sigilo</w:t>
      </w:r>
    </w:p>
    <w:p>
      <w:pPr>
        <w:pStyle w:val="FirstParagraph"/>
      </w:pPr>
      <w:r>
        <w:rPr>
          <w:rFonts w:ascii="Calibri" w:hAnsi="Calibri"/>
        </w:rPr>
        <w:t xml:space="preserve">Os insumos deste anexo são fictícios justamente para que possam ser colados numa ferramenta de IA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sem restrição. Ao substituir um caso-tipo por rotina própria, vale a regra do curso: confere-se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primeiro o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sigilo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se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sim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ou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desconhecido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, não se envia, ponto; anonimizar só faz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sentido quando o envio já é permitido (Resolução CNJ 615/2025, arts. 7º e 19).</w:t>
      </w:r>
    </w:p>
    <w:bookmarkEnd w:id="28"/>
    <w:bookmarkEnd w:id="29"/>
    <w:sectPr w:rsidR="00FC693F" w:rsidRPr="0006063C" w:rsidSect="00034616">
      <w:headerReference r:id="rId9" w:type="default"/>
      <w:footerReference r:id="rId10" w:type="default"/>
      <w:pgSz w:h="15840" w:w="12240"/>
      <w:pgMar w:bottom="1417" w:footer="720" w:gutter="0" w:header="720" w:left="1701" w:right="1417" w:top="170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6B7280"/>
        <w:sz w:val="18"/>
      </w:rPr>
      <w:t xml:space="preserve">INOVAJUS — Justiça Federal no Ceará  ·  </w:t>
    </w:r>
    <w:r>
      <w:rPr>
        <w:rFonts w:ascii="Calibri" w:hAnsi="Calibri" w:cs="Calibri"/>
        <w:b w:val="0"/>
        <w:i w:val="0"/>
        <w:color w:val="6B7280"/>
        <w:sz w:val="18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 w:cs="Calibri"/>
        <w:b w:val="0"/>
        <w:i w:val="0"/>
        <w:color w:val="6B7280"/>
        <w:sz w:val="18"/>
      </w:rPr>
      <w:t>INOVAJUS — Eixo III — Tecnologia e Inteligência Artificial — JFCE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276" w:lineRule="auto"/>
      <w:jc w:val="both"/>
    </w:pPr>
    <w:rPr>
      <w:rFonts w:ascii="Calibri" w:cs="Calibri" w:eastAsia="Calibri" w:hAnsi="Calibri"/>
      <w:b w:val="0"/>
      <w:i w:val="0"/>
      <w:color w:val="1F2937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76" w:lineRule="auto"/>
      <w:jc w:val="left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B3A5C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76" w:lineRule="auto"/>
      <w:jc w:val="left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374151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jc w:val="left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374151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jc w:val="left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iCs/>
      <w:color w:val="1F2937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 w:line="276" w:lineRule="auto"/>
      <w:jc w:val="left"/>
      <w:outlineLvl w:val="4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374151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360" w:before="0" w:line="264" w:lineRule="auto"/>
      <w:contextualSpacing/>
      <w:jc w:val="left"/>
    </w:pPr>
    <w:rPr>
      <w:rFonts w:ascii="Calibri" w:asciiTheme="majorHAnsi" w:cs="Calibri" w:cstheme="majorBidi" w:eastAsia="Calibri" w:eastAsiaTheme="majorEastAsia" w:hAnsi="Calibri" w:hAnsiTheme="majorHAnsi"/>
      <w:b/>
      <w:i w:val="0"/>
      <w:color w:val="1B3A5C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480" w:before="0" w:line="276" w:lineRule="auto"/>
      <w:jc w:val="left"/>
    </w:pPr>
    <w:rPr>
      <w:rFonts w:ascii="Calibri" w:asciiTheme="majorHAnsi" w:cs="Calibri" w:cstheme="majorBidi" w:eastAsia="Calibri" w:eastAsiaTheme="majorEastAsia" w:hAnsi="Calibri" w:hAnsiTheme="majorHAnsi"/>
      <w:b w:val="0"/>
      <w:i/>
      <w:iCs/>
      <w:color w:val="6B728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spacing w:after="80" w:before="0" w:line="276" w:lineRule="auto"/>
      <w:ind w:left="720"/>
      <w:contextualSpacing/>
      <w:jc w:val="left"/>
    </w:pPr>
    <w:rPr>
      <w:rFonts w:ascii="Calibri" w:cs="Calibri" w:eastAsia="Calibri" w:hAnsi="Calibri"/>
      <w:b w:val="0"/>
      <w:i w:val="0"/>
      <w:color w:val="1F2937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spacing w:after="120" w:before="120" w:line="276" w:lineRule="auto"/>
      <w:jc w:val="left"/>
    </w:pPr>
    <w:rPr>
      <w:rFonts w:ascii="Calibri" w:cs="Calibri" w:eastAsia="Calibri" w:hAnsi="Calibri"/>
      <w:b w:val="0"/>
      <w:i/>
      <w:iCs/>
      <w:color w:val="6B728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2026-07-23T01:11:04Z</dcterms:created>
  <dcterms:modified xsi:type="dcterms:W3CDTF">2026-07-23T01:11:04Z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