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9" w:name="X137c7fda4253652579166b1a2ca236dee543784"/>
    <w:p>
      <w:pPr>
        <w:pStyle w:val="Heading1"/>
      </w:pPr>
      <w:r>
        <w:t xml:space="preserve">Casos-tipo de Vara Cível — Curso Servidor + IA (Turma TJCE)</w:t>
      </w:r>
    </w:p>
    <w:p>
      <w:pPr>
        <w:pStyle w:val="FirstParagraph"/>
      </w:pPr>
      <w:r>
        <w:t xml:space="preserve">Anexo do curso</w:t>
      </w:r>
      <w:r>
        <w:t xml:space="preserve"> </w:t>
      </w:r>
      <w:r>
        <w:t xml:space="preserve">“</w:t>
      </w:r>
      <w:r>
        <w:t xml:space="preserve">Servidor + IA</w:t>
      </w:r>
      <w:r>
        <w:t xml:space="preserve">”</w:t>
      </w:r>
      <w:r>
        <w:t xml:space="preserve">. Quatro cenários fictícios de Vara Cível para a prática do</w:t>
      </w:r>
      <w:r>
        <w:t xml:space="preserve"> </w:t>
      </w:r>
      <w:r>
        <w:t xml:space="preserve">Módulo 3. Turma TJCE.</w:t>
      </w:r>
      <w:r>
        <w:t xml:space="preserve"> </w:t>
      </w:r>
      <w:r>
        <w:t xml:space="preserve">Justiça Federal no Ceará · INOVAJUS Eixo III, instituição que ministra o curso.</w:t>
      </w:r>
    </w:p>
    <w:p>
      <w:r>
        <w:pict>
          <v:rect style="width:0;height:1.5pt" o:hralign="center" o:hrstd="t" o:hr="t"/>
        </w:pict>
      </w:r>
    </w:p>
    <w:bookmarkStart w:id="20" w:name="como-usar"/>
    <w:p>
      <w:pPr>
        <w:pStyle w:val="Heading2"/>
      </w:pPr>
      <w:r>
        <w:t xml:space="preserve">Como usar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b/>
          <w:bCs/>
        </w:rPr>
        <w:t xml:space="preserve">caso-tipo</w:t>
      </w:r>
      <w:r>
        <w:t xml:space="preserve"> </w:t>
      </w:r>
      <w:r>
        <w:t xml:space="preserve">é um cenário fictício de Vara Cível que já vem pronto para praticar: a rotina</w:t>
      </w:r>
      <w:r>
        <w:t xml:space="preserve"> </w:t>
      </w:r>
      <w:r>
        <w:t xml:space="preserve">descrita, os insumos para colar na ferramenta de IA, as armadilhas que costumam derrubar o</w:t>
      </w:r>
      <w:r>
        <w:t xml:space="preserve"> </w:t>
      </w:r>
      <w:r>
        <w:t xml:space="preserve">exercício e um tempo médio por unidade de referência. Você não precisa ter experiência na rotina</w:t>
      </w:r>
      <w:r>
        <w:t xml:space="preserve"> </w:t>
      </w:r>
      <w:r>
        <w:t xml:space="preserve">para usá-los — está tudo aqui.</w:t>
      </w:r>
    </w:p>
    <w:p>
      <w:pPr>
        <w:pStyle w:val="BodyText"/>
      </w:pPr>
      <w:r>
        <w:rPr>
          <w:b/>
          <w:bCs/>
        </w:rPr>
        <w:t xml:space="preserve">O que fazer.</w:t>
      </w:r>
      <w:r>
        <w:t xml:space="preserve"> </w:t>
      </w:r>
      <w:r>
        <w:t xml:space="preserve">Escolha</w:t>
      </w:r>
      <w:r>
        <w:t xml:space="preserve"> </w:t>
      </w:r>
      <w:r>
        <w:rPr>
          <w:b/>
          <w:bCs/>
        </w:rPr>
        <w:t xml:space="preserve">um</w:t>
      </w:r>
      <w:r>
        <w:t xml:space="preserve"> </w:t>
      </w:r>
      <w:r>
        <w:t xml:space="preserve">dos quatro casos-tipo abaixo e resolva-o ponta a ponta com o</w:t>
      </w:r>
      <w:r>
        <w:t xml:space="preserve"> </w:t>
      </w:r>
      <w:r>
        <w:t xml:space="preserve">apoio da IA, conferindo cada saída. É esse o material do exercício final guiado do Encontro 4, e</w:t>
      </w:r>
      <w:r>
        <w:t xml:space="preserve"> </w:t>
      </w:r>
      <w:r>
        <w:t xml:space="preserve">ele também serve de insumo alternativo nos exercícios do Módulo 3.</w:t>
      </w:r>
    </w:p>
    <w:p>
      <w:pPr>
        <w:pStyle w:val="BodyText"/>
      </w:pPr>
      <w:r>
        <w:t xml:space="preserve">Os quatro casos cobrem os quatro caminhos do roteiro — triar, resumir, minutar e organizar —, de</w:t>
      </w:r>
      <w:r>
        <w:t xml:space="preserve"> </w:t>
      </w:r>
      <w:r>
        <w:t xml:space="preserve">modo que a turma inteira exercite o método sem repetir a mesma demonstração. Os números de tempo</w:t>
      </w:r>
      <w:r>
        <w:t xml:space="preserve"> </w:t>
      </w:r>
      <w:r>
        <w:t xml:space="preserve">são referências calibradas para o exercício, não estatística de vara real (veja o aviso abaixo).</w:t>
      </w:r>
    </w:p>
    <w:p>
      <w:pPr>
        <w:pStyle w:val="BodyText"/>
      </w:pPr>
      <w:r>
        <w:rPr>
          <w:b/>
          <w:bCs/>
        </w:rPr>
        <w:t xml:space="preserve">Se você já tiver rotina própria equivalente</w:t>
      </w:r>
      <w:r>
        <w:t xml:space="preserve">, pode usá-la no lugar do caso-tipo, desde que</w:t>
      </w:r>
      <w:r>
        <w:t xml:space="preserve"> </w:t>
      </w:r>
      <w:r>
        <w:t xml:space="preserve">não entre nenhum dado sigiloso ou identificável.</w:t>
      </w:r>
    </w:p>
    <w:p>
      <w:pPr>
        <w:pStyle w:val="BlockText"/>
      </w:pPr>
      <w:r>
        <w:t xml:space="preserve">Todos os nomes, números de processo, datas, valores e unidades deste anexo são</w:t>
      </w:r>
      <w:r>
        <w:t xml:space="preserve"> </w:t>
      </w:r>
      <w:r>
        <w:rPr>
          <w:b/>
          <w:bCs/>
        </w:rPr>
        <w:t xml:space="preserve">fictícios</w:t>
      </w:r>
      <w:r>
        <w:t xml:space="preserve">.</w:t>
      </w:r>
      <w:r>
        <w:t xml:space="preserve"> </w:t>
      </w:r>
      <w:r>
        <w:t xml:space="preserve">A numeração segue o padrão do Tribunal de Justiça do Ceará (</w:t>
      </w:r>
      <w:r>
        <w:rPr>
          <w:rStyle w:val="VerbatimChar"/>
        </w:rPr>
        <w:t xml:space="preserve">…8.06.0001</w:t>
      </w:r>
      <w:r>
        <w:t xml:space="preserve">) apenas para dar</w:t>
      </w:r>
      <w:r>
        <w:t xml:space="preserve"> </w:t>
      </w:r>
      <w:r>
        <w:t xml:space="preserve">realismo ao exercício.</w:t>
      </w:r>
    </w:p>
    <w:p>
      <w:r>
        <w:pict>
          <v:rect style="width:0;height:1.5pt" o:hralign="center" o:hrstd="t" o:hr="t"/>
        </w:pict>
      </w:r>
    </w:p>
    <w:bookmarkEnd w:id="20"/>
    <w:bookmarkStart w:id="21" w:name="sobre-os-tempos-deste-anexo"/>
    <w:p>
      <w:pPr>
        <w:pStyle w:val="Heading2"/>
      </w:pPr>
      <w:r>
        <w:t xml:space="preserve">Sobre os tempos deste anexo</w:t>
      </w:r>
    </w:p>
    <w:p>
      <w:pPr>
        <w:pStyle w:val="FirstParagraph"/>
      </w:pPr>
      <w:r>
        <w:t xml:space="preserve">Os valores da coluna</w:t>
      </w:r>
      <w:r>
        <w:t xml:space="preserve"> </w:t>
      </w:r>
      <w:r>
        <w:t xml:space="preserve">“</w:t>
      </w:r>
      <w:r>
        <w:t xml:space="preserve">tempo médio hoje</w:t>
      </w:r>
      <w:r>
        <w:t xml:space="preserve">”</w:t>
      </w:r>
      <w:r>
        <w:t xml:space="preserve"> </w:t>
      </w:r>
      <w:r>
        <w:t xml:space="preserve">são</w:t>
      </w:r>
      <w:r>
        <w:t xml:space="preserve"> </w:t>
      </w:r>
      <w:r>
        <w:rPr>
          <w:b/>
          <w:bCs/>
        </w:rPr>
        <w:t xml:space="preserve">referências plausíveis, calibradas para o</w:t>
      </w:r>
      <w:r>
        <w:rPr>
          <w:b/>
          <w:bCs/>
        </w:rPr>
        <w:t xml:space="preserve"> </w:t>
      </w:r>
      <w:r>
        <w:rPr>
          <w:b/>
          <w:bCs/>
        </w:rPr>
        <w:t xml:space="preserve">exercício — não são medição de vara estadual real</w:t>
      </w:r>
      <w:r>
        <w:t xml:space="preserve">. Existem para dar à prática um ponto de</w:t>
      </w:r>
      <w:r>
        <w:t xml:space="preserve"> </w:t>
      </w:r>
      <w:r>
        <w:t xml:space="preserve">partida: quanto a tarefa custa hoje, para você comparar com quanto custou com o apoio da IA, já</w:t>
      </w:r>
      <w:r>
        <w:t xml:space="preserve"> </w:t>
      </w:r>
      <w:r>
        <w:t xml:space="preserve">incluindo a conferência humana.</w:t>
      </w:r>
    </w:p>
    <w:p>
      <w:pPr>
        <w:pStyle w:val="BodyText"/>
      </w:pPr>
      <w:r>
        <w:rPr>
          <w:b/>
          <w:bCs/>
        </w:rPr>
        <w:t xml:space="preserve">Se a sua unidade tiver o número real da rotina</w:t>
      </w:r>
      <w:r>
        <w:t xml:space="preserve">, ele pode entrar no lugar do número de</w:t>
      </w:r>
      <w:r>
        <w:t xml:space="preserve"> </w:t>
      </w:r>
      <w:r>
        <w:t xml:space="preserve">referência: é</w:t>
      </w:r>
      <w:r>
        <w:t xml:space="preserve"> </w:t>
      </w:r>
      <w:r>
        <w:rPr>
          <w:b/>
          <w:bCs/>
        </w:rPr>
        <w:t xml:space="preserve">uma linha por caso</w:t>
      </w:r>
      <w:r>
        <w:t xml:space="preserve"> </w:t>
      </w:r>
      <w:r>
        <w:t xml:space="preserve">(</w:t>
      </w:r>
      <w:r>
        <w:t xml:space="preserve">“</w:t>
      </w:r>
      <w:r>
        <w:t xml:space="preserve">Tempo médio por unidade hoje</w:t>
      </w:r>
      <w:r>
        <w:t xml:space="preserve">”</w:t>
      </w:r>
      <w:r>
        <w:t xml:space="preserve">), e todo o resto do anexo —</w:t>
      </w:r>
      <w:r>
        <w:t xml:space="preserve"> </w:t>
      </w:r>
      <w:r>
        <w:t xml:space="preserve">rotina, insumos, armadilhas e ficha — continua valendo sem alteração.</w:t>
      </w:r>
    </w:p>
    <w:p>
      <w:r>
        <w:pict>
          <v:rect style="width:0;height:1.5pt" o:hralign="center" o:hrstd="t" o:hr="t"/>
        </w:pict>
      </w:r>
    </w:p>
    <w:bookmarkEnd w:id="21"/>
    <w:bookmarkStart w:id="22" w:name="quadro-comparativo"/>
    <w:p>
      <w:pPr>
        <w:pStyle w:val="Heading2"/>
      </w:pPr>
      <w:r>
        <w:t xml:space="preserve">Quadro comparativo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Caso-tipo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Tarefa central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Prompts-mestre previstos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 médio hoje (referência)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Triagem de petições iniciais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classificar e priorizar um lote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prompt-mestre M9 (com o roteiro de demonstração E1)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min por petição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Resumo de peças para despacho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resumir e conferir contra o original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prompt-mestre M1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 min por peça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Minutas-padrão de expediente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minutar e cotejar com o modelo da Vara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prompts-mestre M3 e M5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min por minuta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Relatório de andamento do acervo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estruturar dados soltos em relatório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prompt-mestre M6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h por relatório mensal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2"/>
    <w:bookmarkStart w:id="23" w:name="caso-tipo-a-triagem-de-petições-iniciais"/>
    <w:p>
      <w:pPr>
        <w:pStyle w:val="Heading2"/>
      </w:pPr>
      <w:r>
        <w:t xml:space="preserve">Caso-tipo A — Triagem de petições iniciais</w:t>
      </w:r>
    </w:p>
    <w:p>
      <w:pPr>
        <w:pStyle w:val="FirstParagraph"/>
      </w:pPr>
      <w:r>
        <w:rPr>
          <w:b/>
          <w:bCs/>
        </w:rPr>
        <w:t xml:space="preserve">Unidade fictícia:</w:t>
      </w:r>
      <w:r>
        <w:t xml:space="preserve"> </w:t>
      </w:r>
      <w:r>
        <w:t xml:space="preserve">7ª Vara Cível da Comarca de Fortaleza.</w:t>
      </w:r>
    </w:p>
    <w:p>
      <w:pPr>
        <w:pStyle w:val="BodyText"/>
      </w:pPr>
      <w:r>
        <w:rPr>
          <w:b/>
          <w:bCs/>
        </w:rPr>
        <w:t xml:space="preserve">Situação atual.</w:t>
      </w:r>
      <w:r>
        <w:t xml:space="preserve"> </w:t>
      </w:r>
      <w:r>
        <w:t xml:space="preserve">Todo dia útil chegam entre 25 e 40 petições iniciais novas. Um servidor lê</w:t>
      </w:r>
      <w:r>
        <w:t xml:space="preserve"> </w:t>
      </w:r>
      <w:r>
        <w:t xml:space="preserve">cada uma para classificar em três filas:</w:t>
      </w:r>
      <w:r>
        <w:t xml:space="preserve"> </w:t>
      </w:r>
      <w:r>
        <w:rPr>
          <w:b/>
          <w:bCs/>
        </w:rPr>
        <w:t xml:space="preserve">urgente</w:t>
      </w:r>
      <w:r>
        <w:t xml:space="preserve"> </w:t>
      </w:r>
      <w:r>
        <w:t xml:space="preserve">(pedido de tutela de urgência, processo com</w:t>
      </w:r>
      <w:r>
        <w:t xml:space="preserve"> </w:t>
      </w:r>
      <w:r>
        <w:t xml:space="preserve">prioridade legal — idoso, pessoa com deficiência ou doença grave —, prazo legal em 48h),</w:t>
      </w:r>
      <w:r>
        <w:t xml:space="preserve"> </w:t>
      </w:r>
      <w:r>
        <w:rPr>
          <w:b/>
          <w:bCs/>
        </w:rPr>
        <w:t xml:space="preserve">normal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devolver</w:t>
      </w:r>
      <w:r>
        <w:t xml:space="preserve"> </w:t>
      </w:r>
      <w:r>
        <w:t xml:space="preserve">(falta documento essencial ou</w:t>
      </w:r>
      <w:r>
        <w:t xml:space="preserve"> </w:t>
      </w:r>
      <w:r>
        <w:t xml:space="preserve">incompetência evidente). A classificação é feita direto no sistema, sem registro do critério</w:t>
      </w:r>
      <w:r>
        <w:t xml:space="preserve"> </w:t>
      </w:r>
      <w:r>
        <w:t xml:space="preserve">aplicado. Quando o servidor titular da triagem falta, o lote do dia acumula para o dia seguinte.</w:t>
      </w:r>
    </w:p>
    <w:p>
      <w:pPr>
        <w:pStyle w:val="BodyText"/>
      </w:pPr>
      <w:r>
        <w:rPr>
          <w:b/>
          <w:bCs/>
        </w:rPr>
        <w:t xml:space="preserve">Tempo médio por unidade hoje:</w:t>
      </w:r>
      <w:r>
        <w:t xml:space="preserve"> </w:t>
      </w:r>
      <w:r>
        <w:rPr>
          <w:b/>
          <w:bCs/>
        </w:rPr>
        <w:t xml:space="preserve">6 minutos por petição</w:t>
      </w:r>
      <w:r>
        <w:t xml:space="preserve"> </w:t>
      </w:r>
      <w:r>
        <w:t xml:space="preserve">— cerca de 3 horas para um lote de 30.</w:t>
      </w:r>
    </w:p>
    <w:p>
      <w:pPr>
        <w:pStyle w:val="BodyText"/>
      </w:pPr>
      <w:r>
        <w:rPr>
          <w:b/>
          <w:bCs/>
        </w:rPr>
        <w:t xml:space="preserve">Lote de exemplo (fictício), para aplicar o prompt-mestre M9: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Nº do processo (fictício)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Objeto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Observação constante da inicial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0011223-45.2026.8.06.0001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Obrigação de fazer — plano de saúde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tutela de urgência; laudo do médico assistente anexado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0022334-56.2026.8.06.0001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Cobrança — contrato de prestação de serviços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sem pedido de urgência; documentos completos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0033445-67.2026.8.06.0001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Obrigação de fazer — plano de saúde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tutela de urgência;</w:t>
            </w:r>
            <w:r>
              <w:t xml:space="preserve"> </w:t>
            </w:r>
            <w:r>
              <w:rPr>
                <w:b/>
                <w:bCs/>
              </w:rPr>
              <w:t xml:space="preserve">sem</w:t>
            </w:r>
            <w:r>
              <w:t xml:space="preserve"> </w:t>
            </w:r>
            <w:r>
              <w:t xml:space="preserve">laudo anexado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0044556-78.2026.8.06.0001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Indenização por danos materiais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 da causa não informado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0002233-11.2026.8.06.0001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Revisão de contrato bancário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pede gratuidade; declaração de hipossuficiência anexada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0009988-22.2021.8.06.0001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Execução de título extrajudicial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petição de reiteração; processo já distribuído em 2021</w:t>
            </w:r>
          </w:p>
        </w:tc>
      </w:tr>
    </w:tbl>
    <w:p>
      <w:pPr>
        <w:pStyle w:val="BodyText"/>
      </w:pPr>
      <w:r>
        <w:rPr>
          <w:b/>
          <w:bCs/>
        </w:rPr>
        <w:t xml:space="preserve">Onde o exercício costuma travar.</w:t>
      </w:r>
      <w:r>
        <w:t xml:space="preserve"> </w:t>
      </w:r>
      <w:r>
        <w:t xml:space="preserve">Duas armadilhas plantadas: a inicial sem laudo (pede urgência</w:t>
      </w:r>
      <w:r>
        <w:t xml:space="preserve"> </w:t>
      </w:r>
      <w:r>
        <w:t xml:space="preserve">mas não instrui o pedido — é urgente ou é caso de emenda?) e a petição de reiteração de 2021, que</w:t>
      </w:r>
      <w:r>
        <w:t xml:space="preserve"> </w:t>
      </w:r>
      <w:r>
        <w:t xml:space="preserve">não é inicial nova. Um bom prompt força a IA a justificar cada classificação em uma frase e a</w:t>
      </w:r>
      <w:r>
        <w:t xml:space="preserve"> </w:t>
      </w:r>
      <w:r>
        <w:t xml:space="preserve">marcar como</w:t>
      </w:r>
      <w:r>
        <w:t xml:space="preserve"> </w:t>
      </w:r>
      <w:r>
        <w:t xml:space="preserve">“</w:t>
      </w:r>
      <w:r>
        <w:t xml:space="preserve">não classificável</w:t>
      </w:r>
      <w:r>
        <w:t xml:space="preserve">”</w:t>
      </w:r>
      <w:r>
        <w:t xml:space="preserve"> </w:t>
      </w:r>
      <w:r>
        <w:t xml:space="preserve">o que não se encaixa — em vez de chutar.</w:t>
      </w:r>
    </w:p>
    <w:p>
      <w:pPr>
        <w:pStyle w:val="BodyText"/>
      </w:pPr>
      <w:r>
        <w:rPr>
          <w:b/>
          <w:bCs/>
        </w:rPr>
        <w:t xml:space="preserve">O que 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depois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precisa mostrar:</w:t>
      </w:r>
      <w:r>
        <w:t xml:space="preserve"> </w:t>
      </w:r>
      <w:r>
        <w:t xml:space="preserve">tempo por petição</w:t>
      </w:r>
      <w:r>
        <w:t xml:space="preserve"> </w:t>
      </w:r>
      <w:r>
        <w:rPr>
          <w:b/>
          <w:bCs/>
        </w:rPr>
        <w:t xml:space="preserve">com a conferência humana incluída</w:t>
      </w:r>
      <w:r>
        <w:t xml:space="preserve">. A</w:t>
      </w:r>
      <w:r>
        <w:t xml:space="preserve"> </w:t>
      </w:r>
      <w:r>
        <w:t xml:space="preserve">triagem assistida não dispensa a leitura de conferência; ela muda o que se lê primeiro.</w:t>
      </w:r>
    </w:p>
    <w:p>
      <w:r>
        <w:pict>
          <v:rect style="width:0;height:1.5pt" o:hralign="center" o:hrstd="t" o:hr="t"/>
        </w:pict>
      </w:r>
    </w:p>
    <w:bookmarkEnd w:id="23"/>
    <w:bookmarkStart w:id="24" w:name="Xa5dd2c69ba78fc6845f4388c1a31d9f8c516d15"/>
    <w:p>
      <w:pPr>
        <w:pStyle w:val="Heading2"/>
      </w:pPr>
      <w:r>
        <w:t xml:space="preserve">Caso-tipo B — Resumo de peças para despacho</w:t>
      </w:r>
    </w:p>
    <w:p>
      <w:pPr>
        <w:pStyle w:val="FirstParagraph"/>
      </w:pPr>
      <w:r>
        <w:rPr>
          <w:b/>
          <w:bCs/>
        </w:rPr>
        <w:t xml:space="preserve">Unidade fictícia:</w:t>
      </w:r>
      <w:r>
        <w:t xml:space="preserve"> </w:t>
      </w:r>
      <w:r>
        <w:t xml:space="preserve">9ª Vara Cível da Comarca de Fortaleza.</w:t>
      </w:r>
    </w:p>
    <w:p>
      <w:pPr>
        <w:pStyle w:val="BodyText"/>
      </w:pPr>
      <w:r>
        <w:rPr>
          <w:b/>
          <w:bCs/>
        </w:rPr>
        <w:t xml:space="preserve">Situação atual.</w:t>
      </w:r>
      <w:r>
        <w:t xml:space="preserve"> </w:t>
      </w:r>
      <w:r>
        <w:t xml:space="preserve">Antes de cada despacho, o assessor lê a peça mais recente do processo</w:t>
      </w:r>
      <w:r>
        <w:t xml:space="preserve"> </w:t>
      </w:r>
      <w:r>
        <w:t xml:space="preserve">(contestação, réplica ou manifestação sobre laudo, entre 15 e 40 páginas) e escreve à mão um</w:t>
      </w:r>
      <w:r>
        <w:t xml:space="preserve"> </w:t>
      </w:r>
      <w:r>
        <w:t xml:space="preserve">resumo de meia página para o magistrado, indicando pedido, fundamento e prazo pendente. O resumo</w:t>
      </w:r>
      <w:r>
        <w:t xml:space="preserve"> </w:t>
      </w:r>
      <w:r>
        <w:t xml:space="preserve">não segue estrutura fixa — cada assessor organiza do seu jeito —, e por isso o magistrado</w:t>
      </w:r>
      <w:r>
        <w:t xml:space="preserve"> </w:t>
      </w:r>
      <w:r>
        <w:t xml:space="preserve">frequentemente volta com a mesma pergunta:</w:t>
      </w:r>
      <w:r>
        <w:t xml:space="preserve"> </w:t>
      </w:r>
      <w:r>
        <w:t xml:space="preserve">“</w:t>
      </w:r>
      <w:r>
        <w:t xml:space="preserve">e o pedido subsidiário?</w:t>
      </w:r>
      <w:r>
        <w:t xml:space="preserve">”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Tempo médio por unidade hoje:</w:t>
      </w:r>
      <w:r>
        <w:t xml:space="preserve"> </w:t>
      </w:r>
      <w:r>
        <w:rPr>
          <w:b/>
          <w:bCs/>
        </w:rPr>
        <w:t xml:space="preserve">18 minutos por peça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Peça de exemplo (fictícia), para aplicar o prompt-mestre M1 — trecho de contestação:</w:t>
      </w:r>
    </w:p>
    <w:p>
      <w:pPr>
        <w:pStyle w:val="BlockText"/>
      </w:pPr>
      <w:r>
        <w:t xml:space="preserve">Processo nº 0001234-56.2024.8.06.0001</w:t>
      </w:r>
      <w:r>
        <w:t xml:space="preserve"> </w:t>
      </w:r>
      <w:r>
        <w:t xml:space="preserve">SAÚDE VIDA PLENA OPERADORA DE PLANOS DE SAÚDE LTDA. (fictícia), já qualificada, apresenta</w:t>
      </w:r>
      <w:r>
        <w:t xml:space="preserve"> </w:t>
      </w:r>
      <w:r>
        <w:t xml:space="preserve">CONTESTAÇÃO à ação de obrigação de fazer proposta por MARIA DE SOUSA LIMA (fictícia).</w:t>
      </w:r>
      <w:r>
        <w:t xml:space="preserve"> </w:t>
      </w:r>
      <w:r>
        <w:t xml:space="preserve">Preliminarmente, sustenta a ausência de interesse de agir, porque a autora não formulou pedido</w:t>
      </w:r>
      <w:r>
        <w:t xml:space="preserve"> </w:t>
      </w:r>
      <w:r>
        <w:t xml:space="preserve">administrativo de reanálise após a negativa de 30/09/2025.</w:t>
      </w:r>
      <w:r>
        <w:t xml:space="preserve"> </w:t>
      </w:r>
      <w:r>
        <w:t xml:space="preserve">No mérito, afirma que o procedimento requerido não consta do rol da agência reguladora e que o</w:t>
      </w:r>
      <w:r>
        <w:t xml:space="preserve"> </w:t>
      </w:r>
      <w:r>
        <w:t xml:space="preserve">parecer do médico auditor da operadora, de 12/10/2025, concluiu pela ausência de indicação</w:t>
      </w:r>
      <w:r>
        <w:t xml:space="preserve"> </w:t>
      </w:r>
      <w:r>
        <w:t xml:space="preserve">clínica. Sustenta a legalidade da cláusula 14.3 do contrato, que exclui a cobertura pretendida.</w:t>
      </w:r>
      <w:r>
        <w:t xml:space="preserve"> </w:t>
      </w:r>
      <w:r>
        <w:t xml:space="preserve">Subsidiariamente, caso deferida a obrigação, requer que o custeio se limite à rede credenciada</w:t>
      </w:r>
      <w:r>
        <w:t xml:space="preserve"> </w:t>
      </w:r>
      <w:r>
        <w:t xml:space="preserve">e que a multa diária não ultrapasse R$ 200,00, limitada a 30 dias.</w:t>
      </w:r>
      <w:r>
        <w:t xml:space="preserve"> </w:t>
      </w:r>
      <w:r>
        <w:t xml:space="preserve">Requer a improcedência. Protesta por prova pericial médica.</w:t>
      </w:r>
    </w:p>
    <w:p>
      <w:pPr>
        <w:pStyle w:val="FirstParagraph"/>
      </w:pPr>
      <w:r>
        <w:rPr>
          <w:b/>
          <w:bCs/>
        </w:rPr>
        <w:t xml:space="preserve">Onde o exercício costuma travar.</w:t>
      </w:r>
      <w:r>
        <w:t xml:space="preserve"> </w:t>
      </w:r>
      <w:r>
        <w:t xml:space="preserve">O pedido subsidiário (limitação de multa e rede credenciada)</w:t>
      </w:r>
      <w:r>
        <w:t xml:space="preserve"> </w:t>
      </w:r>
      <w:r>
        <w:t xml:space="preserve">é exatamente o que costuma sumir num resumo apressado — e é o que o magistrado precisa para</w:t>
      </w:r>
      <w:r>
        <w:t xml:space="preserve"> </w:t>
      </w:r>
      <w:r>
        <w:t xml:space="preserve">despachar. A conferência tem de ser contra o texto original, parágrafo por parágrafo: um resumo</w:t>
      </w:r>
      <w:r>
        <w:t xml:space="preserve"> </w:t>
      </w:r>
      <w:r>
        <w:t xml:space="preserve">fluente que omite o subsidiário está</w:t>
      </w:r>
      <w:r>
        <w:t xml:space="preserve"> </w:t>
      </w:r>
      <w:r>
        <w:rPr>
          <w:i/>
          <w:iCs/>
        </w:rPr>
        <w:t xml:space="preserve">errado</w:t>
      </w:r>
      <w:r>
        <w:t xml:space="preserve">, mesmo sem nenhuma frase falsa.</w:t>
      </w:r>
    </w:p>
    <w:p>
      <w:pPr>
        <w:pStyle w:val="BodyText"/>
      </w:pPr>
      <w:r>
        <w:rPr>
          <w:b/>
          <w:bCs/>
        </w:rPr>
        <w:t xml:space="preserve">O que 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depois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precisa mostrar:</w:t>
      </w:r>
      <w:r>
        <w:t xml:space="preserve"> </w:t>
      </w:r>
      <w:r>
        <w:t xml:space="preserve">tempo por peça incluindo a releitura de conferência, e a</w:t>
      </w:r>
      <w:r>
        <w:t xml:space="preserve"> </w:t>
      </w:r>
      <w:r>
        <w:t xml:space="preserve">lista do que foi conferido (pedido principal, subsidiário, preliminares, prazo, prova requerida).</w:t>
      </w:r>
    </w:p>
    <w:p>
      <w:r>
        <w:pict>
          <v:rect style="width:0;height:1.5pt" o:hralign="center" o:hrstd="t" o:hr="t"/>
        </w:pict>
      </w:r>
    </w:p>
    <w:bookmarkEnd w:id="24"/>
    <w:bookmarkStart w:id="25" w:name="caso-tipo-c-minutas-padrão-de-expediente"/>
    <w:p>
      <w:pPr>
        <w:pStyle w:val="Heading2"/>
      </w:pPr>
      <w:r>
        <w:t xml:space="preserve">Caso-tipo C — Minutas-padrão de expediente</w:t>
      </w:r>
    </w:p>
    <w:p>
      <w:pPr>
        <w:pStyle w:val="FirstParagraph"/>
      </w:pPr>
      <w:r>
        <w:rPr>
          <w:b/>
          <w:bCs/>
        </w:rPr>
        <w:t xml:space="preserve">Unidade fictícia:</w:t>
      </w:r>
      <w:r>
        <w:t xml:space="preserve"> </w:t>
      </w:r>
      <w:r>
        <w:t xml:space="preserve">3ª Vara Cível da Comarca de Fortaleza.</w:t>
      </w:r>
    </w:p>
    <w:p>
      <w:pPr>
        <w:pStyle w:val="BodyText"/>
      </w:pPr>
      <w:r>
        <w:rPr>
          <w:b/>
          <w:bCs/>
        </w:rPr>
        <w:t xml:space="preserve">Situação atual.</w:t>
      </w:r>
      <w:r>
        <w:t xml:space="preserve"> </w:t>
      </w:r>
      <w:r>
        <w:t xml:space="preserve">A secretaria produz cerca de 60 minutas de despacho de expediente por semana</w:t>
      </w:r>
      <w:r>
        <w:t xml:space="preserve"> </w:t>
      </w:r>
      <w:r>
        <w:t xml:space="preserve">(citação, intimação para réplica, especificação de provas, remessa ao contador). Cada servidor</w:t>
      </w:r>
      <w:r>
        <w:t xml:space="preserve"> </w:t>
      </w:r>
      <w:r>
        <w:t xml:space="preserve">copia a última minuta parecida que encontra na própria pasta e edita. Não há um modelo único</w:t>
      </w:r>
      <w:r>
        <w:t xml:space="preserve"> </w:t>
      </w:r>
      <w:r>
        <w:t xml:space="preserve">consolidado: circulam três versões do mesmo despacho de intimação para réplica, com prazos</w:t>
      </w:r>
      <w:r>
        <w:t xml:space="preserve"> </w:t>
      </w:r>
      <w:r>
        <w:t xml:space="preserve">escritos de formas diferentes (</w:t>
      </w:r>
      <w:r>
        <w:t xml:space="preserve">“</w:t>
      </w:r>
      <w:r>
        <w:t xml:space="preserve">quinze dias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15 (quinze) dias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prazo legal</w:t>
      </w:r>
      <w:r>
        <w:t xml:space="preserve">”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Tempo médio por unidade hoje:</w:t>
      </w:r>
      <w:r>
        <w:t xml:space="preserve"> </w:t>
      </w:r>
      <w:r>
        <w:rPr>
          <w:b/>
          <w:bCs/>
        </w:rPr>
        <w:t xml:space="preserve">12 minutos por minuta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Modelo padrão da Vara (fictício), para o cotejo com o prompt-mestre M5:</w:t>
      </w:r>
    </w:p>
    <w:p>
      <w:pPr>
        <w:pStyle w:val="BlockText"/>
      </w:pPr>
      <w:r>
        <w:rPr>
          <w:b/>
          <w:bCs/>
        </w:rPr>
        <w:t xml:space="preserve">DESPACHO — intimação para réplica</w:t>
      </w:r>
      <w:r>
        <w:t xml:space="preserve"> </w:t>
      </w:r>
      <w:r>
        <w:t xml:space="preserve">Vistos.</w:t>
      </w:r>
      <w:r>
        <w:t xml:space="preserve"> </w:t>
      </w:r>
      <w:r>
        <w:t xml:space="preserve">Apresentada contestação, intime-se a parte autora para, querendo, apresentar réplica no prazo</w:t>
      </w:r>
      <w:r>
        <w:t xml:space="preserve"> </w:t>
      </w:r>
      <w:r>
        <w:t xml:space="preserve">de 15 (quinze) dias (arts. 350 e 351 do CPC).</w:t>
      </w:r>
      <w:r>
        <w:t xml:space="preserve"> </w:t>
      </w:r>
      <w:r>
        <w:t xml:space="preserve">Após, venham conclusos para saneamento.</w:t>
      </w:r>
      <w:r>
        <w:t xml:space="preserve"> </w:t>
      </w:r>
      <w:r>
        <w:t xml:space="preserve">Cumpra-se. Fortaleza/CE, data da assinatura eletrônica.</w:t>
      </w:r>
    </w:p>
    <w:p>
      <w:pPr>
        <w:pStyle w:val="FirstParagraph"/>
      </w:pPr>
      <w:r>
        <w:rPr>
          <w:b/>
          <w:bCs/>
        </w:rPr>
        <w:t xml:space="preserve">Minuta gerada por IA (fictícia), para o participante cotejar:</w:t>
      </w:r>
    </w:p>
    <w:p>
      <w:pPr>
        <w:pStyle w:val="BlockText"/>
      </w:pPr>
      <w:r>
        <w:rPr>
          <w:b/>
          <w:bCs/>
        </w:rPr>
        <w:t xml:space="preserve">DESPACHO</w:t>
      </w:r>
      <w:r>
        <w:t xml:space="preserve"> </w:t>
      </w:r>
      <w:r>
        <w:t xml:space="preserve">Vistos.</w:t>
      </w:r>
      <w:r>
        <w:t xml:space="preserve"> </w:t>
      </w:r>
      <w:r>
        <w:t xml:space="preserve">Tendo em vista a contestação apresentada, intime-se a parte autora para apresentar réplica no</w:t>
      </w:r>
      <w:r>
        <w:t xml:space="preserve"> </w:t>
      </w:r>
      <w:r>
        <w:t xml:space="preserve">prazo de 10 (dez) dias.</w:t>
      </w:r>
      <w:r>
        <w:t xml:space="preserve"> </w:t>
      </w:r>
      <w:r>
        <w:t xml:space="preserve">Não havendo manifestação, os autos serão arquivados.</w:t>
      </w:r>
      <w:r>
        <w:t xml:space="preserve"> </w:t>
      </w:r>
      <w:r>
        <w:t xml:space="preserve">Publique-se. Intime-se. Fortaleza/CE, 12 de agosto de 2026.</w:t>
      </w:r>
    </w:p>
    <w:p>
      <w:pPr>
        <w:pStyle w:val="FirstParagraph"/>
      </w:pPr>
      <w:r>
        <w:rPr>
          <w:b/>
          <w:bCs/>
        </w:rPr>
        <w:t xml:space="preserve">Onde o exercício costuma travar.</w:t>
      </w:r>
      <w:r>
        <w:t xml:space="preserve"> </w:t>
      </w:r>
      <w:r>
        <w:t xml:space="preserve">Três divergências plantadas, de gravidades diferentes: o</w:t>
      </w:r>
      <w:r>
        <w:t xml:space="preserve"> </w:t>
      </w:r>
      <w:r>
        <w:t xml:space="preserve">prazo errado (10 em vez de 15 —</w:t>
      </w:r>
      <w:r>
        <w:t xml:space="preserve"> </w:t>
      </w:r>
      <w:r>
        <w:rPr>
          <w:b/>
          <w:bCs/>
        </w:rPr>
        <w:t xml:space="preserve">é a grave</w:t>
      </w:r>
      <w:r>
        <w:t xml:space="preserve">, contraria os arts. 350 e 351 do CPC), o arquivamento</w:t>
      </w:r>
      <w:r>
        <w:t xml:space="preserve"> </w:t>
      </w:r>
      <w:r>
        <w:t xml:space="preserve">indevido pela ausência de réplica (que é faculdade da parte, não causa de arquivamento) e a data</w:t>
      </w:r>
      <w:r>
        <w:t xml:space="preserve"> </w:t>
      </w:r>
      <w:r>
        <w:t xml:space="preserve">fixa no lugar da assinatura eletrônica. Um bom cotejo não só lista as três: ordena por gravidade</w:t>
      </w:r>
      <w:r>
        <w:t xml:space="preserve"> </w:t>
      </w:r>
      <w:r>
        <w:t xml:space="preserve">e diz qual delas impediria a assinatura.</w:t>
      </w:r>
    </w:p>
    <w:p>
      <w:pPr>
        <w:pStyle w:val="BodyText"/>
      </w:pPr>
      <w:r>
        <w:rPr>
          <w:b/>
          <w:bCs/>
        </w:rPr>
        <w:t xml:space="preserve">O que 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depois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precisa mostrar:</w:t>
      </w:r>
      <w:r>
        <w:t xml:space="preserve"> </w:t>
      </w:r>
      <w:r>
        <w:t xml:space="preserve">tempo por minuta incluindo o cotejo com o modelo padrão — e</w:t>
      </w:r>
      <w:r>
        <w:t xml:space="preserve"> </w:t>
      </w:r>
      <w:r>
        <w:t xml:space="preserve">a constatação de que consolidar um modelo único é parte do ganho, não efeito colateral.</w:t>
      </w:r>
    </w:p>
    <w:p>
      <w:r>
        <w:pict>
          <v:rect style="width:0;height:1.5pt" o:hralign="center" o:hrstd="t" o:hr="t"/>
        </w:pict>
      </w:r>
    </w:p>
    <w:bookmarkEnd w:id="25"/>
    <w:bookmarkStart w:id="26" w:name="X48c8ca90790a75ed41cbd914435d5686e586df6"/>
    <w:p>
      <w:pPr>
        <w:pStyle w:val="Heading2"/>
      </w:pPr>
      <w:r>
        <w:t xml:space="preserve">Caso-tipo D — Relatório de andamento do acervo</w:t>
      </w:r>
    </w:p>
    <w:p>
      <w:pPr>
        <w:pStyle w:val="FirstParagraph"/>
      </w:pPr>
      <w:r>
        <w:rPr>
          <w:b/>
          <w:bCs/>
        </w:rPr>
        <w:t xml:space="preserve">Unidade fictícia:</w:t>
      </w:r>
      <w:r>
        <w:t xml:space="preserve"> </w:t>
      </w:r>
      <w:r>
        <w:t xml:space="preserve">7ª Vara Cível da Comarca de Fortaleza.</w:t>
      </w:r>
    </w:p>
    <w:p>
      <w:pPr>
        <w:pStyle w:val="BodyText"/>
      </w:pPr>
      <w:r>
        <w:rPr>
          <w:b/>
          <w:bCs/>
        </w:rPr>
        <w:t xml:space="preserve">Situação atual.</w:t>
      </w:r>
      <w:r>
        <w:t xml:space="preserve"> </w:t>
      </w:r>
      <w:r>
        <w:t xml:space="preserve">Toda primeira semana do mês, o diretor de secretaria monta à mão um relatório</w:t>
      </w:r>
      <w:r>
        <w:t xml:space="preserve"> </w:t>
      </w:r>
      <w:r>
        <w:t xml:space="preserve">de andamento para a reunião de gestão. Os dados vêm de três lugares: a extração do sistema</w:t>
      </w:r>
      <w:r>
        <w:t xml:space="preserve"> </w:t>
      </w:r>
      <w:r>
        <w:t xml:space="preserve">processual (planilha), as anotações do supervisor sobre pendências de cumprimento (bloco de</w:t>
      </w:r>
      <w:r>
        <w:t xml:space="preserve"> </w:t>
      </w:r>
      <w:r>
        <w:t xml:space="preserve">notas) e os e-mails de cobrança da Corregedoria. Consolidar isso em texto corrido, com número e</w:t>
      </w:r>
      <w:r>
        <w:t xml:space="preserve"> </w:t>
      </w:r>
      <w:r>
        <w:t xml:space="preserve">comentário, consome uma manhã inteira.</w:t>
      </w:r>
    </w:p>
    <w:p>
      <w:pPr>
        <w:pStyle w:val="BodyText"/>
      </w:pPr>
      <w:r>
        <w:rPr>
          <w:b/>
          <w:bCs/>
        </w:rPr>
        <w:t xml:space="preserve">Tempo médio por unidade hoje:</w:t>
      </w:r>
      <w:r>
        <w:t xml:space="preserve"> </w:t>
      </w:r>
      <w:r>
        <w:rPr>
          <w:b/>
          <w:bCs/>
        </w:rPr>
        <w:t xml:space="preserve">3 horas por relatório mensal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Anotações soltas de exemplo (fictícias), para aplicar o prompt-mestre M6:</w:t>
      </w:r>
    </w:p>
    <w:p>
      <w:pPr>
        <w:pStyle w:val="Compact"/>
        <w:numPr>
          <w:ilvl w:val="0"/>
          <w:numId w:val="1001"/>
        </w:numPr>
      </w:pPr>
      <w:r>
        <w:t xml:space="preserve">conclusos p/ sentença: 212 (mês passado 198)</w:t>
      </w:r>
    </w:p>
    <w:p>
      <w:pPr>
        <w:pStyle w:val="Compact"/>
        <w:numPr>
          <w:ilvl w:val="0"/>
          <w:numId w:val="1001"/>
        </w:numPr>
      </w:pPr>
      <w:r>
        <w:t xml:space="preserve">conclusos p/ decisão: 87</w:t>
      </w:r>
    </w:p>
    <w:p>
      <w:pPr>
        <w:pStyle w:val="Compact"/>
        <w:numPr>
          <w:ilvl w:val="0"/>
          <w:numId w:val="1001"/>
        </w:numPr>
      </w:pPr>
      <w:r>
        <w:t xml:space="preserve">cumprimento pendente na secretaria: 143, sendo 26 com prazo vencido</w:t>
      </w:r>
    </w:p>
    <w:p>
      <w:pPr>
        <w:pStyle w:val="Compact"/>
        <w:numPr>
          <w:ilvl w:val="0"/>
          <w:numId w:val="1001"/>
        </w:numPr>
      </w:pPr>
      <w:r>
        <w:t xml:space="preserve">audiências realizadas no mês: 34; redesignadas: 6 (2 por ausência de perito)</w:t>
      </w:r>
    </w:p>
    <w:p>
      <w:pPr>
        <w:pStyle w:val="Compact"/>
        <w:numPr>
          <w:ilvl w:val="0"/>
          <w:numId w:val="1001"/>
        </w:numPr>
      </w:pPr>
      <w:r>
        <w:t xml:space="preserve">mutirão de conciliação (semana 3): 41 acordos homologados</w:t>
      </w:r>
    </w:p>
    <w:p>
      <w:pPr>
        <w:pStyle w:val="Compact"/>
        <w:numPr>
          <w:ilvl w:val="0"/>
          <w:numId w:val="1001"/>
        </w:numPr>
      </w:pPr>
      <w:r>
        <w:t xml:space="preserve">reclamação de advogado sobre demora em expedição de alvará — 3 registros na ouvidoria</w:t>
      </w:r>
    </w:p>
    <w:p>
      <w:pPr>
        <w:pStyle w:val="Compact"/>
        <w:numPr>
          <w:ilvl w:val="0"/>
          <w:numId w:val="1001"/>
        </w:numPr>
      </w:pPr>
      <w:r>
        <w:t xml:space="preserve">servidor da equipe de cumprimento em licença desde 12/07, sem substituição</w:t>
      </w:r>
    </w:p>
    <w:p>
      <w:pPr>
        <w:pStyle w:val="Compact"/>
        <w:numPr>
          <w:ilvl w:val="0"/>
          <w:numId w:val="1001"/>
        </w:numPr>
      </w:pPr>
      <w:r>
        <w:t xml:space="preserve">meta do mês: reduzir cumprimento pendente para menos de 120</w:t>
      </w:r>
    </w:p>
    <w:p>
      <w:pPr>
        <w:pStyle w:val="FirstParagraph"/>
      </w:pPr>
      <w:r>
        <w:rPr>
          <w:b/>
          <w:bCs/>
        </w:rPr>
        <w:t xml:space="preserve">Onde o exercício costuma travar.</w:t>
      </w:r>
      <w:r>
        <w:t xml:space="preserve"> </w:t>
      </w:r>
      <w:r>
        <w:t xml:space="preserve">O número que sobe (212 conclusos para sentença) convive com</w:t>
      </w:r>
      <w:r>
        <w:t xml:space="preserve"> </w:t>
      </w:r>
      <w:r>
        <w:t xml:space="preserve">uma causa que não está na planilha: o servidor em licença desde 12/07. Um relatório que apresenta</w:t>
      </w:r>
      <w:r>
        <w:t xml:space="preserve"> </w:t>
      </w:r>
      <w:r>
        <w:t xml:space="preserve">o número sem a causa oculta convida à conclusão errada — é o gancho direto do Módulo 2. O</w:t>
      </w:r>
      <w:r>
        <w:t xml:space="preserve"> </w:t>
      </w:r>
      <w:r>
        <w:t xml:space="preserve">relatório bom separa o que é</w:t>
      </w:r>
      <w:r>
        <w:t xml:space="preserve"> </w:t>
      </w:r>
      <w:r>
        <w:rPr>
          <w:b/>
          <w:bCs/>
        </w:rPr>
        <w:t xml:space="preserve">dado</w:t>
      </w:r>
      <w:r>
        <w:t xml:space="preserve"> </w:t>
      </w:r>
      <w:r>
        <w:t xml:space="preserve">do que é</w:t>
      </w:r>
      <w:r>
        <w:t xml:space="preserve"> </w:t>
      </w:r>
      <w:r>
        <w:rPr>
          <w:b/>
          <w:bCs/>
        </w:rPr>
        <w:t xml:space="preserve">hipótese explicativa</w:t>
      </w:r>
      <w:r>
        <w:t xml:space="preserve">, e diz qual dado</w:t>
      </w:r>
      <w:r>
        <w:t xml:space="preserve"> </w:t>
      </w:r>
      <w:r>
        <w:t xml:space="preserve">confirmaria cada hipótese.</w:t>
      </w:r>
    </w:p>
    <w:p>
      <w:pPr>
        <w:pStyle w:val="BodyText"/>
      </w:pPr>
      <w:r>
        <w:rPr>
          <w:b/>
          <w:bCs/>
        </w:rPr>
        <w:t xml:space="preserve">O que o</w:t>
      </w:r>
      <w:r>
        <w:rPr>
          <w:b/>
          <w:bCs/>
        </w:rP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depois</w:t>
      </w:r>
      <w:r>
        <w:rPr>
          <w:b/>
          <w:bCs/>
        </w:rPr>
        <w:t xml:space="preserve">”</w:t>
      </w:r>
      <w:r>
        <w:rPr>
          <w:b/>
          <w:bCs/>
        </w:rPr>
        <w:t xml:space="preserve"> </w:t>
      </w:r>
      <w:r>
        <w:rPr>
          <w:b/>
          <w:bCs/>
        </w:rPr>
        <w:t xml:space="preserve">precisa mostrar:</w:t>
      </w:r>
      <w:r>
        <w:t xml:space="preserve"> </w:t>
      </w:r>
      <w:r>
        <w:t xml:space="preserve">tempo de consolidação incluindo a conferência de cada número</w:t>
      </w:r>
      <w:r>
        <w:t xml:space="preserve"> </w:t>
      </w:r>
      <w:r>
        <w:t xml:space="preserve">contra a fonte — nenhum número entra em relatório de gestão sem alguém ter olhado de onde ele veio.</w:t>
      </w:r>
    </w:p>
    <w:p>
      <w:r>
        <w:pict>
          <v:rect style="width:0;height:1.5pt" o:hralign="center" o:hrstd="t" o:hr="t"/>
        </w:pict>
      </w:r>
    </w:p>
    <w:bookmarkEnd w:id="26"/>
    <w:bookmarkStart w:id="27" w:name="Xad95c4fbb24ae663005006f1e2f08895a6cc1bb"/>
    <w:p>
      <w:pPr>
        <w:pStyle w:val="Heading2"/>
      </w:pPr>
      <w:r>
        <w:t xml:space="preserve">Ficha da prática (a mesma para os quatro casos)</w:t>
      </w:r>
    </w:p>
    <w:p>
      <w:pPr>
        <w:pStyle w:val="FirstParagraph"/>
      </w:pPr>
      <w:r>
        <w:t xml:space="preserve">Preencher esta ficha não é obrigatório nem vale nota — ela existe para organizar o seu raciocínio</w:t>
      </w:r>
      <w:r>
        <w:t xml:space="preserve"> </w:t>
      </w:r>
      <w:r>
        <w:t xml:space="preserve">durante a prática e para você reaproveitar o roteiro depois do curso, na rotina real.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Seu preenchimento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Caso-tipo escolhido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Situação atual (como a tarefa é feita hoje, conforme o caso-tipo)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médio por unidade hoje (conforme o caso-tipo)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Como foi feita com apoio de IA (prompts-mestre usados)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Tempo por unidade com o apoio da IA (incluindo a conferência humana)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Riscos de sigilo identificados e como foram tratados (anonimização, dado que não pode sair)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Quem confere cada saída antes de virar ato oficial</w:t>
            </w:r>
          </w:p>
        </w:tc>
        <w:tc>
          <w:tcPr/>
          <w:p>
            <w:pPr>
              <w:pStyle w:val="Compact"/>
            </w:pPr>
          </w:p>
        </w:tc>
      </w:tr>
    </w:tbl>
    <w:p>
      <w:r>
        <w:pict>
          <v:rect style="width:0;height:1.5pt" o:hralign="center" o:hrstd="t" o:hr="t"/>
        </w:pict>
      </w:r>
    </w:p>
    <w:bookmarkEnd w:id="27"/>
    <w:bookmarkStart w:id="28" w:name="nota-de-sigilo"/>
    <w:p>
      <w:pPr>
        <w:pStyle w:val="Heading2"/>
      </w:pPr>
      <w:r>
        <w:t xml:space="preserve">Nota de sigilo</w:t>
      </w:r>
    </w:p>
    <w:p>
      <w:pPr>
        <w:pStyle w:val="FirstParagraph"/>
      </w:pPr>
      <w:r>
        <w:t xml:space="preserve">Os insumos deste anexo são fictícios justamente para que possam ser colados numa ferramenta de IA</w:t>
      </w:r>
      <w:r>
        <w:t xml:space="preserve"> </w:t>
      </w:r>
      <w:r>
        <w:t xml:space="preserve">sem restrição. Ao substituir um caso-tipo por rotina própria, vale a regra do curso: confere-se</w:t>
      </w:r>
      <w:r>
        <w:t xml:space="preserve"> </w:t>
      </w:r>
      <w:r>
        <w:t xml:space="preserve">primeiro o</w:t>
      </w:r>
      <w:r>
        <w:t xml:space="preserve"> </w:t>
      </w:r>
      <w:r>
        <w:rPr>
          <w:b/>
          <w:bCs/>
        </w:rPr>
        <w:t xml:space="preserve">sigilo</w:t>
      </w:r>
      <w:r>
        <w:t xml:space="preserve"> </w:t>
      </w:r>
      <w:r>
        <w:t xml:space="preserve">— se for</w:t>
      </w:r>
      <w:r>
        <w:t xml:space="preserve"> </w:t>
      </w:r>
      <w:r>
        <w:t xml:space="preserve">“</w:t>
      </w:r>
      <w:r>
        <w:t xml:space="preserve">sim</w:t>
      </w:r>
      <w:r>
        <w:t xml:space="preserve">”</w:t>
      </w:r>
      <w:r>
        <w:t xml:space="preserve"> </w:t>
      </w:r>
      <w:r>
        <w:t xml:space="preserve">ou</w:t>
      </w:r>
      <w:r>
        <w:t xml:space="preserve"> </w:t>
      </w:r>
      <w:r>
        <w:t xml:space="preserve">“</w:t>
      </w:r>
      <w:r>
        <w:t xml:space="preserve">desconhecido</w:t>
      </w:r>
      <w:r>
        <w:t xml:space="preserve">”</w:t>
      </w:r>
      <w:r>
        <w:t xml:space="preserve">, não se envia, ponto; anonimizar só faz</w:t>
      </w:r>
      <w:r>
        <w:t xml:space="preserve"> </w:t>
      </w:r>
      <w:r>
        <w:t xml:space="preserve">sentido quando o envio já é permitido (Resolução CNJ 615/2025, arts. 7º e 19).</w:t>
      </w:r>
    </w:p>
    <w:bookmarkEnd w:id="28"/>
    <w:bookmarkEnd w:id="29"/>
    <w:sectPr w:rsidR="00FC693F" w:rsidRPr="0006063C" w:rsidSect="00034616">
      <w:headerReference r:id="rId9" w:type="default"/>
      <w:footerReference r:id="rId10" w:type="default"/>
      <w:pgSz w:h="15840" w:w="12240"/>
      <w:pgMar w:bottom="1417" w:footer="720" w:gutter="0" w:header="720" w:left="1701" w:right="1417" w:top="1701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cs="Calibri"/>
        <w:b w:val="0"/>
        <w:i w:val="0"/>
        <w:color w:val="6B7280"/>
        <w:sz w:val="18"/>
      </w:rPr>
      <w:t xml:space="preserve">INOVAJUS — Justiça Federal no Ceará  ·  </w:t>
    </w:r>
    <w:r>
      <w:rPr>
        <w:rFonts w:ascii="Calibri" w:hAnsi="Calibri" w:cs="Calibri"/>
        <w:b w:val="0"/>
        <w:i w:val="0"/>
        <w:color w:val="6B7280"/>
        <w:sz w:val="18"/>
      </w:rPr>
      <w:fldChar w:fldCharType="begin"/>
      <w:instrText>PAGE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cs="Calibri"/>
        <w:b w:val="0"/>
        <w:i w:val="0"/>
        <w:color w:val="6B7280"/>
        <w:sz w:val="18"/>
      </w:rPr>
      <w:t>INOVAJUS — Eixo III — Tecnologia e Inteligência Artificial — JFCE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keepNext w:val="0"/>
      <w:spacing w:after="120" w:before="0" w:line="276" w:lineRule="auto"/>
      <w:jc w:val="both"/>
    </w:pPr>
    <w:rPr>
      <w:rFonts w:ascii="Calibri" w:cs="Calibri" w:eastAsia="Calibri" w:hAnsi="Calibri"/>
      <w:b w:val="0"/>
      <w:i w:val="0"/>
      <w:color w:val="1F2937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200" w:before="360" w:line="276" w:lineRule="auto"/>
      <w:jc w:val="left"/>
      <w:outlineLvl w:val="0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1B3A5C"/>
      <w:sz w:val="36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160" w:before="280" w:line="276" w:lineRule="auto"/>
      <w:jc w:val="left"/>
      <w:outlineLvl w:val="1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374151"/>
      <w:sz w:val="28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120" w:before="200" w:line="276" w:lineRule="auto"/>
      <w:jc w:val="left"/>
      <w:outlineLvl w:val="2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color w:val="374151"/>
      <w:sz w:val="24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80" w:before="160" w:line="276" w:lineRule="auto"/>
      <w:jc w:val="left"/>
      <w:outlineLvl w:val="3"/>
    </w:pPr>
    <w:rPr>
      <w:rFonts w:ascii="Calibri" w:asciiTheme="majorHAnsi" w:cs="Calibri" w:cstheme="majorBidi" w:eastAsia="Calibri" w:eastAsiaTheme="majorEastAsia" w:hAnsi="Calibri" w:hAnsiTheme="majorHAnsi"/>
      <w:b/>
      <w:bCs/>
      <w:i w:val="0"/>
      <w:iCs/>
      <w:color w:val="1F2937"/>
      <w:sz w:val="22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60" w:before="120" w:line="276" w:lineRule="auto"/>
      <w:jc w:val="left"/>
      <w:outlineLvl w:val="4"/>
    </w:pPr>
    <w:rPr>
      <w:rFonts w:ascii="Calibri" w:asciiTheme="majorHAnsi" w:cs="Calibri" w:cstheme="majorBidi" w:eastAsia="Calibri" w:eastAsiaTheme="majorEastAsia" w:hAnsi="Calibri" w:hAnsiTheme="majorHAnsi"/>
      <w:b w:val="0"/>
      <w:i/>
      <w:color w:val="374151"/>
      <w:sz w:val="22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keepNext/>
      <w:spacing w:after="360" w:before="0" w:line="264" w:lineRule="auto"/>
      <w:contextualSpacing/>
      <w:jc w:val="left"/>
    </w:pPr>
    <w:rPr>
      <w:rFonts w:ascii="Calibri" w:asciiTheme="majorHAnsi" w:cs="Calibri" w:cstheme="majorBidi" w:eastAsia="Calibri" w:eastAsiaTheme="majorEastAsia" w:hAnsi="Calibri" w:hAnsiTheme="majorHAnsi"/>
      <w:b/>
      <w:i w:val="0"/>
      <w:color w:val="1B3A5C"/>
      <w:spacing w:val="5"/>
      <w:kern w:val="28"/>
      <w:sz w:val="56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keepNext w:val="0"/>
      <w:numPr>
        <w:ilvl w:val="1"/>
      </w:numPr>
      <w:spacing w:after="480" w:before="0" w:line="276" w:lineRule="auto"/>
      <w:jc w:val="left"/>
    </w:pPr>
    <w:rPr>
      <w:rFonts w:ascii="Calibri" w:asciiTheme="majorHAnsi" w:cs="Calibri" w:cstheme="majorBidi" w:eastAsia="Calibri" w:eastAsiaTheme="majorEastAsia" w:hAnsi="Calibri" w:hAnsiTheme="majorHAnsi"/>
      <w:b w:val="0"/>
      <w:i/>
      <w:iCs/>
      <w:color w:val="6B7280"/>
      <w:spacing w:val="15"/>
      <w:sz w:val="28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keepNext w:val="0"/>
      <w:spacing w:after="80" w:before="0" w:line="276" w:lineRule="auto"/>
      <w:ind w:left="720"/>
      <w:contextualSpacing/>
      <w:jc w:val="left"/>
    </w:pPr>
    <w:rPr>
      <w:rFonts w:ascii="Calibri" w:cs="Calibri" w:eastAsia="Calibri" w:hAnsi="Calibri"/>
      <w:b w:val="0"/>
      <w:i w:val="0"/>
      <w:color w:val="1F2937"/>
      <w:sz w:val="22"/>
    </w:r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pPr>
      <w:keepNext w:val="0"/>
      <w:spacing w:after="120" w:before="120" w:line="276" w:lineRule="auto"/>
      <w:jc w:val="left"/>
    </w:pPr>
    <w:rPr>
      <w:rFonts w:ascii="Calibri" w:cs="Calibri" w:eastAsia="Calibri" w:hAnsi="Calibri"/>
      <w:b w:val="0"/>
      <w:i/>
      <w:iCs/>
      <w:color w:val="6B7280"/>
      <w:sz w:val="21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2026-08-02T21:17:39Z</dcterms:created>
  <dcterms:modified xsi:type="dcterms:W3CDTF">2026-08-02T21:17:39Z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