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  <w:r>
        <w:drawing>
          <wp:inline xmlns:a="http://schemas.openxmlformats.org/drawingml/2006/main" xmlns:pic="http://schemas.openxmlformats.org/drawingml/2006/picture">
            <wp:extent cx="1224000" cy="847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847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/>
      </w:pPr>
      <w:r>
        <w:rPr>
          <w:rFonts w:ascii="Calibri" w:hAnsi="Calibri"/>
          <w:b/>
          <w:i w:val="0"/>
          <w:color w:val="767676"/>
          <w:sz w:val="18"/>
        </w:rPr>
        <w:t>JUSTIÇA FEDERAL NO CEARÁ</w:t>
      </w:r>
    </w:p>
    <w:p>
      <w:pPr>
        <w:spacing w:before="0" w:after="600"/>
      </w:pPr>
      <w:r>
        <w:rPr>
          <w:rFonts w:ascii="Calibri" w:hAnsi="Calibri"/>
          <w:b w:val="0"/>
          <w:i w:val="0"/>
          <w:color w:val="767676"/>
          <w:sz w:val="18"/>
        </w:rPr>
        <w:t>INOVAJUS — Laboratório de Inovação · Portaria DF n.º 161/2025</w:t>
      </w:r>
    </w:p>
    <w:p>
      <w:pPr>
        <w:spacing w:before="0" w:after="40"/>
      </w:pPr>
      <w:r>
        <w:rPr>
          <w:rFonts w:ascii="Cambria" w:hAnsi="Cambria"/>
          <w:b w:val="0"/>
          <w:i w:val="0"/>
          <w:color w:val="121212"/>
          <w:sz w:val="60"/>
        </w:rPr>
        <w:t>Portfólio de Capacitações</w:t>
      </w:r>
    </w:p>
    <w:p>
      <w:pPr>
        <w:spacing w:before="0" w:after="320"/>
      </w:pPr>
      <w:r>
        <w:rPr>
          <w:rFonts w:ascii="Cambria" w:hAnsi="Cambria"/>
          <w:b w:val="0"/>
          <w:i w:val="0"/>
          <w:color w:val="121212"/>
          <w:sz w:val="60"/>
        </w:rPr>
        <w:t>em Inteligência Artificial</w:t>
      </w:r>
    </w:p>
    <w:p>
      <w:pPr>
        <w:spacing w:before="0" w:after="520"/>
      </w:pPr>
      <w:r>
        <w:rPr>
          <w:rFonts w:ascii="Calibri" w:hAnsi="Calibri"/>
          <w:b w:val="0"/>
          <w:i w:val="0"/>
          <w:color w:val="484848"/>
          <w:sz w:val="22"/>
        </w:rPr>
        <w:t>2026 · Documento submetido a credenciamento</w:t>
      </w:r>
    </w:p>
    <w:p>
      <w:pPr>
        <w:spacing w:before="0" w:after="320"/>
      </w:pPr>
      <w:r>
        <w:rPr>
          <w:rFonts w:ascii="Cambria" w:hAnsi="Cambria"/>
          <w:b w:val="0"/>
          <w:i w:val="0"/>
          <w:color w:val="121212"/>
          <w:sz w:val="30"/>
        </w:rPr>
        <w:t xml:space="preserve">Não formamos usuários de IA. </w:t>
      </w:r>
      <w:r>
        <w:rPr>
          <w:rFonts w:ascii="Cambria" w:hAnsi="Cambria"/>
          <w:b w:val="0"/>
          <w:i/>
          <w:color w:val="121212"/>
          <w:sz w:val="30"/>
        </w:rPr>
        <w:t>Formamos quem responde por ela.</w:t>
      </w:r>
    </w:p>
    <w:p>
      <w:pPr>
        <w:spacing w:before="0" w:after="520"/>
      </w:pPr>
      <w:r>
        <w:rPr>
          <w:rFonts w:ascii="Calibri" w:hAnsi="Calibri"/>
          <w:b w:val="0"/>
          <w:i w:val="0"/>
          <w:color w:val="484848"/>
          <w:sz w:val="22"/>
        </w:rPr>
        <w:t>Cinco capacitações que cobrem a instituição inteira — de quem redige o despacho a quem audita o processo. A gestão de risco não é um módulo no fim do curso: é o eixo que organiza o portfólio.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3288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CAPACITAÇÃO</w:t>
            </w:r>
          </w:p>
        </w:tc>
        <w:tc>
          <w:tcPr>
            <w:tcW w:type="dxa" w:w="2835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CARGA HORÁRIA</w:t>
            </w:r>
          </w:p>
        </w:tc>
        <w:tc>
          <w:tcPr>
            <w:tcW w:type="dxa" w:w="2835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SITUAÇÃO</w:t>
            </w:r>
          </w:p>
        </w:tc>
      </w:tr>
      <w:tr>
        <w:tc>
          <w:tcPr>
            <w:tcW w:type="dxa" w:w="3288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A00F58"/>
                <w:sz w:val="18"/>
              </w:rPr>
              <w:t>Transformação Administrativa com IA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56h no total · 14,5h por cursista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Ministrado, por unidade administrativa</w:t>
            </w:r>
          </w:p>
        </w:tc>
      </w:tr>
      <w:tr>
        <w:tc>
          <w:tcPr>
            <w:tcW w:type="dxa" w:w="3288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074A6"/>
                <w:sz w:val="18"/>
              </w:rPr>
              <w:t>Servidor + IA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24h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Ementa v2.0 aprovada · Turma 1 em agosto/2026</w:t>
            </w:r>
          </w:p>
        </w:tc>
      </w:tr>
      <w:tr>
        <w:tc>
          <w:tcPr>
            <w:tcW w:type="dxa" w:w="3288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074A6"/>
                <w:sz w:val="18"/>
              </w:rPr>
              <w:t>Oficina Prompt Lab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3h por edição · 24h na série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Ementa-mestre v1.0 · abr–nov/2026</w:t>
            </w:r>
          </w:p>
        </w:tc>
      </w:tr>
      <w:tr>
        <w:tc>
          <w:tcPr>
            <w:tcW w:type="dxa" w:w="3288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F6B1E"/>
                <w:sz w:val="18"/>
              </w:rPr>
              <w:t>Servidor + Dados (Eixo II)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16h · 5 módulos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Esboço instrucional aprovado</w:t>
            </w:r>
          </w:p>
        </w:tc>
      </w:tr>
      <w:tr>
        <w:tc>
          <w:tcPr>
            <w:tcW w:type="dxa" w:w="3288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A65B00"/>
                <w:sz w:val="18"/>
              </w:rPr>
              <w:t>Programa de Multiplicadores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8–12h adicionais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Formação prevista para janeiro/2027</w:t>
            </w:r>
          </w:p>
        </w:tc>
      </w:tr>
    </w:tbl>
    <w:p>
      <w:r>
        <w:br w:type="page"/>
      </w:r>
    </w:p>
    <w:p>
      <w:pPr>
        <w:pStyle w:val="Heading1"/>
      </w:pPr>
      <w:r>
        <w:t>1. O portfólio</w:t>
      </w:r>
    </w:p>
    <w:p>
      <w:pPr>
        <w:spacing w:before="0" w:after="160"/>
      </w:pPr>
      <w:r>
        <w:rPr>
          <w:rFonts w:ascii="Cambria" w:hAnsi="Cambria"/>
          <w:b w:val="0"/>
          <w:i w:val="0"/>
          <w:color w:val="121212"/>
          <w:sz w:val="26"/>
        </w:rPr>
        <w:t>Uma instituição não se capacita por camada única.</w:t>
      </w:r>
    </w:p>
    <w:p>
      <w:pPr>
        <w:spacing w:before="0" w:after="280"/>
      </w:pPr>
      <w:r>
        <w:rPr>
          <w:rFonts w:ascii="Calibri" w:hAnsi="Calibri"/>
          <w:b w:val="0"/>
          <w:i w:val="0"/>
          <w:color w:val="484848"/>
          <w:sz w:val="21"/>
        </w:rPr>
        <w:t>O INOVAJUS oferta capacitações de alcance e profundidade distintos, porque as responsabilidades sobre o uso da IA também são distintas. Quem opera, quem orienta e quem audita não precisam do mesmo curso.</w:t>
      </w:r>
    </w:p>
    <w:p>
      <w:pPr>
        <w:pStyle w:val="Heading3"/>
      </w:pPr>
      <w:r>
        <w:t>Transformação Administrativa com IA</w:t>
      </w:r>
    </w:p>
    <w:p>
      <w:pPr>
        <w:spacing w:before="0" w:after="60"/>
      </w:pPr>
      <w:r>
        <w:rPr>
          <w:rFonts w:ascii="Calibri" w:hAnsi="Calibri"/>
          <w:b/>
          <w:i w:val="0"/>
          <w:color w:val="A00F58"/>
          <w:sz w:val="19"/>
        </w:rPr>
        <w:t>56h no total · 14,5h por cursista · presencial · 9 unidades administrativas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484848"/>
          <w:sz w:val="20"/>
        </w:rPr>
        <w:t>Módulo comum de fundamentos, ética e prompt engineering, seguido de módulos desenhados para cada núcleo — inclusive auditoria interna, governança e assessoria jurídica.</w:t>
      </w:r>
    </w:p>
    <w:p>
      <w:pPr>
        <w:spacing w:before="0" w:after="200"/>
      </w:pPr>
      <w:r>
        <w:rPr>
          <w:rFonts w:ascii="Calibri" w:hAnsi="Calibri"/>
          <w:b w:val="0"/>
          <w:i/>
          <w:color w:val="767676"/>
          <w:sz w:val="17"/>
        </w:rPr>
        <w:t>Presencial · ministrado separadamente para cada unidade administrativa</w:t>
      </w:r>
    </w:p>
    <w:p>
      <w:pPr>
        <w:pStyle w:val="Heading3"/>
      </w:pPr>
      <w:r>
        <w:t>Servidor + IA</w:t>
      </w:r>
    </w:p>
    <w:p>
      <w:pPr>
        <w:spacing w:before="0" w:after="60"/>
      </w:pPr>
      <w:r>
        <w:rPr>
          <w:rFonts w:ascii="Calibri" w:hAnsi="Calibri"/>
          <w:b/>
          <w:i w:val="0"/>
          <w:color w:val="0074A6"/>
          <w:sz w:val="19"/>
        </w:rPr>
        <w:t>24h · online ao vivo · área-fim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484848"/>
          <w:sz w:val="20"/>
        </w:rPr>
        <w:t>Curso modular em quatro módulos, do prompt ao pensamento causal, da prática forense à governança. Material didático publicado e projeto integrador com medição antes × depois.</w:t>
      </w:r>
    </w:p>
    <w:p>
      <w:pPr>
        <w:spacing w:before="0" w:after="200"/>
      </w:pPr>
      <w:r>
        <w:rPr>
          <w:rFonts w:ascii="Calibri" w:hAnsi="Calibri"/>
          <w:b w:val="0"/>
          <w:i/>
          <w:color w:val="767676"/>
          <w:sz w:val="17"/>
        </w:rPr>
        <w:t>Ementa v2.0 aprovada · Turma 1 em agosto/2026</w:t>
      </w:r>
    </w:p>
    <w:p>
      <w:pPr>
        <w:pStyle w:val="Heading3"/>
      </w:pPr>
      <w:r>
        <w:t>Oficina Prompt Lab</w:t>
      </w:r>
    </w:p>
    <w:p>
      <w:pPr>
        <w:spacing w:before="0" w:after="60"/>
      </w:pPr>
      <w:r>
        <w:rPr>
          <w:rFonts w:ascii="Calibri" w:hAnsi="Calibri"/>
          <w:b/>
          <w:i w:val="0"/>
          <w:color w:val="0074A6"/>
          <w:sz w:val="19"/>
        </w:rPr>
        <w:t>3h por edição · 24h na série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484848"/>
          <w:sz w:val="20"/>
        </w:rPr>
        <w:t>Oito edições mensais presenciais em laboratório, cada uma autocontida e certificável, alternando turmas de área-fim e área-meio.</w:t>
      </w:r>
    </w:p>
    <w:p>
      <w:pPr>
        <w:spacing w:before="0" w:after="200"/>
      </w:pPr>
      <w:r>
        <w:rPr>
          <w:rFonts w:ascii="Calibri" w:hAnsi="Calibri"/>
          <w:b w:val="0"/>
          <w:i/>
          <w:color w:val="767676"/>
          <w:sz w:val="17"/>
        </w:rPr>
        <w:t>Ementa-mestre v1.0 · abr–nov/2026 · 15–20 vagas por edição</w:t>
      </w:r>
    </w:p>
    <w:p>
      <w:pPr>
        <w:pStyle w:val="Heading3"/>
      </w:pPr>
      <w:r>
        <w:t>Servidor + Dados</w:t>
      </w:r>
    </w:p>
    <w:p>
      <w:pPr>
        <w:spacing w:before="0" w:after="60"/>
      </w:pPr>
      <w:r>
        <w:rPr>
          <w:rFonts w:ascii="Calibri" w:hAnsi="Calibri"/>
          <w:b/>
          <w:i w:val="0"/>
          <w:color w:val="3F6B1E"/>
          <w:sz w:val="19"/>
        </w:rPr>
        <w:t>16h · 5 módulos · Eixo II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484848"/>
          <w:sz w:val="20"/>
        </w:rPr>
        <w:t>Proteção de dados na rotina: LGPD aplicada, a régua do TCU, segurança no dia a dia e exercício de resposta a incidente.</w:t>
      </w:r>
    </w:p>
    <w:p>
      <w:pPr>
        <w:spacing w:before="0" w:after="200"/>
      </w:pPr>
      <w:r>
        <w:rPr>
          <w:rFonts w:ascii="Calibri" w:hAnsi="Calibri"/>
          <w:b w:val="0"/>
          <w:i/>
          <w:color w:val="767676"/>
          <w:sz w:val="17"/>
        </w:rPr>
        <w:t>Esboço instrucional aprovado para construção · deck publicado</w:t>
      </w:r>
    </w:p>
    <w:p>
      <w:pPr>
        <w:pStyle w:val="Heading3"/>
      </w:pPr>
      <w:r>
        <w:t>Programa de Multiplicadores</w:t>
      </w:r>
    </w:p>
    <w:p>
      <w:pPr>
        <w:spacing w:before="0" w:after="60"/>
      </w:pPr>
      <w:r>
        <w:rPr>
          <w:rFonts w:ascii="Calibri" w:hAnsi="Calibri"/>
          <w:b/>
          <w:i w:val="0"/>
          <w:color w:val="A65B00"/>
          <w:sz w:val="19"/>
        </w:rPr>
        <w:t>8–12h de formação adicional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484848"/>
          <w:sz w:val="20"/>
        </w:rPr>
        <w:t>Formação docente para servidores certificados no Servidor + IA, com prática supervisionada e mentoria continuada, para replicar os conteúdos na JFCE e na Rede de Inovação.</w:t>
      </w:r>
    </w:p>
    <w:p>
      <w:pPr>
        <w:spacing w:before="0" w:after="200"/>
      </w:pPr>
      <w:r>
        <w:rPr>
          <w:rFonts w:ascii="Calibri" w:hAnsi="Calibri"/>
          <w:b w:val="0"/>
          <w:i/>
          <w:color w:val="767676"/>
          <w:sz w:val="17"/>
        </w:rPr>
        <w:t>Programa v1.0 · formação prevista para janeiro/2027</w:t>
      </w:r>
    </w:p>
    <w:p>
      <w:r>
        <w:br w:type="page"/>
      </w:r>
    </w:p>
    <w:p>
      <w:pPr>
        <w:pStyle w:val="Heading1"/>
      </w:pPr>
      <w:r>
        <w:t>2. Destaque — Transformação Administrativa com IA</w:t>
      </w:r>
    </w:p>
    <w:p>
      <w:pPr>
        <w:spacing w:before="0" w:after="280"/>
      </w:pPr>
      <w:r>
        <w:rPr>
          <w:rFonts w:ascii="Calibri" w:hAnsi="Calibri"/>
          <w:b w:val="0"/>
          <w:i w:val="0"/>
          <w:color w:val="484848"/>
          <w:sz w:val="22"/>
        </w:rPr>
        <w:t>O curso que chega às unidades que respondem pela conformidade da Casa. Nove núcleos e seções administrativas, cada um com um módulo escrito a partir dos documentos que ele realmente produz.</w:t>
      </w:r>
    </w:p>
    <w:p>
      <w:pPr>
        <w:pStyle w:val="Heading2"/>
      </w:pPr>
      <w:r>
        <w:t>Ficha para credenciamento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2608"/>
            <w:shd w:val="clear" w:fill="F7F7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767676"/>
                <w:sz w:val="16"/>
              </w:rPr>
              <w:t>MODALIDADE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21212"/>
                <w:sz w:val="20"/>
              </w:rPr>
              <w:t>Presencial — Sala de Treinamento, 1º andar, EDIRB</w:t>
            </w:r>
          </w:p>
        </w:tc>
      </w:tr>
      <w:tr>
        <w:tc>
          <w:tcPr>
            <w:tcW w:type="dxa" w:w="2608"/>
            <w:shd w:val="clear" w:fill="F7F7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767676"/>
                <w:sz w:val="16"/>
              </w:rPr>
              <w:t>CARGA TOTAL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21212"/>
                <w:sz w:val="20"/>
              </w:rPr>
              <w:t>56 horas ministradas (9h comuns + 47h específicas) — o curso foi ministrado separadamente a cada unidade administrativa</w:t>
            </w:r>
          </w:p>
        </w:tc>
      </w:tr>
      <w:tr>
        <w:tc>
          <w:tcPr>
            <w:tcW w:type="dxa" w:w="2608"/>
            <w:shd w:val="clear" w:fill="F7F7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767676"/>
                <w:sz w:val="16"/>
              </w:rPr>
              <w:t>CARGA POR CURSISTA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21212"/>
                <w:sz w:val="20"/>
              </w:rPr>
              <w:t>14,5 horas (9h do módulo comum + 5,5h do módulo da unidade)</w:t>
            </w:r>
          </w:p>
        </w:tc>
      </w:tr>
      <w:tr>
        <w:tc>
          <w:tcPr>
            <w:tcW w:type="dxa" w:w="2608"/>
            <w:shd w:val="clear" w:fill="F7F7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767676"/>
                <w:sz w:val="16"/>
              </w:rPr>
              <w:t>VAGAS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21212"/>
                <w:sz w:val="20"/>
              </w:rPr>
              <w:t>30</w:t>
            </w:r>
          </w:p>
        </w:tc>
      </w:tr>
      <w:tr>
        <w:tc>
          <w:tcPr>
            <w:tcW w:type="dxa" w:w="2608"/>
            <w:shd w:val="clear" w:fill="F7F7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767676"/>
                <w:sz w:val="16"/>
              </w:rPr>
              <w:t>APROVAÇÃO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21212"/>
                <w:sz w:val="20"/>
              </w:rPr>
              <w:t>70% da pontuação das atividades e 75% de frequência</w:t>
            </w:r>
          </w:p>
        </w:tc>
      </w:tr>
      <w:tr>
        <w:tc>
          <w:tcPr>
            <w:tcW w:type="dxa" w:w="2608"/>
            <w:shd w:val="clear" w:fill="F7F7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767676"/>
                <w:sz w:val="16"/>
              </w:rPr>
              <w:t>AVALIAÇÃO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21212"/>
                <w:sz w:val="20"/>
              </w:rPr>
              <w:t>Biblioteca de prompts 30% · processo otimizado documentado 30% · casos práticos 20% · documentação de melhorias 10% · participação 10%</w:t>
            </w:r>
          </w:p>
        </w:tc>
      </w:tr>
      <w:tr>
        <w:tc>
          <w:tcPr>
            <w:tcW w:type="dxa" w:w="2608"/>
            <w:shd w:val="clear" w:fill="F7F7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767676"/>
                <w:sz w:val="16"/>
              </w:rPr>
              <w:t>DOCENTES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21212"/>
                <w:sz w:val="20"/>
              </w:rPr>
              <w:t>Victor César Falcão Viana e Vinícius Sousa e Silva</w:t>
            </w:r>
          </w:p>
        </w:tc>
      </w:tr>
      <w:tr>
        <w:tc>
          <w:tcPr>
            <w:tcW w:type="dxa" w:w="2608"/>
            <w:shd w:val="clear" w:fill="F7F7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767676"/>
                <w:sz w:val="16"/>
              </w:rPr>
              <w:t>TIPO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21212"/>
                <w:sz w:val="20"/>
              </w:rPr>
              <w:t>Curso de capacitação técnica e administrativa</w:t>
            </w:r>
          </w:p>
        </w:tc>
      </w:tr>
    </w:tbl>
    <w:p>
      <w:pPr>
        <w:pStyle w:val="Heading2"/>
      </w:pPr>
      <w:r>
        <w:t>Módulo comum — 9 horas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835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ENCONTRO</w:t>
            </w:r>
          </w:p>
        </w:tc>
        <w:tc>
          <w:tcPr>
            <w:tcW w:type="dxa" w:w="5102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CONTEÚDO</w:t>
            </w:r>
          </w:p>
        </w:tc>
        <w:tc>
          <w:tcPr>
            <w:tcW w:type="dxa" w:w="1020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CH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21212"/>
                <w:sz w:val="18"/>
              </w:rPr>
              <w:t>Dia 1 — Fundamentos atualizados da IA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Panorama do que a IA é e não é; IA multimodal em ação sobre documentos administrativos; casos práticos na administração pública brasileira.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3h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21212"/>
                <w:sz w:val="18"/>
              </w:rPr>
              <w:t>Dia 2 — Ética, segurança e avaliação crítica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Princípios éticos e legais; o que pode e o que não pode ser compartilhado com ferramentas de IA; vieses; identificação de alucinações e técnicas de verificação.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3h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21212"/>
                <w:sz w:val="18"/>
              </w:rPr>
              <w:t>Dia 3 — Prompt engineering avançado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Estrutura do prompt eficaz; prompting estruturado, cadeia de raciocínio e exemplos; construção e versionamento da biblioteca pessoal de prompts.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3h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21212"/>
                <w:sz w:val="18"/>
              </w:rPr>
              <w:t>Módulos específicos por unidade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Oito unidades com 5,5h cada (dois encontros: aplicações da área + projeto prático documentado) e o NIST com 3h em encontro único.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47h</w:t>
            </w:r>
          </w:p>
        </w:tc>
      </w:tr>
    </w:tbl>
    <w:p>
      <w:pPr>
        <w:pStyle w:val="Heading2"/>
      </w:pPr>
      <w:r>
        <w:t>As nove unidades atendidas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484848"/>
          <w:sz w:val="20"/>
        </w:rPr>
        <w:t>Três delas exercem função de controle sobre o uso da IA na Casa e estão assinaladas com a linha de defesa correspondente (ver seção 5).</w:t>
      </w:r>
    </w:p>
    <w:p>
      <w:pPr>
        <w:pStyle w:val="Heading3"/>
      </w:pPr>
      <w:r>
        <w:t>Núcleo de Auditoria Interna (NUAUD) e Seção de Apoio à Secretaria Administrativa</w:t>
      </w:r>
    </w:p>
    <w:p>
      <w:pPr>
        <w:spacing w:before="0" w:after="80"/>
      </w:pPr>
      <w:r>
        <w:rPr>
          <w:rFonts w:ascii="Calibri" w:hAnsi="Calibri"/>
          <w:b/>
          <w:i w:val="0"/>
          <w:color w:val="A00F58"/>
          <w:sz w:val="18"/>
        </w:rPr>
        <w:t>5,5h · 3ª linha de defesa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Prompts para análise de conformidade com técnicas avançadas e detecção de anomalias em documentos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Checklists dinâmicos baseados em critérios específicos; revisão de documentos de auditoria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Análise comparativa de processos, verificação de conformidade com normas, identificação de padrões e inconsistências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Laboratório: análise de conformidade documental com IA multimodal e estruturação de evidências (casos anonimizados)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Dia 2: relatórios de auditoria, documentação sistemática de achados e evidências, síntese de recomendações baseadas em precedentes</w:t>
      </w:r>
    </w:p>
    <w:p>
      <w:pPr>
        <w:pStyle w:val="Heading3"/>
      </w:pPr>
      <w:r>
        <w:t>Núcleo de Estratégia, Governança e Integridade (NEGI)</w:t>
      </w:r>
    </w:p>
    <w:p>
      <w:pPr>
        <w:spacing w:before="0" w:after="80"/>
      </w:pPr>
      <w:r>
        <w:rPr>
          <w:rFonts w:ascii="Calibri" w:hAnsi="Calibri"/>
          <w:b/>
          <w:i w:val="0"/>
          <w:color w:val="A00F58"/>
          <w:sz w:val="18"/>
        </w:rPr>
        <w:t>5,5h · 2ª linha de defesa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Análise de dados estratégicos estruturados e não estruturados; relatórios executivos dinâmicos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Gestão de indicadores: correlação entre métricas institucionais, projeções e cenários assistidos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Laboratório: painéis dinâmicos de indicadores e projeções sobre dados institucionais anonimizados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Dia 2: apresentações executivas, relatórios visuais, análise de cenários e modelagem de impactos</w:t>
      </w:r>
    </w:p>
    <w:p>
      <w:pPr>
        <w:pStyle w:val="Heading3"/>
      </w:pPr>
      <w:r>
        <w:t>Assessoria Especial da Direção do Foro e Seção de Assessoria Jurídica</w:t>
      </w:r>
    </w:p>
    <w:p>
      <w:pPr>
        <w:spacing w:before="0" w:after="80"/>
      </w:pPr>
      <w:r>
        <w:rPr>
          <w:rFonts w:ascii="Calibri" w:hAnsi="Calibri"/>
          <w:b/>
          <w:i w:val="0"/>
          <w:color w:val="A00F58"/>
          <w:sz w:val="18"/>
        </w:rPr>
        <w:t>5,5h · 2ª linha de defesa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Processamento de petições e documentos jurídicos com recursos multimodais; extração de informações de documentos digitalizados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Elaboração assistida de minutas, despachos e pareceres; revisão e refinamento de textos jurídicos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Pesquisa jurídica: análise de legislação e jurisprudência, identificação de precedentes, verificação de conformidade com normas vigentes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Dia 2: relatórios jurídicos customizados, organização de casos e precedentes, automação de rotinas recorrentes</w:t>
      </w:r>
    </w:p>
    <w:p>
      <w:pPr>
        <w:pStyle w:val="Heading3"/>
      </w:pPr>
      <w:r>
        <w:t>Setor Técnico de Governança de Aquisições e Contratações e Apoio aos Núcleos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767676"/>
          <w:sz w:val="18"/>
        </w:rPr>
        <w:t>5,5h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Análise de contratos e termos com visão computacional; verificação de conformidade em editais e contratos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Elaboração assistida de termos de referência; extração de dados de propostas e documentação técnica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Gestão de contratos: aditivos e apostilamentos, consolidação de informações dispersas, padrões e tendências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Dia 2: relatórios de aquisições, painéis a partir de dados contratuais e automação de verificações de conformidade</w:t>
      </w:r>
    </w:p>
    <w:p>
      <w:pPr>
        <w:pStyle w:val="Heading3"/>
      </w:pPr>
      <w:r>
        <w:t>Núcleo de Gestão Orçamentária, Financeira, Contábil e Patrimonial (NUFIP)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767676"/>
          <w:sz w:val="18"/>
        </w:rPr>
        <w:t>5,5h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Extração de dados de notas fiscais e documentos financeiros; verificação automática de conformidade documental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Gestão patrimonial: relatórios patrimoniais, inventários, consolidação de informações dispersas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Laboratório: extração de dados de documentos financeiros complexos e análise comparativa de contratos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Dia 2: relatórios financeiros customizados, painéis a partir de dados não estruturados, automação de verificações</w:t>
      </w:r>
    </w:p>
    <w:p>
      <w:pPr>
        <w:pStyle w:val="Heading3"/>
      </w:pPr>
      <w:r>
        <w:t>Núcleo de Gestão de Pessoas (NGP)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767676"/>
          <w:sz w:val="18"/>
        </w:rPr>
        <w:t>5,5h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Análise e produção de documentos de RH; prompts para elaboração de portarias e normativos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Análise normativa: legislação e normativas de pessoal, pareceres técnicos, verificação de conformidade de processos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Laboratório: workflows para processamento de solicitações comuns com documentos funcionais típicos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Dia 2: relatórios gerenciais customizados, análise de dados funcionais e automação de relatórios periódicos</w:t>
      </w:r>
    </w:p>
    <w:p>
      <w:pPr>
        <w:pStyle w:val="Heading3"/>
      </w:pPr>
      <w:r>
        <w:t>Setor Técnico de Apoio à Diretoria e Núcleo Judiciário (NUJUD)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767676"/>
          <w:sz w:val="18"/>
        </w:rPr>
        <w:t>5,5h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Análise de documentos administrativos e judiciais com recursos multimodais; minutas de apoio à Diretoria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Organização de dados processuais administrativos; classificação automática de processos e demandas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Identificação de precedentes e análise comparativa de procedimentos administrativos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Dia 2: relatórios gerenciais dinâmicos, documentação estruturada de procedimentos e automação de fluxos</w:t>
      </w:r>
    </w:p>
    <w:p>
      <w:pPr>
        <w:pStyle w:val="Heading3"/>
      </w:pPr>
      <w:r>
        <w:t>Seção de Comunicação Social (SECOM)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767676"/>
          <w:sz w:val="18"/>
        </w:rPr>
        <w:t>5,5h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Produção multimodal: textos para diferentes públicos, elementos visuais, adaptação de conteúdo por canal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Análise de comunicações institucionais com feedback estruturado; pautas e planejamento editorial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Laboratório: materiais de comunicação com IA alinhados à identidade institucional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Dia 2: releases e comunicados estratégicos, pacotes de comunicação por canal, automação de rotinas</w:t>
      </w:r>
    </w:p>
    <w:p>
      <w:pPr>
        <w:pStyle w:val="Heading3"/>
      </w:pPr>
      <w:r>
        <w:t>Núcleo de Inteligência, Segurança e Transporte (NIST)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767676"/>
          <w:sz w:val="18"/>
        </w:rPr>
        <w:t>3h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Processamento de documentos de segurança com recursos multimodais; relatórios de inteligência estruturados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Análise de padrões e tendências em dados de segurança; identificação de riscos e vulnerabilidades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Gestão de transporte: otimização de rotas e recursos, dados de frota e manutenção, relatórios automatizados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Projeto prático integrado com prompts específicos da área</w:t>
      </w:r>
    </w:p>
    <w:p>
      <w:r>
        <w:br w:type="page"/>
      </w:r>
    </w:p>
    <w:p>
      <w:pPr>
        <w:pStyle w:val="Heading1"/>
      </w:pPr>
      <w:r>
        <w:t>3. Destaque — Servidor + IA</w:t>
      </w:r>
    </w:p>
    <w:p>
      <w:pPr>
        <w:spacing w:before="0" w:after="280"/>
      </w:pPr>
      <w:r>
        <w:rPr>
          <w:rFonts w:ascii="Calibri" w:hAnsi="Calibri"/>
          <w:b w:val="0"/>
          <w:i w:val="0"/>
          <w:color w:val="484848"/>
          <w:sz w:val="22"/>
        </w:rPr>
        <w:t>O curso da área-fim: quem redige o despacho, tria o acervo e responde ao jurisdicionado. Vinte e quatro horas construídas em torno de uma exigência — a decisão continua sendo humana, e é preciso saber por quê.</w:t>
      </w:r>
    </w:p>
    <w:p>
      <w:pPr>
        <w:pStyle w:val="Heading2"/>
      </w:pPr>
      <w:r>
        <w:t>Ficha para credenciamento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2608"/>
            <w:shd w:val="clear" w:fill="F7F7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767676"/>
                <w:sz w:val="16"/>
              </w:rPr>
              <w:t>MODALIDADE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21212"/>
                <w:sz w:val="20"/>
              </w:rPr>
              <w:t>Online ao vivo, síncrona, por videoconferência, com demonstrações em tempo real</w:t>
            </w:r>
          </w:p>
        </w:tc>
      </w:tr>
      <w:tr>
        <w:tc>
          <w:tcPr>
            <w:tcW w:type="dxa" w:w="2608"/>
            <w:shd w:val="clear" w:fill="F7F7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767676"/>
                <w:sz w:val="16"/>
              </w:rPr>
              <w:t>CARGA HORÁRIA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21212"/>
                <w:sz w:val="20"/>
              </w:rPr>
              <w:t>24 horas · 4 módulos</w:t>
            </w:r>
          </w:p>
        </w:tc>
      </w:tr>
      <w:tr>
        <w:tc>
          <w:tcPr>
            <w:tcW w:type="dxa" w:w="2608"/>
            <w:shd w:val="clear" w:fill="F7F7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767676"/>
                <w:sz w:val="16"/>
              </w:rPr>
              <w:t>PÚBLICO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21212"/>
                <w:sz w:val="20"/>
              </w:rPr>
              <w:t>Servidores de Varas e Turmas, assessores de gabinete e magistrados. Turma 1: área-fim</w:t>
            </w:r>
          </w:p>
        </w:tc>
      </w:tr>
      <w:tr>
        <w:tc>
          <w:tcPr>
            <w:tcW w:type="dxa" w:w="2608"/>
            <w:shd w:val="clear" w:fill="F7F7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767676"/>
                <w:sz w:val="16"/>
              </w:rPr>
              <w:t>PRÉ-REQUISITO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21212"/>
                <w:sz w:val="20"/>
              </w:rPr>
              <w:t>Não há pré-requisito formal. Recomenda-se a Oficina Prompt Lab</w:t>
            </w:r>
          </w:p>
        </w:tc>
      </w:tr>
      <w:tr>
        <w:tc>
          <w:tcPr>
            <w:tcW w:type="dxa" w:w="2608"/>
            <w:shd w:val="clear" w:fill="F7F7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767676"/>
                <w:sz w:val="16"/>
              </w:rPr>
              <w:t>VAGAS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21212"/>
                <w:sz w:val="20"/>
              </w:rPr>
              <w:t>25 a 30 por turma · 2 turmas em 2026</w:t>
            </w:r>
          </w:p>
        </w:tc>
      </w:tr>
      <w:tr>
        <w:tc>
          <w:tcPr>
            <w:tcW w:type="dxa" w:w="2608"/>
            <w:shd w:val="clear" w:fill="F7F7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767676"/>
                <w:sz w:val="16"/>
              </w:rPr>
              <w:t>FREQUÊNCIA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21212"/>
                <w:sz w:val="20"/>
              </w:rPr>
              <w:t>Mínimo de 80% da carga horária</w:t>
            </w:r>
          </w:p>
        </w:tc>
      </w:tr>
      <w:tr>
        <w:tc>
          <w:tcPr>
            <w:tcW w:type="dxa" w:w="2608"/>
            <w:shd w:val="clear" w:fill="F7F7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767676"/>
                <w:sz w:val="16"/>
              </w:rPr>
              <w:t>AVALIAÇÃO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21212"/>
                <w:sz w:val="20"/>
              </w:rPr>
              <w:t>Por aplicação, não por prova: uma entrega validada por módulo e projeto integrador com registro de baseline antes × depois</w:t>
            </w:r>
          </w:p>
        </w:tc>
      </w:tr>
      <w:tr>
        <w:tc>
          <w:tcPr>
            <w:tcW w:type="dxa" w:w="2608"/>
            <w:shd w:val="clear" w:fill="F7F7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767676"/>
                <w:sz w:val="16"/>
              </w:rPr>
              <w:t>ACOMPANHAMENTO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21212"/>
                <w:sz w:val="20"/>
              </w:rPr>
              <w:t>Verificação de aplicação real em D+30, D+60 e D+90</w:t>
            </w:r>
          </w:p>
        </w:tc>
      </w:tr>
      <w:tr>
        <w:tc>
          <w:tcPr>
            <w:tcW w:type="dxa" w:w="2608"/>
            <w:shd w:val="clear" w:fill="F7F7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767676"/>
                <w:sz w:val="16"/>
              </w:rPr>
              <w:t>CERTIFICAÇÃO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21212"/>
                <w:sz w:val="20"/>
              </w:rPr>
              <w:t>24h pela Direção do Foro da JFCE, com carga por módulo e identificador de turma</w:t>
            </w:r>
          </w:p>
        </w:tc>
      </w:tr>
    </w:tbl>
    <w:p>
      <w:pPr>
        <w:pStyle w:val="Heading2"/>
      </w:pPr>
      <w:r>
        <w:t>Quatro módulos, uma progressão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484848"/>
          <w:sz w:val="20"/>
        </w:rPr>
        <w:t>A sequência não é temática, é de responsabilidade crescente: primeiro operar a ferramenta, depois desconfiar dela, depois aplicá-la ao processo, e só então responder institucionalmente pelo que ela produziu.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835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MÓDULO</w:t>
            </w:r>
          </w:p>
        </w:tc>
        <w:tc>
          <w:tcPr>
            <w:tcW w:type="dxa" w:w="5102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EMENTA</w:t>
            </w:r>
          </w:p>
        </w:tc>
        <w:tc>
          <w:tcPr>
            <w:tcW w:type="dxa" w:w="1020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CH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21212"/>
                <w:sz w:val="18"/>
              </w:rPr>
              <w:t>M1 — Fundamentos de IA e prompt engineering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Como a IA funciona e por que alucina; anatomia do prompt em seis etapas — contexto, tom, tarefa, exemplos, qualidade, formato; Banco de Prompts com 14 prompts-mestre.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6h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21212"/>
                <w:sz w:val="18"/>
              </w:rPr>
              <w:t>M2 — Pensamento crítico e causal com IA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Correlação não é causa; confundidor, contrafactual e baseline; detecção de alucinações, validação em fonte e checklist de supervisão humana.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6h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21212"/>
                <w:sz w:val="18"/>
              </w:rPr>
              <w:t>M3 — Prática forense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Triagem e classificação assistidas, minutas e despachos com supervisão, jurisprudência com salvaguardas, trabalho em lote com anonimização e o projeto integrador.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10h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21212"/>
                <w:sz w:val="18"/>
              </w:rPr>
              <w:t>M4 — Ética, LGPD e governança de IA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Resolução CNJ n.º 615/2025 e supervisão humana; bloqueio absoluto de dado sob segredo de justiça em ferramenta externa; anonimização; vieses; horizonte dos sistemas agênticos.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2h</w:t>
            </w:r>
          </w:p>
        </w:tc>
      </w:tr>
    </w:tbl>
    <w:p>
      <w:pPr>
        <w:pStyle w:val="Heading2"/>
      </w:pPr>
      <w:r>
        <w:t>Metas pactuadas para 2026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2608"/>
            <w:shd w:val="clear" w:fill="F7F7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767676"/>
                <w:sz w:val="16"/>
              </w:rPr>
              <w:t>CERTIFICADOS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21212"/>
                <w:sz w:val="20"/>
              </w:rPr>
              <w:t>50 a 60 servidores</w:t>
            </w:r>
          </w:p>
        </w:tc>
      </w:tr>
      <w:tr>
        <w:tc>
          <w:tcPr>
            <w:tcW w:type="dxa" w:w="2608"/>
            <w:shd w:val="clear" w:fill="F7F7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767676"/>
                <w:sz w:val="16"/>
              </w:rPr>
              <w:t>AVALIAÇÃO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21212"/>
                <w:sz w:val="20"/>
              </w:rPr>
              <w:t>Nota média ≥ 8,5 (0–10)</w:t>
            </w:r>
          </w:p>
        </w:tc>
      </w:tr>
      <w:tr>
        <w:tc>
          <w:tcPr>
            <w:tcW w:type="dxa" w:w="2608"/>
            <w:shd w:val="clear" w:fill="F7F7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767676"/>
                <w:sz w:val="16"/>
              </w:rPr>
              <w:t>PROJETO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21212"/>
                <w:sz w:val="20"/>
              </w:rPr>
              <w:t>≥ 90% dos certificados concluem o projeto integrador</w:t>
            </w:r>
          </w:p>
        </w:tc>
      </w:tr>
      <w:tr>
        <w:tc>
          <w:tcPr>
            <w:tcW w:type="dxa" w:w="2608"/>
            <w:shd w:val="clear" w:fill="F7F7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767676"/>
                <w:sz w:val="16"/>
              </w:rPr>
              <w:t>APLICAÇÃO D+90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21212"/>
                <w:sz w:val="20"/>
              </w:rPr>
              <w:t>≥ 70% usam IA ao menos semanalmente</w:t>
            </w:r>
          </w:p>
        </w:tc>
      </w:tr>
    </w:tbl>
    <w:p>
      <w:pPr>
        <w:spacing w:before="160" w:after="120"/>
      </w:pPr>
      <w:r>
        <w:rPr>
          <w:rFonts w:ascii="Calibri" w:hAnsi="Calibri"/>
          <w:b w:val="0"/>
          <w:i w:val="0"/>
          <w:color w:val="484848"/>
          <w:sz w:val="19"/>
        </w:rPr>
        <w:t>Material didático publicado e de acesso aberto: deck do curso, comparativo de ferramentas e Banco de Prompts em inovajus.github.io.</w:t>
      </w:r>
    </w:p>
    <w:p>
      <w:r>
        <w:br w:type="page"/>
      </w:r>
    </w:p>
    <w:p>
      <w:pPr>
        <w:pStyle w:val="Heading1"/>
      </w:pPr>
      <w:r>
        <w:t>4. Gestão de risco no uso da IA</w:t>
      </w:r>
    </w:p>
    <w:p>
      <w:pPr>
        <w:spacing w:before="0" w:after="160"/>
      </w:pPr>
      <w:r>
        <w:rPr>
          <w:rFonts w:ascii="Cambria" w:hAnsi="Cambria"/>
          <w:b w:val="0"/>
          <w:i w:val="0"/>
          <w:color w:val="121212"/>
          <w:sz w:val="26"/>
        </w:rPr>
        <w:t>O risco da IA não está no que ela erra. Está no que ninguém confere.</w:t>
      </w:r>
    </w:p>
    <w:p>
      <w:pPr>
        <w:spacing w:before="0" w:after="280"/>
      </w:pPr>
      <w:r>
        <w:rPr>
          <w:rFonts w:ascii="Calibri" w:hAnsi="Calibri"/>
          <w:b w:val="0"/>
          <w:i w:val="0"/>
          <w:color w:val="484848"/>
          <w:sz w:val="21"/>
        </w:rPr>
        <w:t>Um output falso que é lido criticamente é um incidente sem consequência. O mesmo output incorporado a um ato administrativo é um dano institucional. A diferença entre os dois é uma pessoa treinada — e é isso que a capacitação entrega.</w:t>
      </w:r>
    </w:p>
    <w:p>
      <w:pPr>
        <w:pStyle w:val="Heading2"/>
      </w:pPr>
      <w:r>
        <w:t>Classificação de risco por consequência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484848"/>
          <w:sz w:val="20"/>
        </w:rPr>
        <w:t>A minuta de Diretrizes Internas de IA da JFCE classifica o uso não pela tecnologia empregada, mas pelo efeito possível da saída sobre direito de pessoa. Cada nível impõe um regime de supervisão distinto.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587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NÍVEL</w:t>
            </w:r>
          </w:p>
        </w:tc>
        <w:tc>
          <w:tcPr>
            <w:tcW w:type="dxa" w:w="4649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DEFINIÇÃO NA NORMA</w:t>
            </w:r>
          </w:p>
        </w:tc>
        <w:tc>
          <w:tcPr>
            <w:tcW w:type="dxa" w:w="2721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SUPERVISÃO EXIGIDA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F6B1E"/>
                <w:sz w:val="18"/>
              </w:rPr>
              <w:t>Risco baixo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A saída produz insumo informativo cuja eventual incorreção é detectável em revisão humana trivial e não tem efeito relevante sobre direito de pessoa ou sobre ato administrativo ou processual.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Leitura crítica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A65B00"/>
                <w:sz w:val="18"/>
              </w:rPr>
              <w:t>Risco médio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A saída pode integrar ato administrativo ou processual após revisão crítica humana, com efeito moderado sobre direito de pessoa.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Revisão crítica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A00F58"/>
                <w:sz w:val="18"/>
              </w:rPr>
              <w:t>Risco alto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A saída, ainda que indiretamente, pode afetar direito de pessoa ou interferir em decisão substantiva.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Revisão dupla, por duas pessoas competentes em momentos sucessivos</w:t>
            </w:r>
          </w:p>
        </w:tc>
      </w:tr>
    </w:tbl>
    <w:p>
      <w:pPr>
        <w:spacing w:before="80" w:after="120"/>
      </w:pPr>
      <w:r>
        <w:rPr>
          <w:rFonts w:ascii="Calibri" w:hAnsi="Calibri"/>
          <w:b w:val="0"/>
          <w:i/>
          <w:color w:val="767676"/>
          <w:sz w:val="17"/>
        </w:rPr>
        <w:t>Minuta de Diretrizes Internas de IA da JFCE, arts. 5º a 7º e 13.</w:t>
      </w:r>
    </w:p>
    <w:p>
      <w:pPr>
        <w:pStyle w:val="Heading2"/>
      </w:pPr>
      <w:r>
        <w:t>A régua do sigilo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484848"/>
          <w:sz w:val="20"/>
        </w:rPr>
        <w:t>A Política de Uso de IA Generativa organiza o dado em quatro níveis. Ela é o controle mais ensinável do portfólio — e o mais violável, porque depende de uma decisão tomada em segundos, diante da tela.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041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NÍVEL</w:t>
            </w:r>
          </w:p>
        </w:tc>
        <w:tc>
          <w:tcPr>
            <w:tcW w:type="dxa" w:w="4195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O QUE É</w:t>
            </w:r>
          </w:p>
        </w:tc>
        <w:tc>
          <w:tcPr>
            <w:tcW w:type="dxa" w:w="2721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USO EM IA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F6B1E"/>
                <w:sz w:val="18"/>
              </w:rPr>
              <w:t>01 · Dados públicos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Normas, jurisprudência publicada, textos de acesso irrestrito.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Liberado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A65B00"/>
                <w:sz w:val="18"/>
              </w:rPr>
              <w:t>02 · Dados internos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Informação institucional não pública, sem dado pessoal.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Somente ferramenta interna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A65B00"/>
                <w:sz w:val="18"/>
              </w:rPr>
              <w:t>03 · Dados pessoais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Qualquer informação que identifique pessoa natural.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Vedado em ferramenta externa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A00F58"/>
                <w:sz w:val="18"/>
              </w:rPr>
              <w:t>04 · Sensíveis e sigilosos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Dado sensível, processo sob sigilo ou segredo de justiça.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Bloqueio — vedado a sistema externo ainda que após anonimização</w:t>
            </w:r>
          </w:p>
        </w:tc>
      </w:tr>
    </w:tbl>
    <w:p>
      <w:pPr>
        <w:spacing w:before="80" w:after="120"/>
      </w:pPr>
      <w:r>
        <w:rPr>
          <w:rFonts w:ascii="Calibri" w:hAnsi="Calibri"/>
          <w:b w:val="0"/>
          <w:i/>
          <w:color w:val="767676"/>
          <w:sz w:val="17"/>
        </w:rPr>
        <w:t>Política de Uso de IA Generativa da JFCE, itens 9 e 11 · Minuta de Diretrizes, art. 11.</w:t>
      </w:r>
    </w:p>
    <w:p>
      <w:pPr>
        <w:pStyle w:val="Heading2"/>
      </w:pPr>
      <w:r>
        <w:t>O que o portfólio ensina a fazer com cada risco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928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RISCO</w:t>
            </w:r>
          </w:p>
        </w:tc>
        <w:tc>
          <w:tcPr>
            <w:tcW w:type="dxa" w:w="4309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COMO ESTÁ FORMULADO NA NORMA DA JFCE</w:t>
            </w:r>
          </w:p>
        </w:tc>
        <w:tc>
          <w:tcPr>
            <w:tcW w:type="dxa" w:w="2721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ONDE É TRATADO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21212"/>
                <w:sz w:val="18"/>
              </w:rPr>
              <w:t>Alucinação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Output factualmente incorreto, que aparenta verossimilhança mas não corresponde a fonte verificável.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Servidor + IA, M2 · Transformação Adm., Dia 2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21212"/>
                <w:sz w:val="18"/>
              </w:rPr>
              <w:t>Vazamento de dado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Incidente de segurança envolvendo sistema de IA, com comunicação obrigatória à DTIC em até 2 horas.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Servidor + IA, M4 · Servidor + Dados, M5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21212"/>
                <w:sz w:val="18"/>
              </w:rPr>
              <w:t>Viés e discriminação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O uso de IA não pode aprofundar vieses estruturais ou produzir tratamento discriminatório a pessoas ou grupos.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Servidor + IA, M4 · Transformação Adm., Dia 2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21212"/>
                <w:sz w:val="18"/>
              </w:rPr>
              <w:t>Injeção de instrução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Instruções ocultas em documento, dirigidas ao sistema de IA, para fazê-lo agir contra a finalidade institucional.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Banco de Prompts (salvaguardas) · roteiro de ataque simulado em aula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21212"/>
                <w:sz w:val="18"/>
              </w:rPr>
              <w:t>Dependência de fornecedor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Continuidade institucional: evitar dependências que comprometam a sustentabilidade do serviço público.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Comparativo de ferramentas · catálogo da DTIC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21212"/>
                <w:sz w:val="18"/>
              </w:rPr>
              <w:t>Uso paralelo à norma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Servidores assinam o termo e fazem diferente no dia a dia, quando a ferramenta institucional não entrega.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Risco endereçado pelo desenho do portfólio, não por norma</w:t>
            </w:r>
          </w:p>
        </w:tc>
      </w:tr>
    </w:tbl>
    <w:p>
      <w:r>
        <w:br w:type="page"/>
      </w:r>
    </w:p>
    <w:p>
      <w:pPr>
        <w:pStyle w:val="Heading1"/>
      </w:pPr>
      <w:r>
        <w:t>5. Gestão de risco como controle interno</w:t>
      </w:r>
    </w:p>
    <w:p>
      <w:pPr>
        <w:spacing w:before="0" w:after="160"/>
      </w:pPr>
      <w:r>
        <w:rPr>
          <w:rFonts w:ascii="Cambria" w:hAnsi="Cambria"/>
          <w:b w:val="0"/>
          <w:i w:val="0"/>
          <w:color w:val="121212"/>
          <w:sz w:val="26"/>
        </w:rPr>
        <w:t>Cada linha de defesa precisa de um curso diferente.</w:t>
      </w:r>
    </w:p>
    <w:p>
      <w:pPr>
        <w:spacing w:before="0" w:after="280"/>
      </w:pPr>
      <w:r>
        <w:rPr>
          <w:rFonts w:ascii="Calibri" w:hAnsi="Calibri"/>
          <w:b w:val="0"/>
          <w:i w:val="0"/>
          <w:color w:val="484848"/>
          <w:sz w:val="21"/>
        </w:rPr>
        <w:t>A JFCE já opera o modelo de três linhas de defesa em contratações, com base no art. 169 da Lei n.º 14.133/2021. O portfólio do INOVAJUS foi desenhado para alimentar as três — e é isso que distingue os dois cursos em destaque.</w:t>
      </w:r>
    </w:p>
    <w:p>
      <w:pPr>
        <w:pStyle w:val="Heading2"/>
      </w:pPr>
      <w:r>
        <w:t>Primeira linha — quem executa</w:t>
      </w:r>
    </w:p>
    <w:p>
      <w:pPr>
        <w:spacing w:before="0" w:after="80"/>
      </w:pPr>
      <w:r>
        <w:rPr>
          <w:rFonts w:ascii="Cambria" w:hAnsi="Cambria"/>
          <w:b w:val="0"/>
          <w:i w:val="0"/>
          <w:color w:val="0074A6"/>
          <w:sz w:val="23"/>
        </w:rPr>
        <w:t>Quem usa a IA no ato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484848"/>
          <w:sz w:val="20"/>
        </w:rPr>
        <w:t>Servidores de Varas e Turmas, assessores de gabinete, magistrados e servidores dos núcleos administrativos. São eles que decidem, diante da tela, o que colar na ferramenta e o que conferir antes de assinar.</w:t>
      </w:r>
    </w:p>
    <w:p>
      <w:pPr>
        <w:spacing w:before="0" w:after="60"/>
      </w:pPr>
      <w:r>
        <w:rPr>
          <w:rFonts w:ascii="Calibri" w:hAnsi="Calibri"/>
          <w:b/>
          <w:i w:val="0"/>
          <w:color w:val="767676"/>
          <w:sz w:val="17"/>
        </w:rPr>
        <w:t>Controles nesta linha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Régua de sigilo em 4 níveis (Política de Uso de IA Generativa, itens 9 e 11)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Nota de transparência no documento (Política, item 18)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Termo de responsabilidade assinado (Termo — IA e Low-Code, v7)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Supervisão humana graduada por risco (Minuta de Diretrizes, art. 13)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Comunicação de incidente em 2h (Política, item 12)</w:t>
      </w:r>
    </w:p>
    <w:p>
      <w:pPr>
        <w:spacing w:before="120" w:after="60"/>
      </w:pPr>
      <w:r>
        <w:rPr>
          <w:rFonts w:ascii="Calibri" w:hAnsi="Calibri"/>
          <w:b/>
          <w:i w:val="0"/>
          <w:color w:val="767676"/>
          <w:sz w:val="17"/>
        </w:rPr>
        <w:t>Formada por</w:t>
      </w:r>
    </w:p>
    <w:p>
      <w:pPr>
        <w:spacing w:before="0" w:after="40"/>
      </w:pPr>
      <w:r>
        <w:rPr>
          <w:rFonts w:ascii="Calibri" w:hAnsi="Calibri"/>
          <w:b/>
          <w:i w:val="0"/>
          <w:color w:val="121212"/>
          <w:sz w:val="20"/>
        </w:rPr>
        <w:t xml:space="preserve">Servidor + IA — </w:t>
      </w:r>
      <w:r>
        <w:rPr>
          <w:rFonts w:ascii="Calibri" w:hAnsi="Calibri"/>
          <w:b w:val="0"/>
          <w:i w:val="0"/>
          <w:color w:val="0074A6"/>
          <w:sz w:val="18"/>
        </w:rPr>
        <w:t>24h · online ao vivo · 50–60 certificados previstos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484848"/>
          <w:sz w:val="19"/>
        </w:rPr>
        <w:t>Forma a competência de conferir: alucinação, validação em fonte, checklist de supervisão e projeto com baseline medido.</w:t>
      </w:r>
    </w:p>
    <w:p>
      <w:pPr>
        <w:spacing w:before="0" w:after="40"/>
      </w:pPr>
      <w:r>
        <w:rPr>
          <w:rFonts w:ascii="Calibri" w:hAnsi="Calibri"/>
          <w:b/>
          <w:i w:val="0"/>
          <w:color w:val="121212"/>
          <w:sz w:val="20"/>
        </w:rPr>
        <w:t xml:space="preserve">Oficina Prompt Lab — </w:t>
      </w:r>
      <w:r>
        <w:rPr>
          <w:rFonts w:ascii="Calibri" w:hAnsi="Calibri"/>
          <w:b w:val="0"/>
          <w:i w:val="0"/>
          <w:color w:val="0074A6"/>
          <w:sz w:val="18"/>
        </w:rPr>
        <w:t>3h por edição · 120–150 servidores previstos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484848"/>
          <w:sz w:val="19"/>
        </w:rPr>
        <w:t>Porta de entrada mensal, com anonimização e limites de confiança praticados em laboratório.</w:t>
      </w:r>
    </w:p>
    <w:p>
      <w:pPr>
        <w:pStyle w:val="Heading2"/>
      </w:pPr>
      <w:r>
        <w:t>Segunda linha — quem orienta e monitora</w:t>
      </w:r>
    </w:p>
    <w:p>
      <w:pPr>
        <w:spacing w:before="0" w:after="80"/>
      </w:pPr>
      <w:r>
        <w:rPr>
          <w:rFonts w:ascii="Cambria" w:hAnsi="Cambria"/>
          <w:b w:val="0"/>
          <w:i w:val="0"/>
          <w:color w:val="A00F58"/>
          <w:sz w:val="23"/>
        </w:rPr>
        <w:t>Quem define a regra e acompanha o cumprimento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484848"/>
          <w:sz w:val="20"/>
        </w:rPr>
        <w:t>Por analogia ao modelo já vigente em contratações: assessoramento jurídico, controle interno, NEGI (estratégia, governança e integridade) e DTIC — a quem cabe manter o catálogo de ferramentas autorizadas e classificar o risco de cada uma.</w:t>
      </w:r>
    </w:p>
    <w:p>
      <w:pPr>
        <w:spacing w:before="0" w:after="60"/>
      </w:pPr>
      <w:r>
        <w:rPr>
          <w:rFonts w:ascii="Calibri" w:hAnsi="Calibri"/>
          <w:b/>
          <w:i w:val="0"/>
          <w:color w:val="767676"/>
          <w:sz w:val="17"/>
        </w:rPr>
        <w:t>Controles nesta linha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Catálogo de ferramentas autorizadas, com revisão semestral (Política, item 6)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Registro na plataforma Sinapses do CNJ (Portaria LowCodeJud v2, art. 38, VII)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Sandbox obrigatório para desenvolvimento — vedado dado real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Comitê de IA e relatórios trimestrais (previsto na Minuta de Diretrizes, art. 18)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LACUNA: o NEGI não tem competência nominal em nenhuma norma de IA da JFCE</w:t>
      </w:r>
    </w:p>
    <w:p>
      <w:pPr>
        <w:spacing w:before="120" w:after="60"/>
      </w:pPr>
      <w:r>
        <w:rPr>
          <w:rFonts w:ascii="Calibri" w:hAnsi="Calibri"/>
          <w:b/>
          <w:i w:val="0"/>
          <w:color w:val="767676"/>
          <w:sz w:val="17"/>
        </w:rPr>
        <w:t>Formada por</w:t>
      </w:r>
    </w:p>
    <w:p>
      <w:pPr>
        <w:spacing w:before="0" w:after="40"/>
      </w:pPr>
      <w:r>
        <w:rPr>
          <w:rFonts w:ascii="Calibri" w:hAnsi="Calibri"/>
          <w:b/>
          <w:i w:val="0"/>
          <w:color w:val="121212"/>
          <w:sz w:val="20"/>
        </w:rPr>
        <w:t xml:space="preserve">Transformação Administrativa com IA — </w:t>
      </w:r>
      <w:r>
        <w:rPr>
          <w:rFonts w:ascii="Calibri" w:hAnsi="Calibri"/>
          <w:b w:val="0"/>
          <w:i w:val="0"/>
          <w:color w:val="A00F58"/>
          <w:sz w:val="18"/>
        </w:rPr>
        <w:t>5,5h por unidade · dentro das 56h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484848"/>
          <w:sz w:val="19"/>
        </w:rPr>
        <w:t>Módulos próprios para o NEGI e para a Assessoria Jurídica: análise de conformidade normativa, indicadores institucionais e verificação de conformidade de processos com as normas vigentes.</w:t>
      </w:r>
    </w:p>
    <w:p>
      <w:pPr>
        <w:spacing w:before="0" w:after="40"/>
      </w:pPr>
      <w:r>
        <w:rPr>
          <w:rFonts w:ascii="Calibri" w:hAnsi="Calibri"/>
          <w:b/>
          <w:i w:val="0"/>
          <w:color w:val="121212"/>
          <w:sz w:val="20"/>
        </w:rPr>
        <w:t xml:space="preserve">Servidor + Dados (Eixo II) — </w:t>
      </w:r>
      <w:r>
        <w:rPr>
          <w:rFonts w:ascii="Calibri" w:hAnsi="Calibri"/>
          <w:b w:val="0"/>
          <w:i w:val="0"/>
          <w:color w:val="A00F58"/>
          <w:sz w:val="18"/>
        </w:rPr>
        <w:t>16h · 5 módulos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484848"/>
          <w:sz w:val="19"/>
        </w:rPr>
        <w:t>A régua do TCU e o protocolo de resposta a incidente, exercitado em formato de mesa.</w:t>
      </w:r>
    </w:p>
    <w:p>
      <w:pPr>
        <w:pStyle w:val="Heading2"/>
      </w:pPr>
      <w:r>
        <w:t>Terceira linha — quem audita</w:t>
      </w:r>
    </w:p>
    <w:p>
      <w:pPr>
        <w:spacing w:before="0" w:after="80"/>
      </w:pPr>
      <w:r>
        <w:rPr>
          <w:rFonts w:ascii="Cambria" w:hAnsi="Cambria"/>
          <w:b w:val="0"/>
          <w:i w:val="0"/>
          <w:color w:val="A00F58"/>
          <w:sz w:val="23"/>
        </w:rPr>
        <w:t>Quem verifica se o controle funcionou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484848"/>
          <w:sz w:val="20"/>
        </w:rPr>
        <w:t>Auditoria interna e, externamente, TCU, CNJ e CJF. A minuta de Diretrizes prevê auditoria anual sobre o uso de IA na seccional, com escopo mínimo: lista de ferramentas autorizadas, análise de incidentes e verificação amostral da supervisão humana.</w:t>
      </w:r>
    </w:p>
    <w:p>
      <w:pPr>
        <w:spacing w:before="0" w:after="60"/>
      </w:pPr>
      <w:r>
        <w:rPr>
          <w:rFonts w:ascii="Calibri" w:hAnsi="Calibri"/>
          <w:b/>
          <w:i w:val="0"/>
          <w:color w:val="767676"/>
          <w:sz w:val="17"/>
        </w:rPr>
        <w:t>Controles nesta linha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Auditoria anual sobre uso de IA (prevista na Minuta de Diretrizes, art. 24)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Verificação amostral da supervisão humana (Minuta, art. 24, §1º)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LACUNA: LGPD ainda fora do plano anual de auditoria (Acórdão TCU 1372/2025, Rec. 9.1.8.2)</w:t>
      </w:r>
    </w:p>
    <w:p>
      <w:pPr>
        <w:pStyle w:val="ListBullet"/>
        <w:spacing w:after="60"/>
        <w:ind w:left="397"/>
      </w:pPr>
      <w:r>
        <w:rPr>
          <w:rFonts w:ascii="Calibri" w:hAnsi="Calibri"/>
          <w:color w:val="484848"/>
          <w:sz w:val="19"/>
        </w:rPr>
        <w:t>LACUNA: o NUAUD não tem competência nominal em nenhuma norma de IA da JFCE</w:t>
      </w:r>
    </w:p>
    <w:p>
      <w:pPr>
        <w:spacing w:before="120" w:after="60"/>
      </w:pPr>
      <w:r>
        <w:rPr>
          <w:rFonts w:ascii="Calibri" w:hAnsi="Calibri"/>
          <w:b/>
          <w:i w:val="0"/>
          <w:color w:val="767676"/>
          <w:sz w:val="17"/>
        </w:rPr>
        <w:t>Formada por</w:t>
      </w:r>
    </w:p>
    <w:p>
      <w:pPr>
        <w:spacing w:before="0" w:after="40"/>
      </w:pPr>
      <w:r>
        <w:rPr>
          <w:rFonts w:ascii="Calibri" w:hAnsi="Calibri"/>
          <w:b/>
          <w:i w:val="0"/>
          <w:color w:val="121212"/>
          <w:sz w:val="20"/>
        </w:rPr>
        <w:t xml:space="preserve">Transformação Administrativa com IA — </w:t>
      </w:r>
      <w:r>
        <w:rPr>
          <w:rFonts w:ascii="Calibri" w:hAnsi="Calibri"/>
          <w:b w:val="0"/>
          <w:i w:val="0"/>
          <w:color w:val="A00F58"/>
          <w:sz w:val="18"/>
        </w:rPr>
        <w:t>5,5h · dois encontros · dentro das 56h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484848"/>
          <w:sz w:val="19"/>
        </w:rPr>
        <w:t>O módulo do NUAUD é o único do portfólio escrito para o ato de auditar: detecção de anomalias em documentos, checklists dinâmicos de conformidade, estruturação de evidências e documentação sistemática de achados.</w:t>
      </w:r>
    </w:p>
    <w:p>
      <w:pPr>
        <w:spacing w:before="200" w:after="200"/>
        <w:pBdr>
          <w:bottom w:val="single" w:sz="6" w:space="1" w:color="D9D9D4"/>
        </w:pBdr>
      </w:pPr>
    </w:p>
    <w:p>
      <w:pPr>
        <w:pStyle w:val="Heading2"/>
      </w:pPr>
      <w:r>
        <w:t>Declaração de lacuna</w:t>
      </w:r>
    </w:p>
    <w:p>
      <w:pPr>
        <w:spacing w:before="0" w:after="160"/>
      </w:pPr>
      <w:r>
        <w:rPr>
          <w:rFonts w:ascii="Calibri" w:hAnsi="Calibri"/>
          <w:b/>
          <w:i w:val="0"/>
          <w:color w:val="121212"/>
          <w:sz w:val="21"/>
        </w:rPr>
        <w:t>Nenhuma norma de governança de IA da JFCE atribui hoje competência nominal ao NUAUD ou ao NEGI.</w:t>
      </w:r>
      <w:r>
        <w:rPr>
          <w:rFonts w:ascii="Calibri" w:hAnsi="Calibri"/>
          <w:b w:val="0"/>
          <w:i w:val="0"/>
          <w:color w:val="484848"/>
          <w:sz w:val="21"/>
        </w:rPr>
        <w:t xml:space="preserve"> A minuta de Diretrizes prevê auditoria anual com apoio da "auditoria interna", sem nomear a unidade; o NEGI não figura em nenhuma das instâncias de governança previstas. No campo da proteção de dados, a mesma ausência já foi reconhecida internamente como falha de segunda linha de defesa e é objeto da Recomendação 9.1.8.2 do Acórdão TCU n.º 1372/2025.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484848"/>
          <w:sz w:val="21"/>
        </w:rPr>
        <w:t xml:space="preserve">Este portfólio não corrige uma lacuna normativa — nenhuma capacitação corrige. Mas prepara, desde já, as pessoas que ocuparão essas posições quando a norma as nomear. </w:t>
      </w:r>
      <w:r>
        <w:rPr>
          <w:rFonts w:ascii="Calibri" w:hAnsi="Calibri"/>
          <w:b/>
          <w:i w:val="0"/>
          <w:color w:val="121212"/>
          <w:sz w:val="21"/>
        </w:rPr>
        <w:t>Hoje, a capacitação é o controle de primeira linha que a instituição efetivamente possui sobre o uso da IA.</w:t>
      </w:r>
      <w:r>
        <w:rPr>
          <w:rFonts w:ascii="Calibri" w:hAnsi="Calibri"/>
          <w:b w:val="0"/>
          <w:i w:val="0"/>
          <w:color w:val="484848"/>
          <w:sz w:val="21"/>
        </w:rPr>
        <w:t xml:space="preserve"> Credenciá-la é o que a transforma de iniciativa em controle.</w:t>
      </w:r>
    </w:p>
    <w:p>
      <w:r>
        <w:br w:type="page"/>
      </w:r>
    </w:p>
    <w:p>
      <w:pPr>
        <w:sectPr>
          <w:pgSz w:w="11906" w:h="16838"/>
          <w:pgMar w:top="1417" w:right="1474" w:bottom="1247" w:left="1474" w:header="720" w:footer="720" w:gutter="0"/>
          <w:cols w:space="720"/>
          <w:docGrid w:linePitch="360"/>
        </w:sectPr>
      </w:pPr>
    </w:p>
    <w:p>
      <w:pPr>
        <w:pStyle w:val="Heading1"/>
      </w:pPr>
      <w:r>
        <w:t>6. Quadro comparativo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>
        <w:tc>
          <w:tcPr>
            <w:tcW w:type="dxa" w:w="2835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CAPACITAÇÃO</w:t>
            </w:r>
          </w:p>
        </w:tc>
        <w:tc>
          <w:tcPr>
            <w:tcW w:type="dxa" w:w="2041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CARGA</w:t>
            </w:r>
          </w:p>
        </w:tc>
        <w:tc>
          <w:tcPr>
            <w:tcW w:type="dxa" w:w="1928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MODALIDADE</w:t>
            </w:r>
          </w:p>
        </w:tc>
        <w:tc>
          <w:tcPr>
            <w:tcW w:type="dxa" w:w="2494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PÚBLICO</w:t>
            </w:r>
          </w:p>
        </w:tc>
        <w:tc>
          <w:tcPr>
            <w:tcW w:type="dxa" w:w="1644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VAGAS</w:t>
            </w:r>
          </w:p>
        </w:tc>
        <w:tc>
          <w:tcPr>
            <w:tcW w:type="dxa" w:w="2438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APROVAÇÃO</w:t>
            </w:r>
          </w:p>
        </w:tc>
        <w:tc>
          <w:tcPr>
            <w:tcW w:type="dxa" w:w="1191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LINHA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A00F58"/>
                <w:sz w:val="18"/>
              </w:rPr>
              <w:t>Transformação Administrativa com IA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56h no total; 14,5h por cursista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Presencial (EDIRB)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9 unidades administrativas</w:t>
            </w:r>
          </w:p>
        </w:tc>
        <w:tc>
          <w:tcPr>
            <w:tcW w:type="dxa" w:w="1644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30</w:t>
            </w:r>
          </w:p>
        </w:tc>
        <w:tc>
          <w:tcPr>
            <w:tcW w:type="dxa" w:w="243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70% nota; 75% frequência</w:t>
            </w:r>
          </w:p>
        </w:tc>
        <w:tc>
          <w:tcPr>
            <w:tcW w:type="dxa" w:w="1191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2ª e 3ª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074A6"/>
                <w:sz w:val="18"/>
              </w:rPr>
              <w:t>Servidor + IA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24h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Online ao vivo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Área-fim (varas, turmas, gabinetes)</w:t>
            </w:r>
          </w:p>
        </w:tc>
        <w:tc>
          <w:tcPr>
            <w:tcW w:type="dxa" w:w="1644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25–30; 2 turmas</w:t>
            </w:r>
          </w:p>
        </w:tc>
        <w:tc>
          <w:tcPr>
            <w:tcW w:type="dxa" w:w="243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80% frequência + projeto integrador</w:t>
            </w:r>
          </w:p>
        </w:tc>
        <w:tc>
          <w:tcPr>
            <w:tcW w:type="dxa" w:w="1191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1ª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074A6"/>
                <w:sz w:val="18"/>
              </w:rPr>
              <w:t>Oficina Prompt Lab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3h/edição; 24h na série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Presencial (laboratório)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Área-fim e área-meio, alternadas</w:t>
            </w:r>
          </w:p>
        </w:tc>
        <w:tc>
          <w:tcPr>
            <w:tcW w:type="dxa" w:w="1644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15–20 por edição</w:t>
            </w:r>
          </w:p>
        </w:tc>
        <w:tc>
          <w:tcPr>
            <w:tcW w:type="dxa" w:w="243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Presença integral + prompt validado</w:t>
            </w:r>
          </w:p>
        </w:tc>
        <w:tc>
          <w:tcPr>
            <w:tcW w:type="dxa" w:w="1191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1ª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F6B1E"/>
                <w:sz w:val="18"/>
              </w:rPr>
              <w:t>Servidor + Dados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16h; 5 módulos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A definir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Todos os servidores</w:t>
            </w:r>
          </w:p>
        </w:tc>
        <w:tc>
          <w:tcPr>
            <w:tcW w:type="dxa" w:w="1644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20–25 por turma</w:t>
            </w:r>
          </w:p>
        </w:tc>
        <w:tc>
          <w:tcPr>
            <w:tcW w:type="dxa" w:w="243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A definir no plano de aula</w:t>
            </w:r>
          </w:p>
        </w:tc>
        <w:tc>
          <w:tcPr>
            <w:tcW w:type="dxa" w:w="1191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1ª e 2ª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A65B00"/>
                <w:sz w:val="18"/>
              </w:rPr>
              <w:t>Programa de Multiplicadores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8–12h adicionais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Presencial + mentoria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Certificados no Servidor + IA</w:t>
            </w:r>
          </w:p>
        </w:tc>
        <w:tc>
          <w:tcPr>
            <w:tcW w:type="dxa" w:w="1644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Seleção qualitativa</w:t>
            </w:r>
          </w:p>
        </w:tc>
        <w:tc>
          <w:tcPr>
            <w:tcW w:type="dxa" w:w="243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90% de frequência no curso base</w:t>
            </w:r>
          </w:p>
        </w:tc>
        <w:tc>
          <w:tcPr>
            <w:tcW w:type="dxa" w:w="1191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Transversal</w:t>
            </w:r>
          </w:p>
        </w:tc>
      </w:tr>
    </w:tbl>
    <w:p>
      <w:pPr>
        <w:spacing w:before="100" w:after="120"/>
      </w:pPr>
      <w:r>
        <w:rPr>
          <w:rFonts w:ascii="Calibri" w:hAnsi="Calibri"/>
          <w:b w:val="0"/>
          <w:i/>
          <w:color w:val="767676"/>
          <w:sz w:val="17"/>
        </w:rPr>
        <w:t>"Linha" indica a linha de defesa que a capacitação forma, conforme a seção 5.</w:t>
      </w:r>
    </w:p>
    <w:p>
      <w:pPr>
        <w:sectPr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t>7. Base normativa, corpo docente e bibliografia</w:t>
      </w:r>
    </w:p>
    <w:p>
      <w:pPr>
        <w:pStyle w:val="Heading2"/>
      </w:pPr>
      <w:r>
        <w:t>Base normativa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2948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NORMA</w:t>
            </w:r>
          </w:p>
        </w:tc>
        <w:tc>
          <w:tcPr>
            <w:tcW w:type="dxa" w:w="6009"/>
            <w:shd w:val="clear" w:fill="EFEF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444444"/>
                <w:sz w:val="16"/>
              </w:rPr>
              <w:t>APLICAÇÃO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21212"/>
                <w:sz w:val="18"/>
              </w:rPr>
              <w:t>Resolução CNJ n.º 615/2025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Uso de inteligência artificial no Poder Judiciário. Base comum das três capacitações do Eixo III.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21212"/>
                <w:sz w:val="18"/>
              </w:rPr>
              <w:t>Resolução CNJ n.º 332/2020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Ética, transparência e governança na produção e uso de IA no Judiciário.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21212"/>
                <w:sz w:val="18"/>
              </w:rPr>
              <w:t>Lei n.º 13.709/2018 — LGPD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Tratamento de dados pessoais; base do Eixo II e do Módulo 4 do Servidor + IA.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21212"/>
                <w:sz w:val="18"/>
              </w:rPr>
              <w:t>Lei n.º 14.133/2021, art. 169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Modelo de três linhas de defesa já formalizado na JFCE para gestão e fiscalização de contratos.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21212"/>
                <w:sz w:val="18"/>
              </w:rPr>
              <w:t>Acórdão TCU n.º 1372/2025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Monitoramento da conformidade à LGPD; a Recomendação 9.1.8.2 trata do envolvimento da auditoria interna na gestão de riscos.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21212"/>
                <w:sz w:val="18"/>
              </w:rPr>
              <w:t>Resoluções CNJ n.º 308 e 309/2020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Auditoria interna do Poder Judiciário — competência da terceira linha de defesa.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21212"/>
                <w:sz w:val="18"/>
              </w:rPr>
              <w:t>Portaria DF n.º 161/2025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Criação e competências do INOVAJUS na Justiça Federal no Ceará.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21212"/>
                <w:sz w:val="18"/>
              </w:rPr>
              <w:t>Resolução CD/ANPD n.º 15/2024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484848"/>
                <w:sz w:val="18"/>
              </w:rPr>
              <w:t>Comunicação de incidente de segurança com dados pessoais.</w:t>
            </w:r>
          </w:p>
        </w:tc>
      </w:tr>
    </w:tbl>
    <w:p>
      <w:pPr>
        <w:pStyle w:val="Heading2"/>
      </w:pPr>
      <w:r>
        <w:t>Corpo docente</w:t>
      </w:r>
    </w:p>
    <w:p>
      <w:pPr>
        <w:spacing w:before="160" w:after="20"/>
      </w:pPr>
      <w:r>
        <w:rPr>
          <w:rFonts w:ascii="Cambria" w:hAnsi="Cambria"/>
          <w:b/>
          <w:i w:val="0"/>
          <w:color w:val="121212"/>
          <w:sz w:val="24"/>
        </w:rPr>
        <w:t>Victor César Falcão Viana</w:t>
      </w:r>
    </w:p>
    <w:p>
      <w:pPr>
        <w:spacing w:before="0" w:after="60"/>
      </w:pPr>
      <w:r>
        <w:rPr>
          <w:rFonts w:ascii="Calibri" w:hAnsi="Calibri"/>
          <w:b/>
          <w:i w:val="0"/>
          <w:color w:val="767676"/>
          <w:sz w:val="17"/>
        </w:rPr>
        <w:t>Coordenação do Eixo III · Docente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484848"/>
          <w:sz w:val="19"/>
        </w:rPr>
        <w:t>Servidor da Justiça Federal no Ceará e Diretor de Secretaria da 3ª Vara Federal. Especialista em Direito Constitucional, em Processo Civil e em Gestão de Pessoas na Justiça Federal. Estudioso da transformação digital e da IA aplicada à Administração Pública.</w:t>
      </w:r>
    </w:p>
    <w:p>
      <w:pPr>
        <w:spacing w:before="160" w:after="20"/>
      </w:pPr>
      <w:r>
        <w:rPr>
          <w:rFonts w:ascii="Cambria" w:hAnsi="Cambria"/>
          <w:b/>
          <w:i w:val="0"/>
          <w:color w:val="121212"/>
          <w:sz w:val="24"/>
        </w:rPr>
        <w:t>Vinícius Sousa e Silva</w:t>
      </w:r>
    </w:p>
    <w:p>
      <w:pPr>
        <w:spacing w:before="0" w:after="60"/>
      </w:pPr>
      <w:r>
        <w:rPr>
          <w:rFonts w:ascii="Calibri" w:hAnsi="Calibri"/>
          <w:b/>
          <w:i w:val="0"/>
          <w:color w:val="767676"/>
          <w:sz w:val="17"/>
        </w:rPr>
        <w:t>Docente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484848"/>
          <w:sz w:val="19"/>
        </w:rPr>
        <w:t>Servidor da Justiça Federal no Ceará. Especialista em Direito Público, em Direito e Gestão do Judiciário e em Tecnologia da Informação. Estudioso da automação, da inovação e das tecnologias aplicadas.</w:t>
      </w:r>
    </w:p>
    <w:p>
      <w:pPr>
        <w:spacing w:before="120" w:after="120"/>
      </w:pPr>
      <w:r>
        <w:rPr>
          <w:rFonts w:ascii="Calibri" w:hAnsi="Calibri"/>
          <w:b w:val="0"/>
          <w:i w:val="0"/>
          <w:color w:val="484848"/>
          <w:sz w:val="19"/>
        </w:rPr>
        <w:t>A partir da segunda turma, multiplicadores formados pelo Programa (Ação 1.3) podem co-conduzir módulos sob supervisão da Coordenação do Eixo III.</w:t>
      </w:r>
    </w:p>
    <w:p>
      <w:pPr>
        <w:pStyle w:val="Heading2"/>
      </w:pPr>
      <w:r>
        <w:t>Bibliografia</w:t>
      </w:r>
    </w:p>
    <w:p>
      <w:pPr>
        <w:spacing w:after="120"/>
        <w:ind w:left="510" w:hanging="510"/>
      </w:pPr>
      <w:r>
        <w:rPr>
          <w:rFonts w:ascii="Calibri" w:hAnsi="Calibri"/>
          <w:i w:val="0"/>
          <w:color w:val="121212"/>
          <w:sz w:val="19"/>
        </w:rPr>
        <w:t xml:space="preserve">FACELI, Katti; LORENA, Ana C.; GAMA, João; CARVALHO, André C. P. L. F. </w:t>
      </w:r>
      <w:r>
        <w:rPr>
          <w:rFonts w:ascii="Calibri" w:hAnsi="Calibri"/>
          <w:i/>
          <w:color w:val="121212"/>
          <w:sz w:val="19"/>
        </w:rPr>
        <w:t>Inteligência artificial: uma abordagem de aprendizado de máquina</w:t>
      </w:r>
      <w:r>
        <w:rPr>
          <w:rFonts w:ascii="Calibri" w:hAnsi="Calibri"/>
          <w:i w:val="0"/>
          <w:color w:val="121212"/>
          <w:sz w:val="19"/>
        </w:rPr>
        <w:t>. Rio de Janeiro: LTC, 2021.</w:t>
      </w:r>
    </w:p>
    <w:p>
      <w:pPr>
        <w:spacing w:after="120"/>
        <w:ind w:left="510" w:hanging="510"/>
      </w:pPr>
      <w:r>
        <w:rPr>
          <w:rFonts w:ascii="Calibri" w:hAnsi="Calibri"/>
          <w:i w:val="0"/>
          <w:color w:val="121212"/>
          <w:sz w:val="19"/>
        </w:rPr>
        <w:t xml:space="preserve">KAHNEMAN, Daniel. </w:t>
      </w:r>
      <w:r>
        <w:rPr>
          <w:rFonts w:ascii="Calibri" w:hAnsi="Calibri"/>
          <w:i/>
          <w:color w:val="121212"/>
          <w:sz w:val="19"/>
        </w:rPr>
        <w:t>Rápido e devagar: duas formas de pensar</w:t>
      </w:r>
      <w:r>
        <w:rPr>
          <w:rFonts w:ascii="Calibri" w:hAnsi="Calibri"/>
          <w:i w:val="0"/>
          <w:color w:val="121212"/>
          <w:sz w:val="19"/>
        </w:rPr>
        <w:t>. Rio de Janeiro: Objetiva, 2012.</w:t>
      </w:r>
    </w:p>
    <w:p>
      <w:pPr>
        <w:spacing w:after="120"/>
        <w:ind w:left="510" w:hanging="510"/>
      </w:pPr>
      <w:r>
        <w:rPr>
          <w:rFonts w:ascii="Calibri" w:hAnsi="Calibri"/>
          <w:i w:val="0"/>
          <w:color w:val="121212"/>
          <w:sz w:val="19"/>
        </w:rPr>
        <w:t xml:space="preserve">MASOOD, Adnan; DAWE, Heather. </w:t>
      </w:r>
      <w:r>
        <w:rPr>
          <w:rFonts w:ascii="Calibri" w:hAnsi="Calibri"/>
          <w:i/>
          <w:color w:val="121212"/>
          <w:sz w:val="19"/>
        </w:rPr>
        <w:t>Responsible AI in the enterprise: practical AI risk management for explainable, auditable, and safe models with hyperscalers and Azure OpenAI</w:t>
      </w:r>
      <w:r>
        <w:rPr>
          <w:rFonts w:ascii="Calibri" w:hAnsi="Calibri"/>
          <w:i w:val="0"/>
          <w:color w:val="121212"/>
          <w:sz w:val="19"/>
        </w:rPr>
        <w:t>. Birmingham: Packt Publishing, 2023.</w:t>
      </w:r>
    </w:p>
    <w:p>
      <w:pPr>
        <w:spacing w:after="120"/>
        <w:ind w:left="510" w:hanging="510"/>
      </w:pPr>
      <w:r>
        <w:rPr>
          <w:rFonts w:ascii="Calibri" w:hAnsi="Calibri"/>
          <w:i w:val="0"/>
          <w:color w:val="121212"/>
          <w:sz w:val="19"/>
        </w:rPr>
        <w:t xml:space="preserve">RUSSELL, Stuart; NORVIG, Peter. </w:t>
      </w:r>
      <w:r>
        <w:rPr>
          <w:rFonts w:ascii="Calibri" w:hAnsi="Calibri"/>
          <w:i/>
          <w:color w:val="121212"/>
          <w:sz w:val="19"/>
        </w:rPr>
        <w:t>Inteligência artificial</w:t>
      </w:r>
      <w:r>
        <w:rPr>
          <w:rFonts w:ascii="Calibri" w:hAnsi="Calibri"/>
          <w:i w:val="0"/>
          <w:color w:val="121212"/>
          <w:sz w:val="19"/>
        </w:rPr>
        <w:t>. Rio de Janeiro: Campus, 2013.</w:t>
      </w:r>
    </w:p>
    <w:p>
      <w:pPr>
        <w:spacing w:after="120"/>
        <w:ind w:left="510" w:hanging="510"/>
      </w:pPr>
      <w:r>
        <w:rPr>
          <w:rFonts w:ascii="Calibri" w:hAnsi="Calibri"/>
          <w:i w:val="0"/>
          <w:color w:val="121212"/>
          <w:sz w:val="19"/>
        </w:rPr>
        <w:t xml:space="preserve">BURKOV, Andriy. </w:t>
      </w:r>
      <w:r>
        <w:rPr>
          <w:rFonts w:ascii="Calibri" w:hAnsi="Calibri"/>
          <w:i/>
          <w:color w:val="121212"/>
          <w:sz w:val="19"/>
        </w:rPr>
        <w:t>Machine learning engineering</w:t>
      </w:r>
      <w:r>
        <w:rPr>
          <w:rFonts w:ascii="Calibri" w:hAnsi="Calibri"/>
          <w:i w:val="0"/>
          <w:color w:val="121212"/>
          <w:sz w:val="19"/>
        </w:rPr>
        <w:t>. Montreal: True Positive Inc., 2020.</w:t>
      </w:r>
    </w:p>
    <w:p>
      <w:pPr>
        <w:spacing w:before="360" w:after="200"/>
        <w:pBdr>
          <w:bottom w:val="single" w:sz="6" w:space="1" w:color="D9D9D4"/>
        </w:pBdr>
      </w:pPr>
    </w:p>
    <w:p>
      <w:pPr>
        <w:spacing w:before="0" w:after="120"/>
      </w:pPr>
      <w:r>
        <w:rPr>
          <w:rFonts w:ascii="Calibri" w:hAnsi="Calibri"/>
          <w:b w:val="0"/>
          <w:i/>
          <w:color w:val="767676"/>
          <w:sz w:val="17"/>
        </w:rPr>
        <w:t>INOVAJUS — Laboratório de Inovação da Justiça Federal no Ceará · Portfólio de capacitações 2026 · Documento submetido a credenciamento.</w:t>
      </w:r>
    </w:p>
    <w:sectPr w:rsidR="00FC693F" w:rsidRPr="0006063C" w:rsidSect="00034616">
      <w:pgSz w:w="11906" w:h="16838"/>
      <w:pgMar w:top="141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2121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520" w:after="160"/>
      <w:outlineLvl w:val="0"/>
    </w:pPr>
    <w:rPr>
      <w:rFonts w:asciiTheme="majorHAnsi" w:eastAsiaTheme="majorEastAsia" w:hAnsiTheme="majorHAnsi" w:cstheme="majorBidi" w:ascii="Cambria" w:hAnsi="Cambria"/>
      <w:b w:val="0"/>
      <w:bCs/>
      <w:color w:val="121212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mbria" w:hAnsi="Cambria"/>
      <w:b w:val="0"/>
      <w:bCs/>
      <w:color w:val="12121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2121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