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drawing>
          <wp:inline xmlns:a="http://schemas.openxmlformats.org/drawingml/2006/main" xmlns:pic="http://schemas.openxmlformats.org/drawingml/2006/picture">
            <wp:extent cx="1224000" cy="84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84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i w:val="0"/>
          <w:color w:val="767676"/>
          <w:sz w:val="18"/>
        </w:rPr>
        <w:t>JUSTIÇA FEDERAL NO CEARÁ</w:t>
      </w:r>
    </w:p>
    <w:p>
      <w:pPr>
        <w:spacing w:before="0" w:after="600"/>
      </w:pPr>
      <w:r>
        <w:rPr>
          <w:rFonts w:ascii="Calibri" w:hAnsi="Calibri"/>
          <w:b w:val="0"/>
          <w:i w:val="0"/>
          <w:color w:val="767676"/>
          <w:sz w:val="18"/>
        </w:rPr>
        <w:t>INOVAJUS, Laboratório de Inovação · Portaria DF n.º 161/2025</w:t>
      </w:r>
    </w:p>
    <w:p>
      <w:pPr>
        <w:spacing w:before="0" w:after="40"/>
      </w:pPr>
      <w:r>
        <w:rPr>
          <w:rFonts w:ascii="Cambria" w:hAnsi="Cambria"/>
          <w:b w:val="0"/>
          <w:i w:val="0"/>
          <w:color w:val="121212"/>
          <w:sz w:val="60"/>
        </w:rPr>
        <w:t>Portfólio de Capacitações</w:t>
      </w:r>
    </w:p>
    <w:p>
      <w:pPr>
        <w:spacing w:before="0" w:after="320"/>
      </w:pPr>
      <w:r>
        <w:rPr>
          <w:rFonts w:ascii="Cambria" w:hAnsi="Cambria"/>
          <w:b w:val="0"/>
          <w:i w:val="0"/>
          <w:color w:val="B45309"/>
          <w:sz w:val="60"/>
        </w:rPr>
        <w:t>em Inteligência Artificial</w:t>
      </w:r>
    </w:p>
    <w:p>
      <w:pPr>
        <w:spacing w:before="0" w:after="520"/>
      </w:pPr>
      <w:r>
        <w:rPr>
          <w:rFonts w:ascii="Calibri" w:hAnsi="Calibri"/>
          <w:b w:val="0"/>
          <w:i w:val="0"/>
          <w:color w:val="484848"/>
          <w:sz w:val="22"/>
        </w:rPr>
        <w:t>2026</w:t>
      </w:r>
    </w:p>
    <w:p>
      <w:pPr>
        <w:spacing w:before="0" w:after="320"/>
      </w:pPr>
      <w:r>
        <w:rPr>
          <w:rFonts w:ascii="Cambria" w:hAnsi="Cambria"/>
          <w:b w:val="0"/>
          <w:i w:val="0"/>
          <w:color w:val="121212"/>
          <w:sz w:val="30"/>
        </w:rPr>
        <w:t xml:space="preserve">Não formamos usuários de IA. </w:t>
      </w:r>
      <w:r>
        <w:rPr>
          <w:rFonts w:ascii="Cambria" w:hAnsi="Cambria"/>
          <w:b w:val="0"/>
          <w:i/>
          <w:color w:val="B45309"/>
          <w:sz w:val="30"/>
        </w:rPr>
        <w:t>Formamos quem responde por ela.</w:t>
      </w:r>
    </w:p>
    <w:p>
      <w:pPr>
        <w:spacing w:before="0" w:after="520"/>
      </w:pPr>
      <w:r>
        <w:rPr>
          <w:rFonts w:ascii="Calibri" w:hAnsi="Calibri"/>
          <w:b w:val="0"/>
          <w:i w:val="0"/>
          <w:color w:val="484848"/>
          <w:sz w:val="22"/>
        </w:rPr>
        <w:t>Cinco capacitações que cobrem a instituição inteira, de quem redige o despacho a quem audita o processo. A gestão de risco não é um módulo no fim do curso: é o eixo que organiza o portfólio.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742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CAPACITAÇÃO</w:t>
            </w:r>
          </w:p>
        </w:tc>
        <w:tc>
          <w:tcPr>
            <w:tcW w:type="dxa" w:w="2835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CARGA HORÁRIA</w:t>
            </w:r>
          </w:p>
        </w:tc>
        <w:tc>
          <w:tcPr>
            <w:tcW w:type="dxa" w:w="2381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MODALIDADE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Transformação Administrativa com IA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56h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Presencial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Servidor + IA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24h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Online ao vivo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6100"/>
                <w:sz w:val="18"/>
              </w:rPr>
              <w:t>Oficina Prompt Lab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3h por edição, 24h na série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Presencial, laboratório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6100"/>
                <w:sz w:val="18"/>
              </w:rPr>
              <w:t>Servidor + Dados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16h, 5 módulos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A definir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6100"/>
                <w:sz w:val="18"/>
              </w:rPr>
              <w:t>Programa de Multiplicadores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8 a 12h adicionais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Presencial e mentoria</w:t>
            </w:r>
          </w:p>
        </w:tc>
      </w:tr>
    </w:tbl>
    <w:p>
      <w:r>
        <w:br w:type="page"/>
      </w:r>
    </w:p>
    <w:p>
      <w:pPr>
        <w:pStyle w:val="Heading1"/>
      </w:pPr>
      <w:r>
        <w:t>1. O portfólio</w:t>
      </w:r>
    </w:p>
    <w:p>
      <w:pPr>
        <w:spacing w:before="0" w:after="160"/>
      </w:pPr>
      <w:r>
        <w:rPr>
          <w:rFonts w:ascii="Cambria" w:hAnsi="Cambria"/>
          <w:b w:val="0"/>
          <w:i w:val="0"/>
          <w:color w:val="121212"/>
          <w:sz w:val="26"/>
        </w:rPr>
        <w:t>Uma instituição não se capacita por camada única.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84848"/>
          <w:sz w:val="21"/>
        </w:rPr>
        <w:t>As capacitações têm alcance e profundidade distintos porque as responsabilidades sobre o uso da IA também são. Quem opera, quem orienta e quem audita não precisam do mesmo curso.</w:t>
      </w:r>
    </w:p>
    <w:p>
      <w:pPr>
        <w:pStyle w:val="Heading3"/>
      </w:pPr>
      <w:r>
        <w:t>Transformação Administrativa com IA</w:t>
      </w:r>
    </w:p>
    <w:p>
      <w:pPr>
        <w:spacing w:before="0" w:after="40"/>
      </w:pPr>
      <w:r>
        <w:rPr>
          <w:rFonts w:ascii="Calibri" w:hAnsi="Calibri"/>
          <w:b/>
          <w:i w:val="0"/>
          <w:color w:val="767676"/>
          <w:sz w:val="16"/>
        </w:rPr>
        <w:t>DESTAQUE</w:t>
      </w:r>
    </w:p>
    <w:p>
      <w:pPr>
        <w:spacing w:before="0" w:after="60"/>
      </w:pPr>
      <w:r>
        <w:rPr>
          <w:rFonts w:ascii="Calibri" w:hAnsi="Calibri"/>
          <w:b/>
          <w:i w:val="0"/>
          <w:color w:val="B45309"/>
          <w:sz w:val="19"/>
        </w:rPr>
        <w:t>56h · presencial · 9 unidades administrativas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484848"/>
          <w:sz w:val="20"/>
        </w:rPr>
        <w:t>Módulo comum de fundamentos, ética e prompt engineering, seguido de um módulo próprio para cada núcleo, inclusive auditoria interna, governança e assessoria jurídica.</w:t>
      </w:r>
    </w:p>
    <w:p>
      <w:pPr>
        <w:pStyle w:val="Heading3"/>
      </w:pPr>
      <w:r>
        <w:t>Servidor + IA</w:t>
      </w:r>
    </w:p>
    <w:p>
      <w:pPr>
        <w:spacing w:before="0" w:after="40"/>
      </w:pPr>
      <w:r>
        <w:rPr>
          <w:rFonts w:ascii="Calibri" w:hAnsi="Calibri"/>
          <w:b/>
          <w:i w:val="0"/>
          <w:color w:val="767676"/>
          <w:sz w:val="16"/>
        </w:rPr>
        <w:t>DESTAQUE</w:t>
      </w:r>
    </w:p>
    <w:p>
      <w:pPr>
        <w:spacing w:before="0" w:after="60"/>
      </w:pPr>
      <w:r>
        <w:rPr>
          <w:rFonts w:ascii="Calibri" w:hAnsi="Calibri"/>
          <w:b/>
          <w:i w:val="0"/>
          <w:color w:val="B45309"/>
          <w:sz w:val="19"/>
        </w:rPr>
        <w:t>24h · online ao vivo · área-fim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484848"/>
          <w:sz w:val="20"/>
        </w:rPr>
        <w:t>Curso modular em quatro módulos, do prompt ao pensamento causal, da prática forense à governança, com projeto aplicado ao trabalho real da unidade.</w:t>
      </w:r>
    </w:p>
    <w:p>
      <w:pPr>
        <w:pStyle w:val="Heading3"/>
      </w:pPr>
      <w:r>
        <w:t>Oficina Prompt Lab</w:t>
      </w:r>
    </w:p>
    <w:p>
      <w:pPr>
        <w:spacing w:before="0" w:after="40"/>
      </w:pPr>
      <w:r>
        <w:rPr>
          <w:rFonts w:ascii="Calibri" w:hAnsi="Calibri"/>
          <w:b/>
          <w:i w:val="0"/>
          <w:color w:val="767676"/>
          <w:sz w:val="16"/>
        </w:rPr>
        <w:t>OFICINA</w:t>
      </w:r>
    </w:p>
    <w:p>
      <w:pPr>
        <w:spacing w:before="0" w:after="60"/>
      </w:pPr>
      <w:r>
        <w:rPr>
          <w:rFonts w:ascii="Calibri" w:hAnsi="Calibri"/>
          <w:b/>
          <w:i w:val="0"/>
          <w:color w:val="B45309"/>
          <w:sz w:val="19"/>
        </w:rPr>
        <w:t>3h por edição · 24h na série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484848"/>
          <w:sz w:val="20"/>
        </w:rPr>
        <w:t>Oito edições mensais em laboratório, cada uma autocontida e certificável, alternando turmas de área-fim e de área-meio.</w:t>
      </w:r>
    </w:p>
    <w:p>
      <w:pPr>
        <w:pStyle w:val="Heading3"/>
      </w:pPr>
      <w:r>
        <w:t>Servidor + Dados</w:t>
      </w:r>
    </w:p>
    <w:p>
      <w:pPr>
        <w:spacing w:before="0" w:after="40"/>
      </w:pPr>
      <w:r>
        <w:rPr>
          <w:rFonts w:ascii="Calibri" w:hAnsi="Calibri"/>
          <w:b/>
          <w:i w:val="0"/>
          <w:color w:val="767676"/>
          <w:sz w:val="16"/>
        </w:rPr>
        <w:t>PROTEÇÃO DE DADOS</w:t>
      </w:r>
    </w:p>
    <w:p>
      <w:pPr>
        <w:spacing w:before="0" w:after="60"/>
      </w:pPr>
      <w:r>
        <w:rPr>
          <w:rFonts w:ascii="Calibri" w:hAnsi="Calibri"/>
          <w:b/>
          <w:i w:val="0"/>
          <w:color w:val="B45309"/>
          <w:sz w:val="19"/>
        </w:rPr>
        <w:t>16h · 5 módulos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484848"/>
          <w:sz w:val="20"/>
        </w:rPr>
        <w:t>Proteção de dados na rotina: LGPD aplicada, segurança no dia a dia e exercício prático de resposta a incidente.</w:t>
      </w:r>
    </w:p>
    <w:p>
      <w:pPr>
        <w:pStyle w:val="Heading3"/>
      </w:pPr>
      <w:r>
        <w:t>Programa de Multiplicadores</w:t>
      </w:r>
    </w:p>
    <w:p>
      <w:pPr>
        <w:spacing w:before="0" w:after="40"/>
      </w:pPr>
      <w:r>
        <w:rPr>
          <w:rFonts w:ascii="Calibri" w:hAnsi="Calibri"/>
          <w:b/>
          <w:i w:val="0"/>
          <w:color w:val="767676"/>
          <w:sz w:val="16"/>
        </w:rPr>
        <w:t>FORMAÇÃO DE FORMADORES</w:t>
      </w:r>
    </w:p>
    <w:p>
      <w:pPr>
        <w:spacing w:before="0" w:after="60"/>
      </w:pPr>
      <w:r>
        <w:rPr>
          <w:rFonts w:ascii="Calibri" w:hAnsi="Calibri"/>
          <w:b/>
          <w:i w:val="0"/>
          <w:color w:val="B45309"/>
          <w:sz w:val="19"/>
        </w:rPr>
        <w:t>8 a 12h de formação adicional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484848"/>
          <w:sz w:val="20"/>
        </w:rPr>
        <w:t>Formação docente para servidores já certificados, com prática supervisionada e mentoria continuada, para replicar os conteúdos em outras unidades e seccionais.</w:t>
      </w:r>
    </w:p>
    <w:p>
      <w:r>
        <w:br w:type="page"/>
      </w:r>
    </w:p>
    <w:p>
      <w:pPr>
        <w:pStyle w:val="Heading1"/>
      </w:pPr>
      <w:r>
        <w:t>2. Por que este portfólio existe</w:t>
      </w:r>
    </w:p>
    <w:p>
      <w:pPr>
        <w:spacing w:before="0" w:after="160"/>
      </w:pPr>
      <w:r>
        <w:rPr>
          <w:rFonts w:ascii="Cambria" w:hAnsi="Cambria"/>
          <w:b w:val="0"/>
          <w:i w:val="0"/>
          <w:color w:val="B45309"/>
          <w:sz w:val="26"/>
        </w:rPr>
        <w:t>A norma não recomenda capacitar. Ela condiciona o uso da IA à capacitação.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84848"/>
          <w:sz w:val="21"/>
        </w:rPr>
        <w:t>A Resolução CNJ n.º 615/2025 tratou o letramento em inteligência artificial como requisito, não como boa intenção. Antes de usar IA generativa, o servidor precisa ter sido treinado; e a responsabilidade por oferecer esse treinamento recai expressamente sobre os tribunais e suas escolas, com acompanhamento do Comitê Nacional. Este portfólio é o que a Justiça Federal no Ceará construiu para cumprir esse dever.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041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DISPOSITIVO</w:t>
            </w:r>
          </w:p>
        </w:tc>
        <w:tc>
          <w:tcPr>
            <w:tcW w:type="dxa" w:w="6917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O QUE ESTABELECE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Art. 3.º, VIII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Capacitação contínua, pelos tribunais e suas escolas, sobre riscos da automação, vieses algorítmicos e análise crítica dos resultados gerados por IA.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Art. 19, § 3.º, I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O uso de IA generativa exige capacitação e treinamentos específicos prévios sobre limitações, riscos e uso ético e responsável.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Art. 19, § 5.º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Cabe aos tribunais e às suas escolas promover capacitação e treinamentos continuados.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Art. 20, III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É dever dos tribunais e de suas escolas oferecer treinamento aos usuários internos antes do uso das soluções.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Art. 16, VII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O Comitê Nacional de IA do Judiciário monitora a oferta de capacitação pelos tribunais.</w:t>
            </w:r>
          </w:p>
        </w:tc>
      </w:tr>
    </w:tbl>
    <w:p>
      <w:r>
        <w:br w:type="page"/>
      </w:r>
    </w:p>
    <w:p>
      <w:pPr>
        <w:pStyle w:val="Heading1"/>
      </w:pPr>
      <w:r>
        <w:t>3. Transformação Administrativa com IA</w:t>
      </w:r>
    </w:p>
    <w:p>
      <w:pPr>
        <w:spacing w:before="0" w:after="160"/>
      </w:pPr>
      <w:r>
        <w:rPr>
          <w:rFonts w:ascii="Calibri" w:hAnsi="Calibri"/>
          <w:b/>
          <w:i w:val="0"/>
          <w:color w:val="B45309"/>
          <w:sz w:val="20"/>
        </w:rPr>
        <w:t>56h · presencial · 9 unidades administrativas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84848"/>
          <w:sz w:val="22"/>
        </w:rPr>
        <w:t>O curso que chega às unidades que respondem pela conformidade da instituição. Nove núcleos e seções administrativas, cada um com um módulo escrito a partir dos documentos que ele realmente produz.</w:t>
      </w:r>
    </w:p>
    <w:p>
      <w:pPr>
        <w:pStyle w:val="Heading2"/>
      </w:pPr>
      <w:r>
        <w:t>O que distingue este curso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20"/>
        </w:rPr>
        <w:t>Um módulo por unidade: cada núcleo estuda os próprios documentos e os próprios riscos, não exemplos genéricos.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20"/>
        </w:rPr>
        <w:t>Base comum obrigatória: todo cursista passa pelas mesmas 9 horas de fundamentos, ética e prompt engineering antes do conteúdo da sua área.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20"/>
        </w:rPr>
        <w:t>Entrega, não prova: o produto do curso é um processo de trabalho efetivamente otimizado e documentado pelo próprio servidor.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20"/>
        </w:rPr>
        <w:t>Acervo que fica: cada turma constrói uma biblioteca de prompts da sua área, que permanece na unidade depois do curso.</w:t>
      </w:r>
    </w:p>
    <w:p>
      <w:pPr>
        <w:pStyle w:val="Heading2"/>
      </w:pPr>
      <w:r>
        <w:t>Módulo comum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835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ENCONTRO</w:t>
            </w:r>
          </w:p>
        </w:tc>
        <w:tc>
          <w:tcPr>
            <w:tcW w:type="dxa" w:w="5102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CONTEÚDO</w:t>
            </w:r>
          </w:p>
        </w:tc>
        <w:tc>
          <w:tcPr>
            <w:tcW w:type="dxa" w:w="1020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CH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Dia 1. Fundamentos atualizados da IA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Panorama do que a IA é e do que não é; IA multimodal aplicada a documentos administrativos; casos práticos já em uso na administração pública brasileira.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3h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Dia 2. Ética, segurança e avaliação crítica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Princípios éticos e legais; o que pode e o que não pode ser compartilhado com ferramentas de IA; vieses; identificação de alucinações e técnicas de verificação.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3h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Dia 3. Prompt engineering avançado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Estrutura do prompt eficaz; prompting estruturado, cadeia de raciocínio e uso de exemplos; construção e versionamento da biblioteca pessoal de prompts.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3h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Módulos específicos por unidade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Oito unidades com 5,5h cada, em dois encontros (aplicações da área e projeto prático documentado), e o NIST com 3h em encontro único.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47h</w:t>
            </w:r>
          </w:p>
        </w:tc>
      </w:tr>
    </w:tbl>
    <w:p>
      <w:pPr>
        <w:pStyle w:val="Heading2"/>
      </w:pPr>
      <w:r>
        <w:t>As nove unidades atendidas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484848"/>
          <w:sz w:val="20"/>
        </w:rPr>
        <w:t>Três delas exercem função de controle sobre o uso da IA na instituição e estão assinaladas com a linha de defesa correspondente, tratada na seção 6.</w:t>
      </w:r>
    </w:p>
    <w:p>
      <w:pPr>
        <w:pStyle w:val="Heading3"/>
      </w:pPr>
      <w:r>
        <w:t>Núcleo de Auditoria Interna e Seção de Apoio à Secretaria Administrativa</w:t>
      </w:r>
    </w:p>
    <w:p>
      <w:pPr>
        <w:spacing w:before="0" w:after="80"/>
      </w:pPr>
      <w:r>
        <w:rPr>
          <w:rFonts w:ascii="Calibri" w:hAnsi="Calibri"/>
          <w:b/>
          <w:i w:val="0"/>
          <w:color w:val="B45309"/>
          <w:sz w:val="18"/>
        </w:rPr>
        <w:t>5,5h · 3.ª linha de defesa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conformidade documental e detecção de anomalias em documentos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Checklists dinâmicos baseados em critérios específicos e revisão de documentos de auditoria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comparativa de processos e identificação de padrões e inconsistências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Estruturação de evidências e documentação sistemática de achados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Síntese de recomendações e acompanhamento de sua implementação</w:t>
      </w:r>
    </w:p>
    <w:p>
      <w:pPr>
        <w:pStyle w:val="Heading3"/>
      </w:pPr>
      <w:r>
        <w:t>Núcleo de Estratégia, Governança e Integridade</w:t>
      </w:r>
    </w:p>
    <w:p>
      <w:pPr>
        <w:spacing w:before="0" w:after="80"/>
      </w:pPr>
      <w:r>
        <w:rPr>
          <w:rFonts w:ascii="Calibri" w:hAnsi="Calibri"/>
          <w:b/>
          <w:i w:val="0"/>
          <w:color w:val="B45309"/>
          <w:sz w:val="18"/>
        </w:rPr>
        <w:t>5,5h · 2.ª linha de defesa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dados estratégicos estruturados e não estruturados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Gestão de indicadores, correlação entre métricas institucionais e cenários assistidos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Painéis dinâmicos de indicadores sobre dados institucionais anonimizados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Apresentações executivas e comunicação de dados complexos de forma acessível</w:t>
      </w:r>
    </w:p>
    <w:p>
      <w:pPr>
        <w:pStyle w:val="Heading3"/>
      </w:pPr>
      <w:r>
        <w:t>Assessoria Especial da Direção do Foro e Seção de Assessoria Jurídica</w:t>
      </w:r>
    </w:p>
    <w:p>
      <w:pPr>
        <w:spacing w:before="0" w:after="80"/>
      </w:pPr>
      <w:r>
        <w:rPr>
          <w:rFonts w:ascii="Calibri" w:hAnsi="Calibri"/>
          <w:b/>
          <w:i w:val="0"/>
          <w:color w:val="B45309"/>
          <w:sz w:val="18"/>
        </w:rPr>
        <w:t>5,5h · 2.ª linha de defesa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Processamento de documentos jurídicos com recursos multimodais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Elaboração assistida de minutas, despachos e pareceres, com revisão crítica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legislação e jurisprudência e identificação de precedentes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Verificação de conformidade de atos com as normas vigentes</w:t>
      </w:r>
    </w:p>
    <w:p>
      <w:pPr>
        <w:pStyle w:val="Heading3"/>
      </w:pPr>
      <w:r>
        <w:t>Setor Técnico de Governança de Aquisições e Contratações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767676"/>
          <w:sz w:val="18"/>
        </w:rPr>
        <w:t>5,5h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contratos e verificação de conformidade em editais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Elaboração assistida de termos de referência e extração de dados de propostas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Gestão contratual: aditivos, apostilamentos e consolidação de informações dispersas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Painéis a partir de dados contratuais e automação de verificações</w:t>
      </w:r>
    </w:p>
    <w:p>
      <w:pPr>
        <w:pStyle w:val="Heading3"/>
      </w:pPr>
      <w:r>
        <w:t>Núcleo de Gestão Orçamentária, Financeira, Contábil e Patrimonial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767676"/>
          <w:sz w:val="18"/>
        </w:rPr>
        <w:t>5,5h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Extração de dados de notas fiscais e documentos financeiros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Gestão patrimonial: relatórios, inventários e consolidação de informações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comparativa de contratos e verificação de conformidade documental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Relatórios financeiros customizados a partir de dados não estruturados</w:t>
      </w:r>
    </w:p>
    <w:p>
      <w:pPr>
        <w:pStyle w:val="Heading3"/>
      </w:pPr>
      <w:r>
        <w:t>Núcleo de Gestão de Pessoas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767676"/>
          <w:sz w:val="18"/>
        </w:rPr>
        <w:t>5,5h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Produção de documentos de RH e elaboração de portarias e normativos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legislação e normativas de pessoal e pareceres técnicos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Workflows para processamento de solicitações comuns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Relatórios gerenciais e análise de dados funcionais</w:t>
      </w:r>
    </w:p>
    <w:p>
      <w:pPr>
        <w:pStyle w:val="Heading3"/>
      </w:pPr>
      <w:r>
        <w:t>Setor Técnico de Apoio à Diretoria e Núcleo Judiciário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767676"/>
          <w:sz w:val="18"/>
        </w:rPr>
        <w:t>5,5h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documentos administrativos e judiciais com recursos multimodais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Classificação de processos e demandas e organização de dados processuais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comparativa de procedimentos administrativos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Relatórios gerenciais e automação de fluxos de trabalho</w:t>
      </w:r>
    </w:p>
    <w:p>
      <w:pPr>
        <w:pStyle w:val="Heading3"/>
      </w:pPr>
      <w:r>
        <w:t>Seção de Comunicação Social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767676"/>
          <w:sz w:val="18"/>
        </w:rPr>
        <w:t>5,5h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Produção multimodal de conteúdo e adaptação por canal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comunicações institucionais e planejamento editorial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Materiais alinhados à identidade institucional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Releases, comunicados e automação de rotinas de comunicação</w:t>
      </w:r>
    </w:p>
    <w:p>
      <w:pPr>
        <w:pStyle w:val="Heading3"/>
      </w:pPr>
      <w:r>
        <w:t>Núcleo de Inteligência, Segurança e Transporte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767676"/>
          <w:sz w:val="18"/>
        </w:rPr>
        <w:t>3h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Processamento de documentos de segurança e relatórios estruturados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padrões e identificação de riscos e vulnerabilidades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Gestão de transporte: rotas, frota, manutenção e relatórios automatizados</w:t>
      </w:r>
    </w:p>
    <w:p>
      <w:r>
        <w:br w:type="page"/>
      </w:r>
    </w:p>
    <w:p>
      <w:pPr>
        <w:pStyle w:val="Heading1"/>
      </w:pPr>
      <w:r>
        <w:t>4. Servidor + IA</w:t>
      </w:r>
    </w:p>
    <w:p>
      <w:pPr>
        <w:spacing w:before="0" w:after="160"/>
      </w:pPr>
      <w:r>
        <w:rPr>
          <w:rFonts w:ascii="Calibri" w:hAnsi="Calibri"/>
          <w:b/>
          <w:i w:val="0"/>
          <w:color w:val="B45309"/>
          <w:sz w:val="20"/>
        </w:rPr>
        <w:t>24h · online ao vivo, síncrono · servidores, assessores e magistrados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84848"/>
          <w:sz w:val="22"/>
        </w:rPr>
        <w:t>O curso da área-fim: quem redige o despacho, tria o acervo e responde ao jurisdicionado. Vinte e quatro horas construídas em torno de uma exigência: a decisão continua sendo humana, e é preciso saber por quê.</w:t>
      </w:r>
    </w:p>
    <w:p>
      <w:pPr>
        <w:pStyle w:val="Heading2"/>
      </w:pPr>
      <w:r>
        <w:t>O que distingue este curso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20"/>
        </w:rPr>
        <w:t>Progressão por responsabilidade: primeiro operar a ferramenta, depois desconfiar dela, depois aplicá-la ao processo, e só então responder institucionalmente pelo resultado.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20"/>
        </w:rPr>
        <w:t>Avaliação por aplicação: não há prova teórica. O cursista entrega um projeto aplicado ao trabalho real, com registro de como a tarefa era antes e como passou a ser.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20"/>
        </w:rPr>
        <w:t>Prática majoritária: a carga é predominantemente prática, com demonstrações ao vivo e exercícios sobre documentos da própria unidade.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20"/>
        </w:rPr>
        <w:t>Material aberto: deck, banco de prompts e comparativo de ferramentas ficam publicados e acessíveis depois do curso.</w:t>
      </w:r>
    </w:p>
    <w:p>
      <w:pPr>
        <w:pStyle w:val="Heading2"/>
      </w:pPr>
      <w:r>
        <w:t>Quatro módulos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835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MÓDULO</w:t>
            </w:r>
          </w:p>
        </w:tc>
        <w:tc>
          <w:tcPr>
            <w:tcW w:type="dxa" w:w="5102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EMENTA</w:t>
            </w:r>
          </w:p>
        </w:tc>
        <w:tc>
          <w:tcPr>
            <w:tcW w:type="dxa" w:w="1020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CH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M1. Fundamentos de IA e prompt engineering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Como a IA funciona e por que alucina; anatomia do prompt em seis etapas (contexto, tom, tarefa, exemplos, qualidade e formato); construção da biblioteca pessoal de prompts.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6h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M2. Pensamento crítico e causal com IA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Correlação não é causa; confundidor, contrafactual e linha de base; detecção de alucinações, validação em fonte e checklist de supervisão humana.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6h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M3. Prática forense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Triagem e classificação assistidas, minutas e despachos com supervisão, pesquisa de jurisprudência com salvaguardas, trabalho em lote com anonimização e projeto aplicado.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10h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M4. Ética, LGPD e governança de IA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Resolução CNJ n.º 615/2025 e supervisão humana; dados sob segredo de justiça em ferramentas externas; anonimização; vieses; horizonte dos sistemas agênticos.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2h</w:t>
            </w:r>
          </w:p>
        </w:tc>
      </w:tr>
    </w:tbl>
    <w:p>
      <w:r>
        <w:br w:type="page"/>
      </w:r>
    </w:p>
    <w:p>
      <w:pPr>
        <w:pStyle w:val="Heading1"/>
      </w:pPr>
      <w:r>
        <w:t>5. Gestão de risco no uso da IA</w:t>
      </w:r>
    </w:p>
    <w:p>
      <w:pPr>
        <w:spacing w:before="0" w:after="160"/>
      </w:pPr>
      <w:r>
        <w:rPr>
          <w:rFonts w:ascii="Cambria" w:hAnsi="Cambria"/>
          <w:b w:val="0"/>
          <w:i w:val="0"/>
          <w:color w:val="121212"/>
          <w:sz w:val="26"/>
        </w:rPr>
        <w:t>O risco da IA não está no que ela erra. Está no que ninguém confere.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84848"/>
          <w:sz w:val="21"/>
        </w:rPr>
        <w:t>Um resultado falso que é lido criticamente é um incidente sem consequência. O mesmo resultado incorporado a um ato é um dano institucional. A diferença entre os dois é uma pessoa treinada.</w:t>
      </w:r>
    </w:p>
    <w:p>
      <w:pPr>
        <w:pStyle w:val="Heading2"/>
      </w:pPr>
      <w:r>
        <w:t>A classificação de risco da Resolução CNJ n.º 615/2025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484848"/>
          <w:sz w:val="20"/>
        </w:rPr>
        <w:t>A norma não classifica o risco pela tecnologia empregada, mas pelo que a aplicação faz. É esse critério que o portfólio ensina a aplicar, antes de qualquer discussão sobre ferramenta.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CATEGORIA</w:t>
            </w:r>
          </w:p>
        </w:tc>
        <w:tc>
          <w:tcPr>
            <w:tcW w:type="dxa" w:w="5329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O QUE ABRANGE</w:t>
            </w:r>
          </w:p>
        </w:tc>
        <w:tc>
          <w:tcPr>
            <w:tcW w:type="dxa" w:w="1928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FONTE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Risco excessivo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Vedado ao Poder Judiciário: soluções sem revisão humana possível, perfilamento para prever reincidência criminal, ranqueamento de pessoas por comportamento ou mérito e reconhecimento biométrico de emoções.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Art. 10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6100"/>
                <w:sz w:val="18"/>
              </w:rPr>
              <w:t>Alto risco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Elaboração de perfis comportamentais, valoração de provas, tipificação penal, juízos sobre aplicação de norma jurídica e biometria facial para monitoramento.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Art. 11 e Anexo, AR1 a AR5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67676"/>
                <w:sz w:val="18"/>
              </w:rPr>
              <w:t>Baixo risco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Atos ordinatórios, subsídios gerenciais e jurimetria, textos de apoio, aprimoramento da atividade humana, análises estatísticas, transcrição de áudio e vídeo e anonimização de documentos. É onde se concentra o uso cotidiano ensinado no portfólio.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Art. 11 e Anexo, BR1 a BR8</w:t>
            </w:r>
          </w:p>
        </w:tc>
      </w:tr>
    </w:tbl>
    <w:p>
      <w:pPr>
        <w:pStyle w:val="Heading2"/>
      </w:pPr>
      <w:r>
        <w:t>Os quatro riscos que o portfólio ensina a tratar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RISCO</w:t>
            </w:r>
          </w:p>
        </w:tc>
        <w:tc>
          <w:tcPr>
            <w:tcW w:type="dxa" w:w="4535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O QUE A NORMA EXIGE</w:t>
            </w:r>
          </w:p>
        </w:tc>
        <w:tc>
          <w:tcPr>
            <w:tcW w:type="dxa" w:w="2494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ONDE É TRATADO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Decisão sem supervisão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É vedado usar IA como instrumento autônomo de decisão. O magistrado permanece integralmente responsável, e o sistema deve permitir modificar qualquer produto gerado (arts. 19, § 3.º, II, e 34).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Servidor + IA, M2 e M4 · Transformação Adm., Dia 2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Dado sigiloso em ferramenta externa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É vedado usar IA generativa privada ou externa sobre documentos sigilosos ou sob segredo de justiça, salvo anonimização na origem ou mecanismos que garantam proteção efetiva (art. 19, § 3.º, IV).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Servidor + IA, M3 e M4 · Servidor + Dados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Alucinação incorporada ao ato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Decorre do dever de análise crítica dos resultados gerados, previsto como objeto obrigatório de capacitação (art. 3.º, VIII).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Servidor + IA, M2 · Transformação Adm., Dia 2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1212"/>
                <w:sz w:val="18"/>
              </w:rPr>
              <w:t>Viés algorítmico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Os vieses algorítmicos são objeto expresso da capacitação continuada devida pelos tribunais e suas escolas (art. 3.º, VIII).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Servidor + IA, M4 · Transformação Adm., Dia 2</w:t>
            </w:r>
          </w:p>
        </w:tc>
      </w:tr>
    </w:tbl>
    <w:p>
      <w:r>
        <w:br w:type="page"/>
      </w:r>
    </w:p>
    <w:p>
      <w:pPr>
        <w:pStyle w:val="Heading1"/>
      </w:pPr>
      <w:r>
        <w:t>6. Gestão de risco como controle interno</w:t>
      </w:r>
    </w:p>
    <w:p>
      <w:pPr>
        <w:spacing w:before="0" w:after="160"/>
      </w:pPr>
      <w:r>
        <w:rPr>
          <w:rFonts w:ascii="Cambria" w:hAnsi="Cambria"/>
          <w:b w:val="0"/>
          <w:i w:val="0"/>
          <w:color w:val="121212"/>
          <w:sz w:val="26"/>
        </w:rPr>
        <w:t>Cada linha de defesa precisa de um curso diferente.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84848"/>
          <w:sz w:val="21"/>
        </w:rPr>
        <w:t>O modelo de três linhas de defesa, previsto no art. 169 da Lei n.º 14.133/2021, organiza quem executa, quem orienta e quem audita. O portfólio foi desenhado para alimentar as três, e é isso que distingue os dois cursos em destaque.</w:t>
      </w:r>
    </w:p>
    <w:p>
      <w:pPr>
        <w:pStyle w:val="Heading2"/>
      </w:pPr>
      <w:r>
        <w:t>Primeira linha. Quem executa</w:t>
      </w:r>
    </w:p>
    <w:p>
      <w:pPr>
        <w:spacing w:before="0" w:after="80"/>
      </w:pPr>
      <w:r>
        <w:rPr>
          <w:rFonts w:ascii="Cambria" w:hAnsi="Cambria"/>
          <w:b w:val="0"/>
          <w:i w:val="0"/>
          <w:color w:val="B45309"/>
          <w:sz w:val="23"/>
        </w:rPr>
        <w:t>Quem usa a IA no ato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84848"/>
          <w:sz w:val="20"/>
        </w:rPr>
        <w:t>Servidores de varas e gabinetes e servidores dos núcleos administrativos. São eles que decidem, diante da tela, o que submeter à ferramenta e o que conferir antes de assinar.</w:t>
      </w:r>
    </w:p>
    <w:p>
      <w:pPr>
        <w:spacing w:before="0" w:after="60"/>
      </w:pPr>
      <w:r>
        <w:rPr>
          <w:rFonts w:ascii="Calibri" w:hAnsi="Calibri"/>
          <w:b/>
          <w:i w:val="0"/>
          <w:color w:val="767676"/>
          <w:sz w:val="17"/>
        </w:rPr>
        <w:t>Controles nesta linha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Triagem do que pode ir para a IA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Anonimização antes do envio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Validação do resultado em fonte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Checklist de supervisão humana</w:t>
      </w:r>
    </w:p>
    <w:p>
      <w:pPr>
        <w:spacing w:before="120" w:after="60"/>
      </w:pPr>
      <w:r>
        <w:rPr>
          <w:rFonts w:ascii="Calibri" w:hAnsi="Calibri"/>
          <w:b/>
          <w:i w:val="0"/>
          <w:color w:val="767676"/>
          <w:sz w:val="17"/>
        </w:rPr>
        <w:t>Formada por</w:t>
      </w:r>
    </w:p>
    <w:p>
      <w:pPr>
        <w:spacing w:before="0" w:after="40"/>
      </w:pPr>
      <w:r>
        <w:rPr>
          <w:rFonts w:ascii="Calibri" w:hAnsi="Calibri"/>
          <w:b/>
          <w:i w:val="0"/>
          <w:color w:val="121212"/>
          <w:sz w:val="20"/>
        </w:rPr>
        <w:t xml:space="preserve">Servidor + IA. </w:t>
      </w:r>
      <w:r>
        <w:rPr>
          <w:rFonts w:ascii="Calibri" w:hAnsi="Calibri"/>
          <w:b w:val="0"/>
          <w:i w:val="0"/>
          <w:color w:val="B45309"/>
          <w:sz w:val="18"/>
        </w:rPr>
        <w:t>24h · online ao vivo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84848"/>
          <w:sz w:val="19"/>
        </w:rPr>
        <w:t>Forma a competência de conferir: alucinação, validação em fonte, checklist de supervisão e projeto com medição do antes e do depois.</w:t>
      </w:r>
    </w:p>
    <w:p>
      <w:pPr>
        <w:spacing w:before="0" w:after="40"/>
      </w:pPr>
      <w:r>
        <w:rPr>
          <w:rFonts w:ascii="Calibri" w:hAnsi="Calibri"/>
          <w:b/>
          <w:i w:val="0"/>
          <w:color w:val="121212"/>
          <w:sz w:val="20"/>
        </w:rPr>
        <w:t xml:space="preserve">Oficina Prompt Lab. </w:t>
      </w:r>
      <w:r>
        <w:rPr>
          <w:rFonts w:ascii="Calibri" w:hAnsi="Calibri"/>
          <w:b w:val="0"/>
          <w:i w:val="0"/>
          <w:color w:val="B45309"/>
          <w:sz w:val="18"/>
        </w:rPr>
        <w:t>3h por edição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84848"/>
          <w:sz w:val="19"/>
        </w:rPr>
        <w:t>Porta de entrada mensal, com anonimização e limites de confiança praticados em laboratório.</w:t>
      </w:r>
    </w:p>
    <w:p>
      <w:pPr>
        <w:pStyle w:val="Heading2"/>
      </w:pPr>
      <w:r>
        <w:t>Segunda linha. Quem orienta e monitora</w:t>
      </w:r>
    </w:p>
    <w:p>
      <w:pPr>
        <w:spacing w:before="0" w:after="80"/>
      </w:pPr>
      <w:r>
        <w:rPr>
          <w:rFonts w:ascii="Cambria" w:hAnsi="Cambria"/>
          <w:b w:val="0"/>
          <w:i w:val="0"/>
          <w:color w:val="B45309"/>
          <w:sz w:val="23"/>
        </w:rPr>
        <w:t>Quem define a regra e acompanha o cumprimento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84848"/>
          <w:sz w:val="20"/>
        </w:rPr>
        <w:t>Assessoramento jurídico, controle interno, governança e integridade e a área de tecnologia, a quem cabe manter o inventário de soluções em uso e classificar o risco de cada uma.</w:t>
      </w:r>
    </w:p>
    <w:p>
      <w:pPr>
        <w:spacing w:before="0" w:after="60"/>
      </w:pPr>
      <w:r>
        <w:rPr>
          <w:rFonts w:ascii="Calibri" w:hAnsi="Calibri"/>
          <w:b/>
          <w:i w:val="0"/>
          <w:color w:val="767676"/>
          <w:sz w:val="17"/>
        </w:rPr>
        <w:t>Controles nesta linha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Inventário de soluções em uso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Classificação por grau de risco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Registro no Sinapses do CNJ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Verificação de conformidade normativa</w:t>
      </w:r>
    </w:p>
    <w:p>
      <w:pPr>
        <w:spacing w:before="120" w:after="60"/>
      </w:pPr>
      <w:r>
        <w:rPr>
          <w:rFonts w:ascii="Calibri" w:hAnsi="Calibri"/>
          <w:b/>
          <w:i w:val="0"/>
          <w:color w:val="767676"/>
          <w:sz w:val="17"/>
        </w:rPr>
        <w:t>Formada por</w:t>
      </w:r>
    </w:p>
    <w:p>
      <w:pPr>
        <w:spacing w:before="0" w:after="40"/>
      </w:pPr>
      <w:r>
        <w:rPr>
          <w:rFonts w:ascii="Calibri" w:hAnsi="Calibri"/>
          <w:b/>
          <w:i w:val="0"/>
          <w:color w:val="121212"/>
          <w:sz w:val="20"/>
        </w:rPr>
        <w:t xml:space="preserve">Transformação Administrativa com IA. </w:t>
      </w:r>
      <w:r>
        <w:rPr>
          <w:rFonts w:ascii="Calibri" w:hAnsi="Calibri"/>
          <w:b w:val="0"/>
          <w:i w:val="0"/>
          <w:color w:val="B45309"/>
          <w:sz w:val="18"/>
        </w:rPr>
        <w:t>5,5h por unidade, dentro das 56h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84848"/>
          <w:sz w:val="19"/>
        </w:rPr>
        <w:t>Módulos próprios para governança e integridade e para a assessoria jurídica: análise de conformidade normativa, indicadores institucionais e verificação de atos frente às normas vigentes.</w:t>
      </w:r>
    </w:p>
    <w:p>
      <w:pPr>
        <w:spacing w:before="0" w:after="40"/>
      </w:pPr>
      <w:r>
        <w:rPr>
          <w:rFonts w:ascii="Calibri" w:hAnsi="Calibri"/>
          <w:b/>
          <w:i w:val="0"/>
          <w:color w:val="121212"/>
          <w:sz w:val="20"/>
        </w:rPr>
        <w:t xml:space="preserve">Servidor + Dados. </w:t>
      </w:r>
      <w:r>
        <w:rPr>
          <w:rFonts w:ascii="Calibri" w:hAnsi="Calibri"/>
          <w:b w:val="0"/>
          <w:i w:val="0"/>
          <w:color w:val="B45309"/>
          <w:sz w:val="18"/>
        </w:rPr>
        <w:t>16h · 5 módulos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84848"/>
          <w:sz w:val="19"/>
        </w:rPr>
        <w:t>Proteção de dados aplicada e o protocolo de resposta a incidente, exercitado em formato de mesa.</w:t>
      </w:r>
    </w:p>
    <w:p>
      <w:pPr>
        <w:pStyle w:val="Heading2"/>
      </w:pPr>
      <w:r>
        <w:t>Terceira linha. Quem audita</w:t>
      </w:r>
    </w:p>
    <w:p>
      <w:pPr>
        <w:spacing w:before="0" w:after="80"/>
      </w:pPr>
      <w:r>
        <w:rPr>
          <w:rFonts w:ascii="Cambria" w:hAnsi="Cambria"/>
          <w:b w:val="0"/>
          <w:i w:val="0"/>
          <w:color w:val="B45309"/>
          <w:sz w:val="23"/>
        </w:rPr>
        <w:t>Quem verifica se o controle funcionou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84848"/>
          <w:sz w:val="20"/>
        </w:rPr>
        <w:t>A auditoria interna e, externamente, os órgãos de controle. Auditar uso de IA exige competência específica: é preciso saber o que procurar num acervo que foi, ele próprio, produzido com apoio de IA.</w:t>
      </w:r>
    </w:p>
    <w:p>
      <w:pPr>
        <w:spacing w:before="0" w:after="60"/>
      </w:pPr>
      <w:r>
        <w:rPr>
          <w:rFonts w:ascii="Calibri" w:hAnsi="Calibri"/>
          <w:b/>
          <w:i w:val="0"/>
          <w:color w:val="767676"/>
          <w:sz w:val="17"/>
        </w:rPr>
        <w:t>Controles nesta linha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Verificação amostral da supervisão humana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Detecção de anomalias em documentos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Estruturação de evidências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484848"/>
          <w:sz w:val="19"/>
        </w:rPr>
        <w:t>Análise de incidentes</w:t>
      </w:r>
    </w:p>
    <w:p>
      <w:pPr>
        <w:spacing w:before="120" w:after="60"/>
      </w:pPr>
      <w:r>
        <w:rPr>
          <w:rFonts w:ascii="Calibri" w:hAnsi="Calibri"/>
          <w:b/>
          <w:i w:val="0"/>
          <w:color w:val="767676"/>
          <w:sz w:val="17"/>
        </w:rPr>
        <w:t>Formada por</w:t>
      </w:r>
    </w:p>
    <w:p>
      <w:pPr>
        <w:spacing w:before="0" w:after="40"/>
      </w:pPr>
      <w:r>
        <w:rPr>
          <w:rFonts w:ascii="Calibri" w:hAnsi="Calibri"/>
          <w:b/>
          <w:i w:val="0"/>
          <w:color w:val="121212"/>
          <w:sz w:val="20"/>
        </w:rPr>
        <w:t xml:space="preserve">Transformação Administrativa com IA. </w:t>
      </w:r>
      <w:r>
        <w:rPr>
          <w:rFonts w:ascii="Calibri" w:hAnsi="Calibri"/>
          <w:b w:val="0"/>
          <w:i w:val="0"/>
          <w:color w:val="B45309"/>
          <w:sz w:val="18"/>
        </w:rPr>
        <w:t>5,5h, dentro das 56h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84848"/>
          <w:sz w:val="19"/>
        </w:rPr>
        <w:t>O módulo da auditoria interna é o único do portfólio escrito para o ato de auditar: detecção de anomalias, checklists dinâmicos de conformidade, estruturação de evidências e documentação sistemática de achados.</w:t>
      </w:r>
    </w:p>
    <w:p>
      <w:pPr>
        <w:sectPr>
          <w:pgSz w:w="11906" w:h="16838"/>
          <w:pgMar w:top="1417" w:right="1474" w:bottom="1247" w:left="1474" w:header="720" w:footer="720" w:gutter="0"/>
          <w:cols w:space="720"/>
          <w:docGrid w:linePitch="360"/>
        </w:sectPr>
      </w:pPr>
    </w:p>
    <w:p>
      <w:pPr>
        <w:pStyle w:val="Heading1"/>
      </w:pPr>
      <w:r>
        <w:t>7. Quadro comparativo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742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CAPACITAÇÃO</w:t>
            </w:r>
          </w:p>
        </w:tc>
        <w:tc>
          <w:tcPr>
            <w:tcW w:type="dxa" w:w="2721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CARGA</w:t>
            </w:r>
          </w:p>
        </w:tc>
        <w:tc>
          <w:tcPr>
            <w:tcW w:type="dxa" w:w="2835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MODALIDADE</w:t>
            </w:r>
          </w:p>
        </w:tc>
        <w:tc>
          <w:tcPr>
            <w:tcW w:type="dxa" w:w="3572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PÚBLICO</w:t>
            </w:r>
          </w:p>
        </w:tc>
        <w:tc>
          <w:tcPr>
            <w:tcW w:type="dxa" w:w="1701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LINHA DE DEFESA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Transformação Administrativa com IA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56h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Presencial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Nove unidades administrativas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2.ª e 3.ª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Servidor + IA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24h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Online ao vivo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Área-fim: varas, turmas e gabinetes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1.ª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6100"/>
                <w:sz w:val="18"/>
              </w:rPr>
              <w:t>Oficina Prompt Lab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3h por edição, 24h na série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Presencial, em laboratório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Área-fim e área-meio, alternadas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1.ª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6100"/>
                <w:sz w:val="18"/>
              </w:rPr>
              <w:t>Servidor + Dados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16h, 5 módulos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A definir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Todos os servidores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1.ª e 2.ª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8A6100"/>
                <w:sz w:val="18"/>
              </w:rPr>
              <w:t>Programa de Multiplicadores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8 a 12h adicionais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Presencial e mentoria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Servidores já certificados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Transversal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8. Base normativa e corpo docente</w:t>
      </w:r>
    </w:p>
    <w:p>
      <w:pPr>
        <w:pStyle w:val="Heading2"/>
      </w:pPr>
      <w:r>
        <w:t>Base normativa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948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NORMA</w:t>
            </w:r>
          </w:p>
        </w:tc>
        <w:tc>
          <w:tcPr>
            <w:tcW w:type="dxa" w:w="6009"/>
            <w:shd w:val="clear" w:fill="F2F2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444444"/>
                <w:sz w:val="16"/>
              </w:rPr>
              <w:t>APLICAÇÃO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Resolução CNJ n.º 615/2025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Diretrizes para desenvolvimento, utilização e governança de soluções de IA no Poder Judiciário. Base comum de todo o portfólio.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Lei n.º 13.709/2018 (LGPD)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Tratamento de dados pessoais, com aplicação direta na anonimização praticada nos cursos.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Lei n.º 14.133/2021, art. 169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Modelo de três linhas de defesa na administração pública, que organiza a seção 6.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Resoluções CNJ n.º 308 e 309/2020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Auditoria interna do Poder Judiciário, competência da terceira linha de defesa.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Resolução CD/ANPD n.º 15/2024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Comunicação de incidente de segurança envolvendo dados pessoais.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18"/>
              </w:rPr>
              <w:t>Portaria DF n.º 161/2025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84848"/>
                <w:sz w:val="18"/>
              </w:rPr>
              <w:t>Criação e competências do INOVAJUS na Justiça Federal no Ceará.</w:t>
            </w:r>
          </w:p>
        </w:tc>
      </w:tr>
    </w:tbl>
    <w:p>
      <w:pPr>
        <w:pStyle w:val="Heading2"/>
      </w:pPr>
      <w:r>
        <w:t>Corpo docente</w:t>
      </w:r>
    </w:p>
    <w:p>
      <w:pPr>
        <w:spacing w:before="160" w:after="20"/>
      </w:pPr>
      <w:r>
        <w:rPr>
          <w:rFonts w:ascii="Cambria" w:hAnsi="Cambria"/>
          <w:b/>
          <w:i w:val="0"/>
          <w:color w:val="121212"/>
          <w:sz w:val="24"/>
        </w:rPr>
        <w:t>Victor César Falcão Viana</w:t>
      </w:r>
    </w:p>
    <w:p>
      <w:pPr>
        <w:spacing w:before="0" w:after="60"/>
      </w:pPr>
      <w:r>
        <w:rPr>
          <w:rFonts w:ascii="Calibri" w:hAnsi="Calibri"/>
          <w:b/>
          <w:i w:val="0"/>
          <w:color w:val="B45309"/>
          <w:sz w:val="17"/>
        </w:rPr>
        <w:t>Coordenação do Eixo III · Docente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84848"/>
          <w:sz w:val="19"/>
        </w:rPr>
        <w:t>Servidor da Justiça Federal no Ceará e Diretor de Secretaria da 3.ª Vara Federal. Especialista em Direito Constitucional, em Processo Civil e em Gestão de Pessoas na Justiça Federal. Estudioso da transformação digital e da IA aplicada à Administração Pública.</w:t>
      </w:r>
    </w:p>
    <w:p>
      <w:pPr>
        <w:spacing w:before="160" w:after="20"/>
      </w:pPr>
      <w:r>
        <w:rPr>
          <w:rFonts w:ascii="Cambria" w:hAnsi="Cambria"/>
          <w:b/>
          <w:i w:val="0"/>
          <w:color w:val="121212"/>
          <w:sz w:val="24"/>
        </w:rPr>
        <w:t>Vinícius Sousa e Silva</w:t>
      </w:r>
    </w:p>
    <w:p>
      <w:pPr>
        <w:spacing w:before="0" w:after="60"/>
      </w:pPr>
      <w:r>
        <w:rPr>
          <w:rFonts w:ascii="Calibri" w:hAnsi="Calibri"/>
          <w:b/>
          <w:i w:val="0"/>
          <w:color w:val="B45309"/>
          <w:sz w:val="17"/>
        </w:rPr>
        <w:t>Docente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84848"/>
          <w:sz w:val="19"/>
        </w:rPr>
        <w:t>Servidor da Justiça Federal no Ceará. Especialista em Direito Público, em Direito e Gestão do Judiciário e em Tecnologia da Informação. Estudioso da automação, da inovação e das tecnologias aplicadas.</w:t>
      </w:r>
    </w:p>
    <w:p>
      <w:pPr>
        <w:spacing w:before="480" w:after="120"/>
      </w:pPr>
      <w:r>
        <w:rPr>
          <w:rFonts w:ascii="Calibri" w:hAnsi="Calibri"/>
          <w:b w:val="0"/>
          <w:i/>
          <w:color w:val="767676"/>
          <w:sz w:val="17"/>
        </w:rPr>
        <w:t>INOVAJUS, Laboratório de Inovação da Justiça Federal no Ceará · Portfólio de capacitações 2026.</w:t>
      </w:r>
    </w:p>
    <w:sectPr w:rsidR="00FC693F" w:rsidRPr="0006063C" w:rsidSect="00034616">
      <w:pgSz w:w="11906" w:h="16838"/>
      <w:pgMar w:top="141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212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60"/>
      <w:outlineLvl w:val="0"/>
    </w:pPr>
    <w:rPr>
      <w:rFonts w:asciiTheme="majorHAnsi" w:eastAsiaTheme="majorEastAsia" w:hAnsiTheme="majorHAnsi" w:cstheme="majorBidi" w:ascii="Cambria" w:hAnsi="Cambria"/>
      <w:b w:val="0"/>
      <w:bCs/>
      <w:color w:val="12121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mbria" w:hAnsi="Cambria"/>
      <w:b w:val="0"/>
      <w:bCs/>
      <w:color w:val="12121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121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