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4622" w:rsidRPr="00CB4622" w:rsidRDefault="00CB4622" w:rsidP="00CB4622">
      <w:pPr>
        <w:jc w:val="center"/>
        <w:rPr>
          <w:rStyle w:val="Strong"/>
          <w:u w:val="single"/>
        </w:rPr>
      </w:pPr>
      <w:r w:rsidRPr="00CB4622">
        <w:rPr>
          <w:rStyle w:val="Strong"/>
          <w:u w:val="single"/>
        </w:rPr>
        <w:t>Excel VBA billing system</w:t>
      </w:r>
    </w:p>
    <w:p w:rsidR="0095080D" w:rsidRDefault="00CB4622">
      <w:r>
        <w:rPr>
          <w:rStyle w:val="Strong"/>
        </w:rPr>
        <w:t xml:space="preserve">An </w:t>
      </w:r>
      <w:r>
        <w:rPr>
          <w:rStyle w:val="Strong"/>
        </w:rPr>
        <w:t>Excel VBA billing system</w:t>
      </w:r>
      <w:r>
        <w:t xml:space="preserve"> that generates invoices, receipts, and ETR-style receipts compliant with Kenya, USA, UK, and other jurisdictions, the system must be structured as a scalable, modular financial application rather than a simple spreadsheet with macros.</w:t>
      </w:r>
    </w:p>
    <w:p w:rsidR="00CB4622" w:rsidRDefault="00CB4622">
      <w:r w:rsidRPr="00CB4622">
        <w:t>Core worksheets include a centralized customer database, a product or service catalog, transaction logs, settings and configuration parameters, and clean, print-ready templates for invoices and receipts. The templates function as presentation layers, while the logic resides in VBA modules that control numbering, calculations, validation, document generation, and export functionality.</w:t>
      </w:r>
    </w:p>
    <w:p w:rsidR="00CB4622" w:rsidRDefault="00CB4622" w:rsidP="00CB4622">
      <w:pPr>
        <w:pStyle w:val="NormalWeb"/>
      </w:pPr>
      <w:r>
        <w:t>The invoice module should allow users to select a customer from a validated dropdown list linked to the customer database. Once selected, customer details such as billing address, tax identification number, and contact information populate automatically. Line items are selected from a predefined product database to ensure pricing consistency and eliminate manual entry errors. Quantities, unit prices, tax rates, and discounts are calculated dynamically, with subtotals, tax breakdowns, and grand totals updating in real time.</w:t>
      </w:r>
    </w:p>
    <w:p w:rsidR="00CB4622" w:rsidRDefault="00CB4622" w:rsidP="00CB4622">
      <w:pPr>
        <w:pStyle w:val="NormalWeb"/>
      </w:pPr>
      <w:r>
        <w:t xml:space="preserve">For jurisdictional compliance, the system must support configurable tax structures. In Kenya, this includes VAT computation, PIN display, and structured ETR-style formatting similar to fiscal device outputs. In the USA, the system may support state-level sales tax variation, while in the UK it must support VAT invoice formatting standards. A settings sheet should store tax rates, company registration numbers, VAT numbers, currency symbols, and regulatory formatting preferences. </w:t>
      </w:r>
    </w:p>
    <w:p w:rsidR="00CB4622" w:rsidRDefault="00CB4622">
      <w:r>
        <w:t>Auto-numbering is managed centrally. Each document type—invoice, receipt, and ETR-style receipt—draws from a counter stored in the settings sheet. When a document is generated, VBA increments the counter automatically and formats the number using structured conventions such as INV-2026-0001 or RCPT-2026-0001. This prevents duplication and ensures audit traceability.</w:t>
      </w:r>
    </w:p>
    <w:p w:rsidR="00CB4622" w:rsidRPr="00CB4622" w:rsidRDefault="00CB4622" w:rsidP="00CB4622">
      <w:r w:rsidRPr="00CB4622">
        <w:t>Receipt generation is linked to payment tracking. When a payment is recorded against an invoice, the system updates the transaction ledger and generates a corresponding receipt. Partial payments are supported by calculating outstanding balances and maintaining a running payment history. This transforms the system from a simple billing tool into a lightweight accounts receivable manager.</w:t>
      </w:r>
    </w:p>
    <w:p w:rsidR="00CB4622" w:rsidRPr="00CB4622" w:rsidRDefault="00CB4622" w:rsidP="00CB4622">
      <w:r w:rsidRPr="00CB4622">
        <w:t>ETR-style receipts require a thermal-format layout that includes company details, tax identification numbers, date and time stamp, itemized listing, tax breakdown, total paid, payment mode, and a compliance footer. The template should be narrow-format compatible and optimized for 80mm printing dimensions. A heated-lid-style formatting equivalent in Excel ensures tight margins and precise alignment for thermal printing.</w:t>
      </w:r>
    </w:p>
    <w:p w:rsidR="00CB4622" w:rsidRPr="00CB4622" w:rsidRDefault="00CB4622" w:rsidP="00CB4622">
      <w:r w:rsidRPr="00CB4622">
        <w:lastRenderedPageBreak/>
        <w:t xml:space="preserve">PDF export functionality is handled through VBA’s </w:t>
      </w:r>
      <w:proofErr w:type="spellStart"/>
      <w:r w:rsidRPr="00CB4622">
        <w:t>ExportAsFixedFormat</w:t>
      </w:r>
      <w:proofErr w:type="spellEnd"/>
      <w:r w:rsidRPr="00CB4622">
        <w:t xml:space="preserve"> method. When a document is finalized, the system automatically generates a PDF file and saves it into categorized folders such as “Invoices,” “Receipts,” or “ETR Receipts.” File names incorporate document numbers for structured archiving. This ensures digital record retention and simplifies email distribution.</w:t>
      </w:r>
    </w:p>
    <w:p w:rsidR="00CB4622" w:rsidRDefault="00CB4622" w:rsidP="00CB4622">
      <w:pPr>
        <w:pStyle w:val="NormalWeb"/>
      </w:pPr>
      <w:r>
        <w:t>The customer database acts as a relational backbone. Each customer record includes unique ID, company name, tax ID, billing address, contact details, credit terms, and transaction history linkage. This enables real-time balance tracking and supports reporting features such as aging analysis or revenue summaries.</w:t>
      </w:r>
    </w:p>
    <w:p w:rsidR="00CB4622" w:rsidRDefault="00CB4622" w:rsidP="00CB4622">
      <w:pPr>
        <w:pStyle w:val="NormalWeb"/>
      </w:pPr>
      <w:r>
        <w:t>Payment tracking is implemented through a transaction ledger sheet that records invoice number, customer ID, date issued, total amount, amount paid, balance, payment mode, and payment reference. VBA routines update this ledger whenever payments are entered. This allows dashboards to display total revenue, outstanding balances, tax liabilities, and monthly performance metrics.</w:t>
      </w:r>
    </w:p>
    <w:p w:rsidR="00CB4622" w:rsidRDefault="00CB4622" w:rsidP="00CB4622">
      <w:pPr>
        <w:pStyle w:val="NormalWeb"/>
      </w:pPr>
      <w:r>
        <w:t>Security is essential in a professional system. Critical sheets such as settings and transaction logs should be protected. VBA code should be password-protected. Formula cells must be locked to prevent accidental alteration. Optional features include user login authentication and role-based access control to restrict editing permissions.</w:t>
      </w:r>
    </w:p>
    <w:p w:rsidR="00CB4622" w:rsidRDefault="00CB4622" w:rsidP="00CB4622">
      <w:pPr>
        <w:pStyle w:val="NormalWeb"/>
      </w:pPr>
      <w:r>
        <w:t>At an enterprise-ready level, the system can include automated monthly tax summaries, VAT reports, bank reconciliation worksheets, QR codes on receipts, and integration fields for digital payment references such as M-Pesa, card transactions, or bank transfers.</w:t>
      </w:r>
    </w:p>
    <w:p w:rsidR="00CB4622" w:rsidRDefault="00CB4622" w:rsidP="00CB4622">
      <w:pPr>
        <w:pStyle w:val="NormalWeb"/>
      </w:pPr>
      <w:r>
        <w:t>When fully implemented, this Excel VBA billing system functions as a lightweight accounting engine capable of generating compliant invoices, issuing receipts, tracking payments, exporting secure PDFs, and maintaining structured financial records across multiple jurisdictions. It combines the accessibility of Excel with the logic automation of VBA to deliver a scalable, professional billing solution suitable for SMEs, consultants, and institutional environments.</w:t>
      </w:r>
    </w:p>
    <w:p w:rsidR="00CB4622" w:rsidRPr="00CB4622" w:rsidRDefault="00CB4622" w:rsidP="00CB4622">
      <w:r w:rsidRPr="00CB4622">
        <w:lastRenderedPageBreak/>
        <w:drawing>
          <wp:inline distT="0" distB="0" distL="0" distR="0">
            <wp:extent cx="5943600" cy="3962400"/>
            <wp:effectExtent l="0" t="0" r="0" b="0"/>
            <wp:docPr id="98961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CB4622" w:rsidRDefault="00CB4622"/>
    <w:p w:rsidR="00CB4622" w:rsidRDefault="00CB4622"/>
    <w:sectPr w:rsidR="00CB4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22"/>
    <w:rsid w:val="001326CE"/>
    <w:rsid w:val="001939F7"/>
    <w:rsid w:val="00223186"/>
    <w:rsid w:val="002E445A"/>
    <w:rsid w:val="003A2EF2"/>
    <w:rsid w:val="00423C35"/>
    <w:rsid w:val="005B25D5"/>
    <w:rsid w:val="006A18D6"/>
    <w:rsid w:val="00766561"/>
    <w:rsid w:val="00913304"/>
    <w:rsid w:val="0095080D"/>
    <w:rsid w:val="00CB4622"/>
    <w:rsid w:val="00F3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E450"/>
  <w15:chartTrackingRefBased/>
  <w15:docId w15:val="{5060CC80-B9BD-46C3-8BE4-DC61BDC5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22"/>
    <w:rPr>
      <w:rFonts w:eastAsiaTheme="majorEastAsia" w:cstheme="majorBidi"/>
      <w:color w:val="272727" w:themeColor="text1" w:themeTint="D8"/>
    </w:rPr>
  </w:style>
  <w:style w:type="paragraph" w:styleId="Title">
    <w:name w:val="Title"/>
    <w:basedOn w:val="Normal"/>
    <w:next w:val="Normal"/>
    <w:link w:val="TitleChar"/>
    <w:uiPriority w:val="10"/>
    <w:qFormat/>
    <w:rsid w:val="00CB4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22"/>
    <w:pPr>
      <w:spacing w:before="160"/>
      <w:jc w:val="center"/>
    </w:pPr>
    <w:rPr>
      <w:i/>
      <w:iCs/>
      <w:color w:val="404040" w:themeColor="text1" w:themeTint="BF"/>
    </w:rPr>
  </w:style>
  <w:style w:type="character" w:customStyle="1" w:styleId="QuoteChar">
    <w:name w:val="Quote Char"/>
    <w:basedOn w:val="DefaultParagraphFont"/>
    <w:link w:val="Quote"/>
    <w:uiPriority w:val="29"/>
    <w:rsid w:val="00CB4622"/>
    <w:rPr>
      <w:i/>
      <w:iCs/>
      <w:color w:val="404040" w:themeColor="text1" w:themeTint="BF"/>
    </w:rPr>
  </w:style>
  <w:style w:type="paragraph" w:styleId="ListParagraph">
    <w:name w:val="List Paragraph"/>
    <w:basedOn w:val="Normal"/>
    <w:uiPriority w:val="34"/>
    <w:qFormat/>
    <w:rsid w:val="00CB4622"/>
    <w:pPr>
      <w:ind w:left="720"/>
      <w:contextualSpacing/>
    </w:pPr>
  </w:style>
  <w:style w:type="character" w:styleId="IntenseEmphasis">
    <w:name w:val="Intense Emphasis"/>
    <w:basedOn w:val="DefaultParagraphFont"/>
    <w:uiPriority w:val="21"/>
    <w:qFormat/>
    <w:rsid w:val="00CB4622"/>
    <w:rPr>
      <w:i/>
      <w:iCs/>
      <w:color w:val="2F5496" w:themeColor="accent1" w:themeShade="BF"/>
    </w:rPr>
  </w:style>
  <w:style w:type="paragraph" w:styleId="IntenseQuote">
    <w:name w:val="Intense Quote"/>
    <w:basedOn w:val="Normal"/>
    <w:next w:val="Normal"/>
    <w:link w:val="IntenseQuoteChar"/>
    <w:uiPriority w:val="30"/>
    <w:qFormat/>
    <w:rsid w:val="00CB4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622"/>
    <w:rPr>
      <w:i/>
      <w:iCs/>
      <w:color w:val="2F5496" w:themeColor="accent1" w:themeShade="BF"/>
    </w:rPr>
  </w:style>
  <w:style w:type="character" w:styleId="IntenseReference">
    <w:name w:val="Intense Reference"/>
    <w:basedOn w:val="DefaultParagraphFont"/>
    <w:uiPriority w:val="32"/>
    <w:qFormat/>
    <w:rsid w:val="00CB4622"/>
    <w:rPr>
      <w:b/>
      <w:bCs/>
      <w:smallCaps/>
      <w:color w:val="2F5496" w:themeColor="accent1" w:themeShade="BF"/>
      <w:spacing w:val="5"/>
    </w:rPr>
  </w:style>
  <w:style w:type="character" w:styleId="Strong">
    <w:name w:val="Strong"/>
    <w:basedOn w:val="DefaultParagraphFont"/>
    <w:uiPriority w:val="22"/>
    <w:qFormat/>
    <w:rsid w:val="00CB4622"/>
    <w:rPr>
      <w:b/>
      <w:bCs/>
    </w:rPr>
  </w:style>
  <w:style w:type="paragraph" w:styleId="NormalWeb">
    <w:name w:val="Normal (Web)"/>
    <w:basedOn w:val="Normal"/>
    <w:uiPriority w:val="99"/>
    <w:semiHidden/>
    <w:unhideWhenUsed/>
    <w:rsid w:val="00CB46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2026-02-12T06:37:00Z</dcterms:created>
  <dcterms:modified xsi:type="dcterms:W3CDTF">2026-02-12T06:46:00Z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a42ce7ac-8cc9-407c-8936-351bbfbc1fef</vt:lpwstr>
  </property>
</Properties>
</file>