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82353"/>
          <w:sz w:val="44"/>
        </w:rPr>
        <w:t>Creative Performance Library</w:t>
      </w:r>
    </w:p>
    <w:p>
      <w:pPr>
        <w:jc w:val="center"/>
      </w:pPr>
      <w:r>
        <w:rPr>
          <w:b/>
          <w:color w:val="555F6E"/>
          <w:sz w:val="24"/>
        </w:rPr>
        <w:t>Phase 0 Decision Sheet - Inside Success TV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5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Purpose</w:t>
            </w:r>
          </w:p>
        </w:tc>
        <w:tc>
          <w:tcPr>
            <w:tcW w:type="dxa" w:w="3024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Lock required decisions before technical build begins</w:t>
            </w:r>
          </w:p>
        </w:tc>
        <w:tc>
          <w:tcPr>
            <w:tcW w:type="dxa" w:w="1655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Status</w:t>
            </w:r>
          </w:p>
        </w:tc>
        <w:tc>
          <w:tcPr>
            <w:tcW w:type="dxa" w:w="3024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Required before Phase 1</w:t>
            </w:r>
          </w:p>
        </w:tc>
      </w:tr>
      <w:tr>
        <w:tc>
          <w:tcPr>
            <w:tcW w:type="dxa" w:w="1655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Prepared for</w:t>
            </w:r>
          </w:p>
        </w:tc>
        <w:tc>
          <w:tcPr>
            <w:tcW w:type="dxa" w:w="3024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Shipping Department / IT / Dev Team</w:t>
            </w:r>
          </w:p>
        </w:tc>
        <w:tc>
          <w:tcPr>
            <w:tcW w:type="dxa" w:w="1655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Prepared by</w:t>
            </w:r>
          </w:p>
        </w:tc>
        <w:tc>
          <w:tcPr>
            <w:tcW w:type="dxa" w:w="3024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Usman / Media Buying Team</w:t>
            </w:r>
          </w:p>
        </w:tc>
      </w:tr>
      <w:tr>
        <w:tc>
          <w:tcPr>
            <w:tcW w:type="dxa" w:w="1655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Date</w:t>
            </w:r>
          </w:p>
        </w:tc>
        <w:tc>
          <w:tcPr>
            <w:tcW w:type="dxa" w:w="3024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August ___, 2026</w:t>
            </w:r>
          </w:p>
        </w:tc>
        <w:tc>
          <w:tcPr>
            <w:tcW w:type="dxa" w:w="1655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Project owner</w:t>
            </w:r>
          </w:p>
        </w:tc>
        <w:tc>
          <w:tcPr>
            <w:tcW w:type="dxa" w:w="3024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936"/>
            <w:tcBorders>
              <w:top w:val="single" w:sz="6" w:space="0" w:color="9BB7D5"/>
              <w:left w:val="single" w:sz="6" w:space="0" w:color="9BB7D5"/>
              <w:bottom w:val="single" w:sz="6" w:space="0" w:color="9BB7D5"/>
              <w:right w:val="single" w:sz="6" w:space="0" w:color="9BB7D5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E8F1FB"/>
          </w:tcPr>
          <w:p>
            <w:pPr>
              <w:spacing w:after="0"/>
            </w:pPr>
            <w:r>
              <w:rPr>
                <w:b/>
                <w:color w:val="082353"/>
                <w:sz w:val="19"/>
              </w:rPr>
              <w:t xml:space="preserve">Instructions: </w:t>
            </w:r>
            <w:r>
              <w:rPr>
                <w:color w:val="141F33"/>
                <w:sz w:val="19"/>
              </w:rPr>
              <w:t>Shipping / IT should select one option per section, add notes where needed, assign an owner, and sign off. No build work should proceed until all six sections are completed.</w:t>
            </w:r>
          </w:p>
        </w:tc>
      </w:tr>
    </w:tbl>
    <w:p>
      <w:pPr>
        <w:pStyle w:val="Heading2"/>
      </w:pPr>
      <w:r>
        <w:t>1. Backend Meta Authentication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Decision needed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How should the tool authenticate with the Meta Marketing API?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Options</w:t>
            </w:r>
          </w:p>
        </w:tc>
        <w:tc>
          <w:tcPr>
            <w:tcW w:type="dxa" w:w="5112"/>
            <w:shd w:fill="FFFFFF"/>
          </w:tcPr>
          <w:p>
            <w:pPr>
              <w:spacing w:after="20"/>
            </w:pPr>
            <w:r>
              <w:rPr>
                <w:color w:val="141F33"/>
                <w:sz w:val="18"/>
              </w:rPr>
              <w:t>[ ] Shared system-user token for the tool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Individual user logins / permissions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Other: 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Recommended default</w:t>
            </w:r>
          </w:p>
        </w:tc>
        <w:tc>
          <w:tcPr>
            <w:tcW w:type="dxa" w:w="5112"/>
            <w:shd w:fill="E9F7EF"/>
          </w:tcPr>
          <w:p>
            <w:r>
              <w:rPr>
                <w:b w:val="0"/>
                <w:color w:val="141F33"/>
                <w:sz w:val="18"/>
              </w:rPr>
              <w:t>Shared system-user token, if IT approves security and audit implications.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Final decision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Notes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Owner / signer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Owner: __________________________    Signed off by: __________________________    Date: ____________</w:t>
            </w:r>
          </w:p>
        </w:tc>
      </w:tr>
    </w:tbl>
    <w:p>
      <w:pPr>
        <w:pStyle w:val="Heading2"/>
      </w:pPr>
      <w:r>
        <w:t>2. Dashboard Access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Decision needed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Who should be able to view the dashboard?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Options</w:t>
            </w:r>
          </w:p>
        </w:tc>
        <w:tc>
          <w:tcPr>
            <w:tcW w:type="dxa" w:w="5112"/>
            <w:shd w:fill="FFFFFF"/>
          </w:tcPr>
          <w:p>
            <w:pPr>
              <w:spacing w:after="20"/>
            </w:pPr>
            <w:r>
              <w:rPr>
                <w:color w:val="141F33"/>
                <w:sz w:val="18"/>
              </w:rPr>
              <w:t>[ ] Anyone with the internal link, no login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Company Google Workspace / domain-restricted SSO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Other: 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Recommended default</w:t>
            </w:r>
          </w:p>
        </w:tc>
        <w:tc>
          <w:tcPr>
            <w:tcW w:type="dxa" w:w="5112"/>
            <w:shd w:fill="E9F7EF"/>
          </w:tcPr>
          <w:p>
            <w:r>
              <w:rPr>
                <w:b w:val="0"/>
                <w:color w:val="141F33"/>
                <w:sz w:val="18"/>
              </w:rPr>
              <w:t>Company-domain SSO, unless Shipping / IT confirms link-only access is acceptable.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Final decision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Notes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Owner / signer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Owner: __________________________    Signed off by: __________________________    Date: ____________</w:t>
            </w:r>
          </w:p>
        </w:tc>
      </w:tr>
    </w:tbl>
    <w:p>
      <w:pPr>
        <w:pStyle w:val="Heading2"/>
      </w:pPr>
      <w:r>
        <w:t>3. Data Refresh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Decision needed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How often, and by what mechanism, should performance data update?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Options</w:t>
            </w:r>
          </w:p>
        </w:tc>
        <w:tc>
          <w:tcPr>
            <w:tcW w:type="dxa" w:w="5112"/>
            <w:shd w:fill="FFFFFF"/>
          </w:tcPr>
          <w:p>
            <w:pPr>
              <w:spacing w:after="20"/>
            </w:pPr>
            <w:r>
              <w:rPr>
                <w:color w:val="141F33"/>
                <w:sz w:val="18"/>
              </w:rPr>
              <w:t>[ ] Live Meta API pull on demand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Scheduled database sync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Cached data with manual refresh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Other: 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Recommended default</w:t>
            </w:r>
          </w:p>
        </w:tc>
        <w:tc>
          <w:tcPr>
            <w:tcW w:type="dxa" w:w="5112"/>
            <w:shd w:fill="E9F7EF"/>
          </w:tcPr>
          <w:p>
            <w:r>
              <w:rPr>
                <w:b w:val="0"/>
                <w:color w:val="141F33"/>
                <w:sz w:val="18"/>
              </w:rPr>
              <w:t>Scheduled database sync, with cadence decided after Meta rate-limit and API review.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Final decision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Refresh cadence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Every ______ hours    or    ______ times daily    or    Other: 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Notes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Owner / signer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Owner: __________________________    Signed off by: __________________________    Date: ____________</w:t>
            </w:r>
          </w:p>
        </w:tc>
      </w:tr>
    </w:tbl>
    <w:p>
      <w:pPr>
        <w:pStyle w:val="Heading2"/>
      </w:pPr>
      <w:r>
        <w:t>4. Segmentation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Decision needed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How should campaigns be mapped to funnels / shows?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Options</w:t>
            </w:r>
          </w:p>
        </w:tc>
        <w:tc>
          <w:tcPr>
            <w:tcW w:type="dxa" w:w="5112"/>
            <w:shd w:fill="FFFFFF"/>
          </w:tcPr>
          <w:p>
            <w:pPr>
              <w:spacing w:after="20"/>
            </w:pPr>
            <w:r>
              <w:rPr>
                <w:color w:val="141F33"/>
                <w:sz w:val="18"/>
              </w:rPr>
              <w:t>[ ] Meta campaign-name keyword lookup only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Meta campaign-name lookup, with Hyros fallback if needed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Hyros-assisted segmentation from the start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Other: 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Recommended default</w:t>
            </w:r>
          </w:p>
        </w:tc>
        <w:tc>
          <w:tcPr>
            <w:tcW w:type="dxa" w:w="5112"/>
            <w:shd w:fill="E9F7EF"/>
          </w:tcPr>
          <w:p>
            <w:r>
              <w:rPr>
                <w:b w:val="0"/>
                <w:color w:val="141F33"/>
                <w:sz w:val="18"/>
              </w:rPr>
              <w:t>Start with Meta campaign-name lookup; validate during API spike; use Hyros only if Meta-side mapping is messy.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Final decision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Notes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Owner / signer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Owner: __________________________    Signed off by: __________________________    Date: ____________</w:t>
            </w:r>
          </w:p>
        </w:tc>
      </w:tr>
    </w:tbl>
    <w:p>
      <w:r>
        <w:br w:type="page"/>
      </w:r>
    </w:p>
    <w:p>
      <w:pPr>
        <w:pStyle w:val="Heading2"/>
      </w:pPr>
      <w:r>
        <w:t>5. Account Count / Filter Logic 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Decision needed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Confirm authoritative account scope and remove stale wording.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Options</w:t>
            </w:r>
          </w:p>
        </w:tc>
        <w:tc>
          <w:tcPr>
            <w:tcW w:type="dxa" w:w="5112"/>
            <w:shd w:fill="FFFFFF"/>
          </w:tcPr>
          <w:p>
            <w:pPr>
              <w:spacing w:after="20"/>
            </w:pPr>
            <w:r>
              <w:rPr>
                <w:color w:val="141F33"/>
                <w:sz w:val="18"/>
              </w:rPr>
              <w:t>[ ] Exactly 2 Meta ad accounts are in scope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Remove all stale "2-3 accounts" wording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Account filter and funnel / offer filter must remain independent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Recommended default</w:t>
            </w:r>
          </w:p>
        </w:tc>
        <w:tc>
          <w:tcPr>
            <w:tcW w:type="dxa" w:w="5112"/>
            <w:shd w:fill="E9F7EF"/>
          </w:tcPr>
          <w:p>
            <w:r>
              <w:rPr>
                <w:b w:val="0"/>
                <w:color w:val="141F33"/>
                <w:sz w:val="18"/>
              </w:rPr>
              <w:t>Approve all three items as written.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Approval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[ ] Approved    [ ] Not approved    [ ] Needs follow-up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Final decision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Accounts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Inside Success TV - 1988537858156251</w:t>
              <w:br/>
              <w:t>Inside Success TV | Split Test - 968479534887236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Notes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Owner / signer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Owner: __________________________    Signed off by: __________________________    Date: ____________</w:t>
            </w:r>
          </w:p>
        </w:tc>
      </w:tr>
    </w:tbl>
    <w:p>
      <w:pPr>
        <w:pStyle w:val="Heading2"/>
      </w:pPr>
      <w:r>
        <w:t>6. Losing Tab Logic 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Decision needed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Resolve the spec contradiction around losers and appointment volume.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Options</w:t>
            </w:r>
          </w:p>
        </w:tc>
        <w:tc>
          <w:tcPr>
            <w:tcW w:type="dxa" w:w="5112"/>
            <w:shd w:fill="FFFFFF"/>
          </w:tcPr>
          <w:p>
            <w:pPr>
              <w:spacing w:after="20"/>
            </w:pPr>
            <w:r>
              <w:rPr>
                <w:color w:val="141F33"/>
                <w:sz w:val="18"/>
              </w:rPr>
              <w:t>[ ] Losing Creatives may include ads with fewer than 10 appointments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Ads with meaningful spend and 0 appointments should surface as high-priority losers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Remove the incorrect "10+ appointments only" language for the Losing tab</w:t>
            </w:r>
          </w:p>
          <w:p>
            <w:pPr>
              <w:spacing w:after="20"/>
            </w:pPr>
            <w:r>
              <w:rPr>
                <w:color w:val="141F33"/>
                <w:sz w:val="18"/>
              </w:rPr>
              <w:t>[ ] Section 5 ranking logic governs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Recommended default</w:t>
            </w:r>
          </w:p>
        </w:tc>
        <w:tc>
          <w:tcPr>
            <w:tcW w:type="dxa" w:w="5112"/>
            <w:shd w:fill="E9F7EF"/>
          </w:tcPr>
          <w:p>
            <w:r>
              <w:rPr>
                <w:b w:val="0"/>
                <w:color w:val="141F33"/>
                <w:sz w:val="18"/>
              </w:rPr>
              <w:t>Approve all four items as written.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Approval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[ ] Approved    [ ] Not approved    [ ] Needs follow-up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Final decision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Notes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5112"/>
            <w:shd w:fill="F4F6F8"/>
          </w:tcPr>
          <w:p>
            <w:r>
              <w:rPr>
                <w:b/>
                <w:color w:val="555F6E"/>
                <w:sz w:val="17"/>
              </w:rPr>
              <w:t>Owner / signer</w:t>
            </w:r>
          </w:p>
        </w:tc>
        <w:tc>
          <w:tcPr>
            <w:tcW w:type="dxa" w:w="5112"/>
            <w:shd w:fill="FFFFFF"/>
          </w:tcPr>
          <w:p>
            <w:r>
              <w:rPr>
                <w:b w:val="0"/>
                <w:color w:val="141F33"/>
                <w:sz w:val="18"/>
              </w:rPr>
              <w:t>Owner: __________________________    Signed off by: __________________________    Date: ____________</w:t>
            </w:r>
          </w:p>
        </w:tc>
      </w:tr>
    </w:tbl>
    <w:p>
      <w:pPr>
        <w:pStyle w:val="Heading1"/>
      </w:pPr>
      <w:r>
        <w:t>Approval to Proceed</w:t>
      </w:r>
    </w:p>
    <w:p>
      <w:r>
        <w:rPr>
          <w:b/>
        </w:rPr>
        <w:t>Once all six decisions above are completed, Shipping may proceed to Phase 1: Technical Validation &amp; Meta API Spike.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Project owner approval</w:t>
            </w:r>
          </w:p>
        </w:tc>
        <w:tc>
          <w:tcPr>
            <w:tcW w:type="dxa" w:w="6696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Name / signature: ____________________________________    Date: ____________</w:t>
            </w:r>
          </w:p>
        </w:tc>
      </w:tr>
      <w:tr>
        <w:tc>
          <w:tcPr>
            <w:tcW w:type="dxa" w:w="3240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Shipping / IT approval</w:t>
            </w:r>
          </w:p>
        </w:tc>
        <w:tc>
          <w:tcPr>
            <w:tcW w:type="dxa" w:w="6696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Name / signature: ____________________________________    Date: ____________</w:t>
            </w:r>
          </w:p>
        </w:tc>
      </w:tr>
      <w:tr>
        <w:tc>
          <w:tcPr>
            <w:tcW w:type="dxa" w:w="3240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4F6F8"/>
          </w:tcPr>
          <w:p>
            <w:r>
              <w:rPr>
                <w:b/>
                <w:color w:val="555F6E"/>
                <w:sz w:val="17"/>
              </w:rPr>
              <w:t>Phase 1 kickoff approved?</w:t>
            </w:r>
          </w:p>
        </w:tc>
        <w:tc>
          <w:tcPr>
            <w:tcW w:type="dxa" w:w="6696"/>
            <w:tcBorders>
              <w:top w:val="single" w:sz="4" w:space="0" w:color="C8D2DF"/>
              <w:left w:val="single" w:sz="4" w:space="0" w:color="C8D2DF"/>
              <w:bottom w:val="single" w:sz="4" w:space="0" w:color="C8D2DF"/>
              <w:right w:val="single" w:sz="4" w:space="0" w:color="C8D2DF"/>
            </w:tcBorders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rPr>
                <w:b w:val="0"/>
                <w:color w:val="141F33"/>
                <w:sz w:val="19"/>
              </w:rPr>
              <w:t>[ ] Yes    [ ] No    [ ] Pending follow-up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inePrint"/>
      <w:jc w:val="center"/>
    </w:pPr>
    <w:r>
      <w:t>Phase 0 Decision Sheet - complete before API spike / build kickoff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inePrint"/>
      <w:jc w:val="right"/>
    </w:pPr>
    <w:r>
      <w:t>Inside Success TV - Creative Performance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141F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823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823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spacing w:after="20"/>
    </w:pPr>
    <w:rPr>
      <w:rFonts w:ascii="Calibri" w:hAnsi="Calibri" w:eastAsia="Calibri"/>
      <w:b/>
      <w:color w:val="555F6E"/>
      <w:sz w:val="17"/>
    </w:rPr>
  </w:style>
  <w:style w:type="paragraph" w:customStyle="1" w:styleId="FinePrint">
    <w:name w:val="Fine Print"/>
    <w:pPr>
      <w:spacing w:after="40"/>
    </w:pPr>
    <w:rPr>
      <w:rFonts w:ascii="Calibri" w:hAnsi="Calibri" w:eastAsia="Calibri"/>
      <w:color w:val="555F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Performance Library - Phase 0 Decision Sheet</dc:title>
  <dc:subject>Decision lock form for Inside Success TV Creative Performance Library build</dc:subject>
  <dc:creator>Inside Success TV</dc:creator>
  <cp:keywords/>
  <dc:description>Prepared for Shipping / IT decision sign-off before build kickoff.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