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0" w:name="resolución-número-6-del-consejo-de-conte"/>
      <w:bookmarkEnd w:id="0"/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 xml:space="preserve">Resolución Número </w:t>
      </w:r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7</w:t>
      </w:r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 xml:space="preserve"> del Consejo de Contenido que modifica la Declaración de la Estantería Digital de Papalotla y por imperativo de reforma establece la Carta de Derechos de los Usuarios y la Comunidad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Fecha: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br/>
        <w:t>1 de agosto de 2025, en conmemoración del Movimiento Democrático de Papalotla.</w:t>
      </w:r>
    </w:p>
    <w:p>
      <w:pPr>
        <w:pStyle w:val="Lneahorizontal"/>
        <w:widowControl/>
        <w:bidi w:val="0"/>
        <w:spacing w:lineRule="auto" w:line="276" w:before="0" w:after="140"/>
        <w:ind w:hanging="0"/>
        <w:jc w:val="left"/>
        <w:rPr>
          <w:rFonts w:ascii="Open Sans" w:hAnsi="Open Sans"/>
        </w:rPr>
      </w:pPr>
      <w:r>
        <w:rPr>
          <w:rFonts w:ascii="Open Sans" w:hAnsi="Open Sans"/>
        </w:rPr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1" w:name="considerando-que"/>
      <w:bookmarkEnd w:id="1"/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Considerando que: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La Mesa de Administración es el órgano encargado de dirigir y administrar la Estantería Digital de Papalotla.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Las Declaraciones de la Mesa de Administración son los lineamientos que establecen las políticas y procedimientos para la gestión de la Estantería Digital de Papalotla.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Es necesario actualizar las Declaraciones de la Mesa de Administración para adaptarse a los cambios en la tecnología y la sociedad.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El Consejo de Contenido es el único órgano que tiene la facultad de modificar cualquier declaración de funcionamiento.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El Consejo de Contenido de la Estantería Digital de Papalotla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 en sesión ordinaria y por unanimidad, resuelve:</w:t>
      </w:r>
    </w:p>
    <w:p>
      <w:pPr>
        <w:pStyle w:val="Lneahorizontal"/>
        <w:widowControl/>
        <w:bidi w:val="0"/>
        <w:spacing w:lineRule="auto" w:line="276" w:before="0" w:after="140"/>
        <w:ind w:hanging="0"/>
        <w:jc w:val="left"/>
        <w:rPr>
          <w:rFonts w:ascii="Open Sans" w:hAnsi="Open Sans"/>
        </w:rPr>
      </w:pPr>
      <w:r>
        <w:rPr>
          <w:rFonts w:ascii="Open Sans" w:hAnsi="Open Sans"/>
        </w:rPr>
      </w:r>
    </w:p>
    <w:p>
      <w:pPr>
        <w:pStyle w:val="Heading2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2" w:name="modificación-de-la-declaración-de-la-est"/>
      <w:bookmarkEnd w:id="2"/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1. Modificación de la Declaración de la Estantería Digital de Papalotla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Se modifica la 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Declaración de la Estantería Digital de Papalotla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 según se detalla en la presente resolución.</w:t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3" w:name="las-modificaciones-propuestas-son"/>
      <w:bookmarkEnd w:id="3"/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1.1 Las modificaciones propuestas son: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Texto actual:</w:t>
      </w:r>
    </w:p>
    <w:p>
      <w:pPr>
        <w:pStyle w:val="Citaenbloque"/>
        <w:widowControl/>
        <w:pBdr>
          <w:left w:val="single" w:sz="30" w:space="1" w:color="000000"/>
        </w:pBdr>
        <w:bidi w:val="0"/>
        <w:spacing w:lineRule="auto" w:line="276" w:before="0" w:after="140"/>
        <w:ind w:hanging="0" w:left="567" w:right="567"/>
        <w:jc w:val="left"/>
        <w:rPr>
          <w:rFonts w:ascii="Open Sans" w:hAnsi="Open Sans"/>
        </w:rPr>
      </w:pPr>
      <w:r>
        <w:rPr>
          <w:rStyle w:val="Emphasis"/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50000"/>
              </w14:srgbClr>
            </w14:solidFill>
          </w14:textFill>
        </w:rPr>
        <w:t>Declaración de la Estantería Digital de Papalotla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50000"/>
              </w14:srgbClr>
            </w14:solidFill>
          </w14:textFill>
        </w:rPr>
        <w:br/>
      </w:r>
      <w:r>
        <w:rPr>
          <w:rStyle w:val="Emphasis"/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50000"/>
              </w14:srgbClr>
            </w14:solidFill>
          </w14:textFill>
        </w:rPr>
        <w:t>(Versión original aprobada el 12 de diciembre de 2022)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Propuesta de texto nuevo:</w:t>
      </w:r>
    </w:p>
    <w:p>
      <w:pPr>
        <w:pStyle w:val="Heading1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4" w:name="declaración-de-la-estantería-digital-de-"/>
      <w:bookmarkEnd w:id="4"/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Declaración de la Estantería Digital de Papalotla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Nosotros, en comunidad, declaramos que la Estantería Digital de Papalotla existe para resguardar y compartir la memoria histórica, cultural, estadística y geográfica de nuestra ciudad, con tecnología libre y con respeto a la dignidad de quienes nos antecedieron y de quienes vendrán.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La Estantería es construcción colectiva. Su propósito es informar sin dañar, conservar sin apropiarse y abrir sin excluir. Esta Declaración es su base.</w:t>
      </w:r>
    </w:p>
    <w:p>
      <w:pPr>
        <w:pStyle w:val="Lneahorizontal"/>
        <w:widowControl/>
        <w:bidi w:val="0"/>
        <w:spacing w:lineRule="auto" w:line="276" w:before="0" w:after="140"/>
        <w:ind w:hanging="0"/>
        <w:jc w:val="left"/>
        <w:rPr>
          <w:rFonts w:ascii="Open Sans" w:hAnsi="Open Sans"/>
        </w:rPr>
      </w:pPr>
      <w:r>
        <w:rPr>
          <w:rFonts w:ascii="Open Sans" w:hAnsi="Open Sans"/>
        </w:rPr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5" w:name="por-ello-establecemos"/>
      <w:bookmarkEnd w:id="5"/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Por ello, establecemos: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I. 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4E102D"/>
          <w:spacing w:val="0"/>
          <w:sz w:val="26"/>
          <w:u w:val="none"/>
          <w:shd w:fill="auto" w:val="clear"/>
        </w:rPr>
        <w:t>Una Carta de Derechos de los Usuarios y la Comunidad</w:t>
      </w:r>
      <w:r>
        <w:rPr>
          <w:rFonts w:ascii="Open Sans" w:hAnsi="Open Sans"/>
          <w:b w:val="false"/>
          <w:bCs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 xml:space="preserve"> que garantiza el ejercicio del conocimiento democrático por nuestra comunidad.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II. </w:t>
      </w:r>
      <w:r>
        <w:rPr>
          <w:rFonts w:ascii="Open Sans" w:hAnsi="Open Sans"/>
          <w:b w:val="false"/>
          <w:i w:val="false"/>
          <w:caps w:val="false"/>
          <w:smallCaps w:val="false"/>
          <w:color w:val="4E102D"/>
          <w:spacing w:val="0"/>
          <w:sz w:val="26"/>
          <w:u w:val="none"/>
          <w:shd w:fill="auto" w:val="clear"/>
        </w:rPr>
        <w:t>Un Código de Conducta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 que regirá nuestras relaciones internas y establecerá sanciones justas con el fin de tener una comunidad sana y sin discriminación.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III. </w:t>
      </w:r>
      <w:r>
        <w:rPr>
          <w:rFonts w:ascii="Open Sans" w:hAnsi="Open Sans"/>
          <w:b w:val="false"/>
          <w:i w:val="false"/>
          <w:caps w:val="false"/>
          <w:smallCaps w:val="false"/>
          <w:color w:val="4E102D"/>
          <w:spacing w:val="0"/>
          <w:sz w:val="26"/>
          <w:u w:val="none"/>
          <w:shd w:fill="auto" w:val="clear"/>
        </w:rPr>
        <w:t>Una Mesa de Administración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 que sea el órgano ejecutivo de la Estantería y se encargará de: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a) Administrar los aspectos técnicos y administrativos de la misma.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b) Establecer las responsabilidades y sanciones en los casos de infracciones al Código de conducta.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IV. </w:t>
      </w:r>
      <w:r>
        <w:rPr>
          <w:rFonts w:ascii="Open Sans" w:hAnsi="Open Sans"/>
          <w:b w:val="false"/>
          <w:i w:val="false"/>
          <w:caps w:val="false"/>
          <w:smallCaps w:val="false"/>
          <w:color w:val="4E102D"/>
          <w:spacing w:val="0"/>
          <w:sz w:val="26"/>
          <w:u w:val="none"/>
          <w:shd w:fill="auto" w:val="clear"/>
        </w:rPr>
        <w:t>Un Consejo de Contenido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 que vigila la neutralidad, protege a la comunidad, aprueba reformas, interpreta esta Declaración y puede emitir resoluciones vinculantes. Resguarda la legitimidad del proyecto.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V. </w:t>
      </w:r>
      <w:r>
        <w:rPr>
          <w:rFonts w:ascii="Open Sans" w:hAnsi="Open Sans"/>
          <w:b w:val="false"/>
          <w:i w:val="false"/>
          <w:caps w:val="false"/>
          <w:smallCaps w:val="false"/>
          <w:color w:val="4E102D"/>
          <w:spacing w:val="0"/>
          <w:sz w:val="26"/>
          <w:u w:val="none"/>
          <w:shd w:fill="auto" w:val="clear"/>
        </w:rPr>
        <w:t>El Estatuto de Sostenibilidad Económica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 que garantiza nuestro funcionamiento económico.</w:t>
      </w:r>
    </w:p>
    <w:p>
      <w:pPr>
        <w:pStyle w:val="Lneahorizontal"/>
        <w:widowControl/>
        <w:bidi w:val="0"/>
        <w:spacing w:lineRule="auto" w:line="276" w:before="0" w:after="140"/>
        <w:ind w:hanging="0"/>
        <w:jc w:val="left"/>
        <w:rPr>
          <w:rFonts w:ascii="Open Sans" w:hAnsi="Open Sans"/>
        </w:rPr>
      </w:pPr>
      <w:r>
        <w:rPr>
          <w:rFonts w:ascii="Open Sans" w:hAnsi="Open Sans"/>
        </w:rPr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6" w:name="sobre-la-modificación-de-las-declaracion"/>
      <w:bookmarkEnd w:id="6"/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Sobre la modificación de las declaraciones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Con el fin de establecer un sistema de funcionamiento ágil y adaptable, las anteriores cuatro declaraciones (I, II, III, IV y V) pueden ser modificadas bajo las siguientes condiciones: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a) En condiciones de mayoría calificada en el Consejo de Contenido.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283" w:left="0" w:right="0"/>
        <w:jc w:val="left"/>
        <w:rPr>
          <w:rFonts w:ascii="Open Sans" w:hAnsi="Open Sans"/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b) Emitiendo un documento público llamado 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«Resolución del Consejo de Contenido»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 el cual, después de su aprobación, modificará las declaraciones.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Se entenderá por: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</w:rPr>
      </w:pPr>
      <w:r>
        <w:rPr>
          <w:rStyle w:val="Emphasis"/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Mayoría absoluta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: el voto favorable de más de la mitad de los miembros activos del Consejo de Contenido.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</w:rPr>
      </w:pPr>
      <w:r>
        <w:rPr>
          <w:rStyle w:val="Emphasis"/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Mayoría calificada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: el voto favorable de al menos dos terceras partes de los miembros activos.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</w:rPr>
      </w:pPr>
      <w:r>
        <w:rPr>
          <w:rStyle w:val="Emphasis"/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Unanimidad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: el voto favorable de todos los miembros activos, sin votos en contra ni abstenciones.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283" w:left="0" w:right="0"/>
        <w:jc w:val="left"/>
        <w:rPr>
          <w:rFonts w:ascii="Open Sans" w:hAnsi="Open Sans"/>
        </w:rPr>
      </w:pPr>
      <w:r>
        <w:rPr>
          <w:rStyle w:val="Emphasis"/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Quórum mínimo para votar reformas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: al menos cuatro miembros activos del Consejo.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En caso de empate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 se abrirá una segunda ronda de deliberación. Si persiste el empate, la propuesta se considerará rechazada y podrá volver a presentarse sólo si incorpora nuevos elementos sustanciales o hay cambios de contexto.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Para modificar esta declaración principal se seguirá el mismo proceso, en condiciones de 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unanimidad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Cualquier reforma que contradiga esta Declaración o la Carta de Derechos será nula de pleno derecho</w:t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/>
          <w:bCs/>
        </w:rPr>
      </w:pPr>
      <w:bookmarkStart w:id="7" w:name="sobre-jerarquía-normativa"/>
      <w:bookmarkEnd w:id="7"/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Sobre jerarquía normativa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En caso de contradicción entre una Resolución del Consejo de Contenido y una Declaración de funcionamiento, 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prevalecerá la resolución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 si fue aprobada por mayoría calificada y no contradice esta Declaración madre.</w:t>
        <w:br/>
        <w:t>Para modificar esta Declaración, se requerirá siempre unanimidad.</w:t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/>
          <w:bCs/>
        </w:rPr>
      </w:pPr>
      <w:bookmarkStart w:id="8" w:name="sobre-la-fundación-y-la-transición-democ"/>
      <w:bookmarkEnd w:id="8"/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Sobre la fundación y la transición democrática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Esta declaración da a 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Insielab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, en su carácter de fundador de la Estantería Digital de Papalotla, la responsabilidad de crear una Mesa de Administración.</w:t>
        <w:br/>
        <w:t>Así mismo, le concede el poder de voto inicial del 100% en el Consejo de Contenido, el cual </w:t>
      </w: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se reducirá automáticamente a un voto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 cuando existan al menos tres integrantes adicionales aprobados conforme a las reglas del Consejo.</w:t>
      </w:r>
    </w:p>
    <w:p>
      <w:pPr>
        <w:pStyle w:val="Lneahorizontal"/>
        <w:widowControl/>
        <w:bidi w:val="0"/>
        <w:spacing w:lineRule="auto" w:line="276" w:before="0" w:after="140"/>
        <w:ind w:hanging="0"/>
        <w:jc w:val="left"/>
        <w:rPr>
          <w:rFonts w:ascii="Open Sans" w:hAnsi="Open Sans"/>
        </w:rPr>
      </w:pPr>
      <w:r>
        <w:rPr>
          <w:rFonts w:ascii="Open Sans" w:hAnsi="Open Sans"/>
        </w:rPr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El proceso de creación, publicación y votación de resoluciones se detalla en la Declaración del Consejo de Contenido.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Por una defensa de los derechos culturales, una lucha por un nuevo tipo de sociedad democrática digital.</w:t>
        <w:br/>
        <w:t>Por los que podemos llegar a ser.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Queda refundada la Estantería Digital de Papalotla.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En representación de la Estantería Digital de Papalotla.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br/>
        <w:t>Oscar Zambrano Lara</w:t>
        <w:br/>
        <w:t>12 de diciembre de 2022</w:t>
        <w:br/>
      </w:r>
      <w:r>
        <w:rPr>
          <w:rStyle w:val="Emphasis"/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(Modificada el 30 de julio de 2025 por la Resolución Número 6 del Consejo de Contenido)</w:t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9" w:name="establecimiento-de-la-carta-de-derechos-"/>
      <w:bookmarkEnd w:id="9"/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14:textFill>
            <w14:solidFill>
              <w14:srgbClr w14:val="000000">
                <w14:alpha w14:val="25000"/>
              </w14:srgbClr>
            </w14:solidFill>
          </w14:textFill>
        </w:rPr>
        <w:t>2. Establecimiento de la Carta de Derechos de los Usuarios y la Comunidad.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La Declaración de la Estantería Digital de Papalotla, con su modificación establece una Carta de Derechos con el siguiente texto: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</w:rPr>
      </w:pPr>
      <w:r>
        <w:rPr>
          <w:rStyle w:val="Strong"/>
          <w:rFonts w:ascii="Open Sans" w:hAnsi="Open Sans"/>
          <w:b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Carta de Derechos de los Usuarios y la Comunidad de la Estantería Digital de Papalotla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La Estantería Digital de Papalotla, para garantizar el ejercicio del conocimiento democrático, establece esta Carta de Derechos para sus Usuarios y su Comunidad.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Para la Estantería, los Usuarios son definidos como toda aquella persona que use, de buena fe, los contenidos -archivos, documentos, recursos, multimedia y código fuente- de la misma.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Los Usuarios de la Estantería tienen derecho a: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Libre acceso a los contenidos de la Estantería, con independencia del uso que se le de a la información.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 la gratuidad perpetua de la información que sea propiedad de la Estantería.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 la denuncia del contenido, cuando considere que infringe normas de copyright, sea discriminatorio, incite a la violencia, sea inexacto históricamente o promueva actitudes contrarias a los valores de la Estantería.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Al acompañamiento de la búsqueda y el aprendizaje. Este acompañamiento se hará mediante los sistemas y mecanismos de búsqueda automáticos de la plataforma. El acompañamiento humano se hará de acuerdo con las capacidades de los Administradores y la Comunidad.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 la libertad de expresión en todos los espacios de la Estantería.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 una Audiencia con el Consejo de Contenido en caso de una expulsión temporal o permanente.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Para la Estantería, la Comunidad son aquellas personas que buscan activamente el mejoramiento, desarrollo y pertenencia a los entornos sociales de la Estantería, véase la Plataforma, el Archivo, redes sociales o el servidor de Discord o cualquier plataforma.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La Comunidad de la Estantería tiene derecho a: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 los mismos derechos que los usuarios.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 la escucha activa por parte del Consejo de Contenido, la comunidad puede convocar a una Sesión del Consejo de Contenido si el 10% de la comunidad así lo decide, dicha sesión será abierta.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 participar en un proceso de elección al Consejo de Contenido y a ser tomado en cuenta para las funciones de Mesa de Administración.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283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Al acompañamiento de la Estantería para sus contribuciones archivísticas y documentales, para una mayor exactitud y precisión histórica.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Usuarios y comunidad están obligados a comportarse de acuerdo con el Código de conducta de la comunidad y colaboradores.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Sean bienvenidos afectuosamente a la Estantería Digital de Papalotla.</w:t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10" w:name="votación"/>
      <w:bookmarkEnd w:id="10"/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3. Votación</w:t>
      </w:r>
    </w:p>
    <w:tbl>
      <w:tblPr>
        <w:tblW w:w="7487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180" w:type="dxa"/>
        </w:tblCellMar>
      </w:tblPr>
      <w:tblGrid>
        <w:gridCol w:w="5079"/>
        <w:gridCol w:w="1518"/>
        <w:gridCol w:w="890"/>
      </w:tblGrid>
      <w:tr>
        <w:trPr>
          <w:tblHeader w:val="true"/>
        </w:trPr>
        <w:tc>
          <w:tcPr>
            <w:tcW w:w="5079" w:type="dxa"/>
            <w:tcBorders>
              <w:right w:val="single" w:sz="2" w:space="0" w:color="DCDCDC"/>
            </w:tcBorders>
            <w:vAlign w:val="center"/>
          </w:tcPr>
          <w:p>
            <w:pPr>
              <w:pStyle w:val="Ttulodelatabla"/>
              <w:bidi w:val="0"/>
              <w:ind w:hanging="0" w:left="0" w:right="0"/>
              <w:rPr>
                <w:rFonts w:ascii="Open Sans" w:hAnsi="Open Sans"/>
              </w:rPr>
            </w:pPr>
            <w:r>
              <w:rPr>
                <w:rFonts w:ascii="Open Sans" w:hAnsi="Open Sans"/>
              </w:rPr>
              <w:t>Miembro</w:t>
            </w:r>
          </w:p>
        </w:tc>
        <w:tc>
          <w:tcPr>
            <w:tcW w:w="1518" w:type="dxa"/>
            <w:tcBorders>
              <w:right w:val="single" w:sz="2" w:space="0" w:color="DCDCDC"/>
            </w:tcBorders>
            <w:vAlign w:val="center"/>
          </w:tcPr>
          <w:p>
            <w:pPr>
              <w:pStyle w:val="Ttulodelatabla"/>
              <w:bidi w:val="0"/>
              <w:ind w:hanging="0" w:left="0" w:right="0"/>
              <w:rPr>
                <w:rFonts w:ascii="Open Sans" w:hAnsi="Open Sans"/>
              </w:rPr>
            </w:pPr>
            <w:r>
              <w:rPr>
                <w:rFonts w:ascii="Open Sans" w:hAnsi="Open Sans"/>
              </w:rPr>
              <w:t>Poder de voto</w:t>
            </w:r>
          </w:p>
        </w:tc>
        <w:tc>
          <w:tcPr>
            <w:tcW w:w="890" w:type="dxa"/>
            <w:tcBorders/>
            <w:tcMar>
              <w:right w:w="0" w:type="dxa"/>
            </w:tcMar>
            <w:vAlign w:val="center"/>
          </w:tcPr>
          <w:p>
            <w:pPr>
              <w:pStyle w:val="Ttulodelatabla"/>
              <w:bidi w:val="0"/>
              <w:ind w:hanging="0" w:left="0" w:right="0"/>
              <w:rPr>
                <w:rFonts w:ascii="Open Sans" w:hAnsi="Open Sans"/>
              </w:rPr>
            </w:pPr>
            <w:r>
              <w:rPr>
                <w:rFonts w:ascii="Open Sans" w:hAnsi="Open Sans"/>
              </w:rPr>
              <w:t>Voto</w:t>
            </w:r>
          </w:p>
        </w:tc>
      </w:tr>
      <w:tr>
        <w:trPr/>
        <w:tc>
          <w:tcPr>
            <w:tcW w:w="5079" w:type="dxa"/>
            <w:tcBorders>
              <w:top w:val="single" w:sz="2" w:space="0" w:color="DCDCDC"/>
              <w:right w:val="single" w:sz="2" w:space="0" w:color="DCDCDC"/>
            </w:tcBorders>
            <w:tcMar>
              <w:top w:w="12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</w:rPr>
              <w:t>Impossible Box de México S.A.S de C.V. (Insielab)</w:t>
            </w:r>
          </w:p>
        </w:tc>
        <w:tc>
          <w:tcPr>
            <w:tcW w:w="1518" w:type="dxa"/>
            <w:tcBorders>
              <w:top w:val="single" w:sz="2" w:space="0" w:color="DCDCDC"/>
              <w:right w:val="single" w:sz="2" w:space="0" w:color="DCDCDC"/>
            </w:tcBorders>
            <w:tcMar>
              <w:top w:w="12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</w:rPr>
              <w:t>100%</w:t>
            </w:r>
          </w:p>
        </w:tc>
        <w:tc>
          <w:tcPr>
            <w:tcW w:w="890" w:type="dxa"/>
            <w:tcBorders>
              <w:top w:val="single" w:sz="2" w:space="0" w:color="DCDCDC"/>
            </w:tcBorders>
            <w:tcMar>
              <w:top w:w="120" w:type="dxa"/>
              <w:right w:w="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</w:rPr>
              <w:t>A favor</w:t>
            </w:r>
          </w:p>
        </w:tc>
      </w:tr>
      <w:tr>
        <w:trPr/>
        <w:tc>
          <w:tcPr>
            <w:tcW w:w="5079" w:type="dxa"/>
            <w:tcBorders>
              <w:top w:val="single" w:sz="2" w:space="0" w:color="DCDCDC"/>
              <w:right w:val="single" w:sz="2" w:space="0" w:color="DCDCDC"/>
            </w:tcBorders>
            <w:tcMar>
              <w:top w:w="12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</w:rPr>
              <w:t>–</w:t>
            </w:r>
          </w:p>
        </w:tc>
        <w:tc>
          <w:tcPr>
            <w:tcW w:w="1518" w:type="dxa"/>
            <w:tcBorders>
              <w:top w:val="single" w:sz="2" w:space="0" w:color="DCDCDC"/>
              <w:right w:val="single" w:sz="2" w:space="0" w:color="DCDCDC"/>
            </w:tcBorders>
            <w:tcMar>
              <w:top w:w="12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</w:rPr>
              <w:t>–</w:t>
            </w:r>
          </w:p>
        </w:tc>
        <w:tc>
          <w:tcPr>
            <w:tcW w:w="890" w:type="dxa"/>
            <w:tcBorders>
              <w:top w:val="single" w:sz="2" w:space="0" w:color="DCDCDC"/>
            </w:tcBorders>
            <w:tcMar>
              <w:top w:w="120" w:type="dxa"/>
              <w:right w:w="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  <w:sz w:val="4"/>
                <w:szCs w:val="4"/>
              </w:rPr>
            </w:pPr>
            <w:r>
              <w:rPr>
                <w:rFonts w:ascii="Open Sans" w:hAnsi="Open Sans"/>
                <w:sz w:val="4"/>
                <w:szCs w:val="4"/>
              </w:rPr>
            </w:r>
          </w:p>
        </w:tc>
      </w:tr>
      <w:tr>
        <w:trPr/>
        <w:tc>
          <w:tcPr>
            <w:tcW w:w="5079" w:type="dxa"/>
            <w:tcBorders>
              <w:top w:val="single" w:sz="2" w:space="0" w:color="DCDCDC"/>
              <w:right w:val="single" w:sz="2" w:space="0" w:color="DCDCDC"/>
            </w:tcBorders>
            <w:tcMar>
              <w:top w:w="12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  <w:sz w:val="4"/>
                <w:szCs w:val="4"/>
              </w:rPr>
            </w:pPr>
            <w:r>
              <w:rPr>
                <w:rFonts w:ascii="Open Sans" w:hAnsi="Open Sans"/>
                <w:sz w:val="4"/>
                <w:szCs w:val="4"/>
              </w:rPr>
            </w:r>
          </w:p>
        </w:tc>
        <w:tc>
          <w:tcPr>
            <w:tcW w:w="1518" w:type="dxa"/>
            <w:tcBorders>
              <w:top w:val="single" w:sz="2" w:space="0" w:color="DCDCDC"/>
              <w:right w:val="single" w:sz="2" w:space="0" w:color="DCDCDC"/>
            </w:tcBorders>
            <w:tcMar>
              <w:top w:w="120" w:type="dxa"/>
            </w:tcMar>
            <w:vAlign w:val="center"/>
          </w:tcPr>
          <w:p>
            <w:pPr>
              <w:pStyle w:val="Contenidodelatabla"/>
              <w:bidi w:val="0"/>
              <w:ind w:hanging="0" w:left="0" w:right="0"/>
              <w:jc w:val="left"/>
              <w:rPr>
                <w:rFonts w:ascii="Open Sans" w:hAnsi="Open Sans"/>
                <w:sz w:val="4"/>
                <w:szCs w:val="4"/>
              </w:rPr>
            </w:pPr>
            <w:r>
              <w:rPr>
                <w:rFonts w:ascii="Open Sans" w:hAnsi="Open Sans"/>
                <w:sz w:val="4"/>
                <w:szCs w:val="4"/>
              </w:rPr>
            </w:r>
          </w:p>
        </w:tc>
        <w:tc>
          <w:tcPr>
            <w:tcW w:w="890" w:type="dxa"/>
            <w:tcBorders>
              <w:top w:val="single" w:sz="2" w:space="0" w:color="DCDCDC"/>
            </w:tcBorders>
            <w:tcMar>
              <w:top w:w="120" w:type="dxa"/>
              <w:right w:w="0" w:type="dxa"/>
            </w:tcMar>
            <w:vAlign w:val="center"/>
          </w:tcPr>
          <w:p>
            <w:pPr>
              <w:pStyle w:val="Contenidodelatabla"/>
              <w:bidi w:val="0"/>
              <w:jc w:val="left"/>
              <w:rPr>
                <w:rFonts w:ascii="Open Sans" w:hAnsi="Open Sans"/>
                <w:sz w:val="4"/>
                <w:szCs w:val="4"/>
              </w:rPr>
            </w:pPr>
            <w:r>
              <w:rPr>
                <w:rFonts w:ascii="Open Sans" w:hAnsi="Open Sans"/>
                <w:sz w:val="4"/>
                <w:szCs w:val="4"/>
              </w:rPr>
            </w:r>
          </w:p>
        </w:tc>
      </w:tr>
    </w:tbl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 xml:space="preserve">La Resolución Número 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7</w:t>
      </w: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 xml:space="preserve"> del Consejo de Contenido que modifica la Declaración de la Estantería Digital de Papalotla y por imperativo de reforma establece la Carta de Derechos de los Usuarios y la Comunidad queda aprobada por unanimidad, cumpliéndose así el mínimo para poder editar la declaración principal.</w:t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bookmarkStart w:id="11" w:name="firmas"/>
      <w:bookmarkEnd w:id="11"/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4</w:t>
      </w:r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. Firmas</w:t>
      </w:r>
    </w:p>
    <w:p>
      <w:pPr>
        <w:pStyle w:val="Heading3"/>
        <w:widowControl/>
        <w:bidi w:val="0"/>
        <w:spacing w:lineRule="auto" w:line="319" w:before="0" w:after="140"/>
        <w:ind w:hanging="0" w:left="0" w:right="0"/>
        <w:jc w:val="left"/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5</w:t>
      </w:r>
      <w:r>
        <w:rPr>
          <w:rFonts w:ascii="Open Sans" w:hAnsi="Open Sans"/>
          <w:b/>
          <w:bCs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. Conclusión y logs</w:t>
      </w:r>
    </w:p>
    <w:p>
      <w:pPr>
        <w:pStyle w:val="BodyText"/>
        <w:widowControl/>
        <w:bidi w:val="0"/>
        <w:ind w:hanging="0" w:left="0" w:right="0"/>
        <w:jc w:val="left"/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26"/>
          <w14:textFill>
            <w14:solidFill>
              <w14:srgbClr w14:val="000000">
                <w14:alpha w14:val="25000"/>
              </w14:srgbClr>
            </w14:solidFill>
          </w14:textFill>
        </w:rPr>
        <w:t>Se instruye a la Mesa de Administración para la recolección de firmas necesarias, su publicación oficial y la implementación inmediata de la nueva Declaración modificada.</w:t>
      </w:r>
    </w:p>
    <w:p>
      <w:pPr>
        <w:pStyle w:val="BodyText"/>
        <w:bidi w:val="0"/>
        <w:spacing w:before="0" w:after="140"/>
        <w:jc w:val="left"/>
        <w:rPr>
          <w:rFonts w:ascii="Open Sans" w:hAnsi="Open Sans"/>
        </w:rPr>
      </w:pPr>
      <w:r>
        <w:rPr>
          <w:rFonts w:ascii="Open Sans" w:hAnsi="Open Sans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Open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MX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itaenbloque">
    <w:name w:val="Cita en bloque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4410</TotalTime>
  <Application>LibreOffice/25.2.4.3$Windows_X86_64 LibreOffice_project/33e196637044ead23f5c3226cde09b47731f7e27</Application>
  <AppVersion>15.0000</AppVersion>
  <Pages>6</Pages>
  <Words>1303</Words>
  <Characters>7045</Characters>
  <CharactersWithSpaces>8250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2025-07-29T21:22:40Z</dcterms:created>
  <dc:creator/>
  <dc:description/>
  <dc:language>es-MX</dc:language>
  <cp:lastModifiedBy/>
  <dcterms:modified xsi:type="dcterms:W3CDTF">2025-08-01T22:52:47Z</dcterms:modified>
  <cp:revision>3</cp:revision>
  <dc:subject/>
  <dc:title/>
</cp:coreProperties>
</file>