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Palatino Linotype" w:cs="Palatino Linotype" w:eastAsia="Palatino Linotype" w:hAnsi="Palatino Linotype"/>
          <w:b/>
          <w:bCs/>
          <w:color w:val="1A3A6B"/>
          <w:sz w:val="56"/>
          <w:szCs w:val="56"/>
        </w:rPr>
        <w:t xml:space="preserve">PELICAN-FX</w:t>
      </w:r>
    </w:p>
    <w:p>
      <w:pPr>
        <w:spacing w:after="160"/>
        <w:jc w:val="center"/>
      </w:pPr>
      <w:r>
        <w:rPr>
          <w:rFonts w:ascii="Palatino Linotype" w:cs="Palatino Linotype" w:eastAsia="Palatino Linotype" w:hAnsi="Palatino Linotype"/>
          <w:i/>
          <w:iCs/>
          <w:color w:val="444444"/>
          <w:sz w:val="28"/>
          <w:szCs w:val="28"/>
        </w:rPr>
        <w:t xml:space="preserve">Permutation-Equivariant and Lorentz-Inspired Aggregator Network for Quantitative Finance</w:t>
      </w:r>
    </w:p>
    <w:p>
      <w:pPr>
        <w:spacing w:after="80"/>
        <w:jc w:val="center"/>
      </w:pPr>
      <w:r>
        <w:rPr>
          <w:rFonts w:ascii="Palatino Linotype" w:cs="Palatino Linotype" w:eastAsia="Palatino Linotype" w:hAnsi="Palatino Linotype"/>
          <w:color w:val="666666"/>
          <w:sz w:val="22"/>
          <w:szCs w:val="22"/>
        </w:rPr>
        <w:t xml:space="preserve">Adapting Symmetry-Constrained Architectures from Particle Physics to Cross-Sectional Equity Modelling</w:t>
      </w:r>
    </w:p>
    <w:p>
      <w:pPr>
        <w:spacing w:before="200"/>
      </w:pPr>
    </w:p>
    <w:p>
      <w:pPr>
        <w:spacing w:after="120"/>
        <w:jc w:val="center"/>
      </w:pPr>
      <w:r>
        <w:rPr>
          <w:rFonts w:ascii="Palatino Linotype" w:cs="Palatino Linotype" w:eastAsia="Palatino Linotype" w:hAnsi="Palatino Linotype"/>
          <w:b/>
          <w:bCs/>
          <w:color w:val="1A3A6B"/>
          <w:sz w:val="24"/>
          <w:szCs w:val="24"/>
        </w:rPr>
        <w:t xml:space="preserve">Abstract</w:t>
      </w:r>
    </w:p>
    <w:p>
      <w:pPr>
        <w:spacing w:after="240" w:line="280"/>
        <w:ind w:left="720" w:right="720"/>
        <w:jc w:val="both"/>
      </w:pPr>
      <w:r>
        <w:rPr>
          <w:rFonts w:ascii="Palatino Linotype" w:cs="Palatino Linotype" w:eastAsia="Palatino Linotype" w:hAnsi="Palatino Linotype"/>
          <w:sz w:val="22"/>
          <w:szCs w:val="22"/>
        </w:rPr>
        <w:t xml:space="preserve">We present PELICAN-FX, a re-framing of the PELICAN architecture (Bogatskiy et al., NeurIPS ML4PS Workshop, 2022) for application to quantitative finance. PELICAN was designed to process unordered sets of four-momenta in high-energy particle physics, exploiting the permutation symmetry of jet constituents and Lorentz-invariant pairwise dot products as inputs. We show that the structural analogies between particle jets and financial asset universes are precise and deep: both domains present unordered sets of objects characterised by pairwise interaction tensors, both demand equivariance to relabelling of those objects, and both benefit from a message-passing scheme whose aggregation operations are constrained by the symmetry group of the input space. PELICAN’s key design decisions — using the </w:t>
      </w:r>
      <w:r>
        <w:rPr>
          <w:rFonts w:ascii="Palatino Linotype" w:cs="Palatino Linotype" w:eastAsia="Palatino Linotype" w:hAnsi="Palatino Linotype"/>
          <w:i/>
          <w:iCs/>
          <w:sz w:val="22"/>
          <w:szCs w:val="22"/>
        </w:rPr>
        <w:t xml:space="preserve">complete set</w:t>
      </w:r>
      <w:r>
        <w:rPr>
          <w:rFonts w:ascii="Palatino Linotype" w:cs="Palatino Linotype" w:eastAsia="Palatino Linotype" w:hAnsi="Palatino Linotype"/>
          <w:sz w:val="22"/>
          <w:szCs w:val="22"/>
        </w:rPr>
        <w:t xml:space="preserve"> of pairwise invariants as input, stacking 15-basis equivariant Eq₂→₂ aggregation layers, and reducing to invariant scalars via Eq₂→₀ — translate directly into the financial setting when Lorentz invariants are replaced by financial pairwise signals (return correlations, factor cross-exposures, co-skewness tensors) and the Lorentz group is replaced by the symmetric group Sₙ. The resulting architecture, PELICAN-FX, operates on an unordered N-asset universe, propagates information through learned equivariant pairwise layers, and produces cross-sectional return predictions or portfolio weights that are equivariant to any relabelling of the asset universe. Analogously to PELICAN’s state-of-the-art accuracy at 45k parameters versus competitors requiring 220k–498k, PELICAN-FX achieves competitive out-of-sample Sharpe ratios with substantially fewer parameters than Transformer baselines, and unlike standard deep learning architectures it generalises cleanly to changes in universe size and composition.</w:t>
      </w:r>
    </w:p>
    <w:p>
      <w:pPr>
        <w:pBdr>
          <w:bottom w:val="single" w:color="1A3A6B" w:sz="6" w:space="1"/>
        </w:pBdr>
        <w:spacing w:before="0" w:after="240"/>
      </w:pPr>
    </w:p>
    <w:p>
      <w:pPr>
        <w:pStyle w:val="Heading1"/>
        <w:spacing w:before="400" w:after="180"/>
      </w:pPr>
      <w:r>
        <w:rPr>
          <w:rFonts w:ascii="Palatino Linotype" w:cs="Palatino Linotype" w:eastAsia="Palatino Linotype" w:hAnsi="Palatino Linotype"/>
          <w:b/>
          <w:bCs/>
          <w:color w:val="1A3A6B"/>
          <w:sz w:val="28"/>
          <w:szCs w:val="28"/>
        </w:rPr>
        <w:t xml:space="preserve">1.  Introduction</w:t>
      </w:r>
    </w:p>
    <w:p>
      <w:pPr>
        <w:spacing w:after="140" w:line="280"/>
        <w:jc w:val="both"/>
      </w:pPr>
      <w:r>
        <w:rPr>
          <w:rFonts w:ascii="Palatino Linotype" w:cs="Palatino Linotype" w:eastAsia="Palatino Linotype" w:hAnsi="Palatino Linotype"/>
          <w:sz w:val="22"/>
          <w:szCs w:val="22"/>
        </w:rPr>
        <w:t xml:space="preserve">A persistent challenge in machine learning for quantitative finance is building models that generalise: a model trained on one market regime, one asset universe, or one time period should retain predictive power when conditions shift. Standard deep learning architectures — feedforward networks, LSTMs, Transformers — treat the N assets in a universe as a sequence indexed by an arbitrary integer label. This is a problematic inductive bias. The label assigned to any given asset is an artefact of how the data were loaded, not a structural property of the market. A model that is sensitive to this labelling will waste capacity learning something that should have been impossible by construction.</w:t>
      </w:r>
    </w:p>
    <w:p>
      <w:pPr>
        <w:spacing w:before="80"/>
      </w:pPr>
    </w:p>
    <w:p>
      <w:pPr>
        <w:spacing w:after="140" w:line="280"/>
        <w:jc w:val="both"/>
      </w:pPr>
      <w:r>
        <w:rPr>
          <w:rFonts w:ascii="Palatino Linotype" w:cs="Palatino Linotype" w:eastAsia="Palatino Linotype" w:hAnsi="Palatino Linotype"/>
          <w:sz w:val="22"/>
          <w:szCs w:val="22"/>
        </w:rPr>
        <w:t xml:space="preserve">Particle physics has faced the same challenge in a more acute form. In high-energy collider experiments, a proton–proton collision produces a “jet”: a spray of up to 200 hadrons whose identities, momenta, and energies must be jointly processed to infer properties of the underlying hard-scattering event. Those hadrons form an </w:t>
      </w:r>
      <w:r>
        <w:rPr>
          <w:rFonts w:ascii="Palatino Linotype" w:cs="Palatino Linotype" w:eastAsia="Palatino Linotype" w:hAnsi="Palatino Linotype"/>
          <w:i/>
          <w:iCs/>
          <w:sz w:val="22"/>
          <w:szCs w:val="22"/>
        </w:rPr>
        <w:t xml:space="preserve">unordered set</w:t>
      </w:r>
      <w:r>
        <w:rPr>
          <w:rFonts w:ascii="Palatino Linotype" w:cs="Palatino Linotype" w:eastAsia="Palatino Linotype" w:hAnsi="Palatino Linotype"/>
          <w:sz w:val="22"/>
          <w:szCs w:val="22"/>
        </w:rPr>
        <w:t xml:space="preserve">. The Standard Model is indifferent to the labelling of particles; physical observables must therefore be invariant (or equivariant) to permutations of the particle list. PELICAN (Bogatskiy et al., 2022) was designed explicitly around this constraint: it takes as input the </w:t>
      </w:r>
      <w:r>
        <w:rPr>
          <w:rFonts w:ascii="Palatino Linotype" w:cs="Palatino Linotype" w:eastAsia="Palatino Linotype" w:hAnsi="Palatino Linotype"/>
          <w:i/>
          <w:iCs/>
          <w:sz w:val="22"/>
          <w:szCs w:val="22"/>
        </w:rPr>
        <w:t xml:space="preserve">complete set of Lorentz-invariant pairwise dot products</w:t>
      </w:r>
      <w:r>
        <w:rPr>
          <w:rFonts w:ascii="Palatino Linotype" w:cs="Palatino Linotype" w:eastAsia="Palatino Linotype" w:hAnsi="Palatino Linotype"/>
          <w:sz w:val="22"/>
          <w:szCs w:val="22"/>
        </w:rPr>
        <w:t xml:space="preserve"> among all jet constituents, operates on the resulting N×N matrix using a sequence of permutation-equivariant layers drawn from a fully characterised 15-dimensional basis, and reduces to invariant scalars for classification via a 2-aggregator layer. PELICAN achieves state-of-the-art accuracy on the standard top-quark-tagging benchmark with only 45k parameters, against 220k for LorentzNet and 498k for ParticleNet.</w:t>
      </w:r>
    </w:p>
    <w:p>
      <w:pPr>
        <w:spacing w:before="80"/>
      </w:pPr>
    </w:p>
    <w:p>
      <w:pPr>
        <w:spacing w:after="140" w:line="280"/>
        <w:jc w:val="both"/>
      </w:pPr>
      <w:r>
        <w:rPr>
          <w:rFonts w:ascii="Palatino Linotype" w:cs="Palatino Linotype" w:eastAsia="Palatino Linotype" w:hAnsi="Palatino Linotype"/>
          <w:sz w:val="22"/>
          <w:szCs w:val="22"/>
        </w:rPr>
        <w:t xml:space="preserve">In this paper we argue that the structural parallels between jets and financial asset universes are </w:t>
      </w:r>
      <w:r>
        <w:rPr>
          <w:rFonts w:ascii="Palatino Linotype" w:cs="Palatino Linotype" w:eastAsia="Palatino Linotype" w:hAnsi="Palatino Linotype"/>
          <w:i/>
          <w:iCs/>
          <w:sz w:val="22"/>
          <w:szCs w:val="22"/>
        </w:rPr>
        <w:t xml:space="preserve">exact</w:t>
      </w:r>
      <w:r>
        <w:rPr>
          <w:rFonts w:ascii="Palatino Linotype" w:cs="Palatino Linotype" w:eastAsia="Palatino Linotype" w:hAnsi="Palatino Linotype"/>
          <w:sz w:val="22"/>
          <w:szCs w:val="22"/>
        </w:rPr>
        <w:t xml:space="preserve"> rather than analogical, and we derive PELICAN-FX by a precise substitution of financial quantities for physical quantities throughout the PELICAN design. Our contributions are:</w:t>
      </w:r>
    </w:p>
    <w:p>
      <w:pPr>
        <w:spacing w:before="60"/>
      </w:pPr>
    </w:p>
    <w:p>
      <w:pPr>
        <w:pStyle w:val="ListParagraph"/>
        <w:numPr>
          <w:ilvl w:val="0"/>
          <w:numId w:val="2"/>
        </w:numPr>
        <w:spacing w:after="80" w:line="280"/>
      </w:pPr>
      <w:r>
        <w:rPr>
          <w:rFonts w:ascii="Palatino Linotype" w:cs="Palatino Linotype" w:eastAsia="Palatino Linotype" w:hAnsi="Palatino Linotype"/>
          <w:b/>
          <w:bCs/>
          <w:sz w:val="22"/>
          <w:szCs w:val="22"/>
        </w:rPr>
        <w:t xml:space="preserve">Exact structural dictionary. </w:t>
      </w:r>
      <w:r>
        <w:rPr>
          <w:rFonts w:ascii="Palatino Linotype" w:cs="Palatino Linotype" w:eastAsia="Palatino Linotype" w:hAnsi="Palatino Linotype"/>
          <w:sz w:val="22"/>
          <w:szCs w:val="22"/>
        </w:rPr>
        <w:t xml:space="preserve">We establish a one-to-one mapping between PELICAN’s building blocks — particle set, four-momenta, Lorentz dot products, Lorentz group, equivariant basis, jet-level invariants — and their financial counterparts.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Symmetry simplification. </w:t>
      </w:r>
      <w:r>
        <w:rPr>
          <w:rFonts w:ascii="Palatino Linotype" w:cs="Palatino Linotype" w:eastAsia="Palatino Linotype" w:hAnsi="Palatino Linotype"/>
          <w:sz w:val="22"/>
          <w:szCs w:val="22"/>
        </w:rPr>
        <w:t xml:space="preserve">PELICAN exploits a Lorentz-compatible subset of the 15-dimensional Sₙ basis. In finance, only Sₙ equivariance is required; all 15 basis elements are admissible, giving PELICAN-FX strictly more architectural flexibility than the physics original.</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Architecture derivation. </w:t>
      </w:r>
      <w:r>
        <w:rPr>
          <w:rFonts w:ascii="Palatino Linotype" w:cs="Palatino Linotype" w:eastAsia="Palatino Linotype" w:hAnsi="Palatino Linotype"/>
          <w:sz w:val="22"/>
          <w:szCs w:val="22"/>
        </w:rPr>
        <w:t xml:space="preserve">We derive PELICAN-FX, including the input encoding layer, the Eq₂→₂ pairwise blocks, the Eq₂→₀ and Eq₂→₁ output heads, the learnable N-scaling exponents α, and their financial interpretations.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Empirical grounding. </w:t>
      </w:r>
      <w:r>
        <w:rPr>
          <w:rFonts w:ascii="Palatino Linotype" w:cs="Palatino Linotype" w:eastAsia="Palatino Linotype" w:hAnsi="Palatino Linotype"/>
          <w:sz w:val="22"/>
          <w:szCs w:val="22"/>
        </w:rPr>
        <w:t xml:space="preserve">We benchmark PELICAN-FX on synthetic and real equity cross-sectional momentum tasks, reporting parameter efficiency, out-of-sample Sharpe, and universe-size generalisation relative to Transformer, DeepSets, and GNN baselines.</w:t>
      </w:r>
    </w:p>
    <w:p>
      <w:pPr>
        <w:spacing w:before="80"/>
      </w:pPr>
    </w:p>
    <w:p>
      <w:pPr>
        <w:spacing w:after="140" w:line="280"/>
        <w:jc w:val="both"/>
      </w:pPr>
      <w:r>
        <w:rPr>
          <w:rFonts w:ascii="Palatino Linotype" w:cs="Palatino Linotype" w:eastAsia="Palatino Linotype" w:hAnsi="Palatino Linotype"/>
          <w:sz w:val="22"/>
          <w:szCs w:val="22"/>
        </w:rPr>
        <w:t xml:space="preserve">Section 2 reviews the PELICAN architecture in full technical detail. Section 3 constructs the physics-to-finance dictionary. Section 4 derives PELICAN-FX. Section 5 describes experiments. Section 6 discusses extensions and limitations.</w:t>
      </w:r>
    </w:p>
    <w:p>
      <w:pPr>
        <w:pStyle w:val="Heading1"/>
        <w:spacing w:before="400" w:after="180"/>
      </w:pPr>
      <w:r>
        <w:rPr>
          <w:rFonts w:ascii="Palatino Linotype" w:cs="Palatino Linotype" w:eastAsia="Palatino Linotype" w:hAnsi="Palatino Linotype"/>
          <w:b/>
          <w:bCs/>
          <w:color w:val="1A3A6B"/>
          <w:sz w:val="28"/>
          <w:szCs w:val="28"/>
        </w:rPr>
        <w:t xml:space="preserve">2.  The PELICAN Architecture</w:t>
      </w:r>
    </w:p>
    <w:p>
      <w:pPr>
        <w:pStyle w:val="Heading2"/>
        <w:spacing w:before="300" w:after="140"/>
      </w:pPr>
      <w:r>
        <w:rPr>
          <w:rFonts w:ascii="Palatino Linotype" w:cs="Palatino Linotype" w:eastAsia="Palatino Linotype" w:hAnsi="Palatino Linotype"/>
          <w:b/>
          <w:bCs/>
          <w:color w:val="1A3A6B"/>
          <w:sz w:val="24"/>
          <w:szCs w:val="24"/>
        </w:rPr>
        <w:t xml:space="preserve">2.1  Motivation: Symmetry Constraints in Jet Physics</w:t>
      </w:r>
    </w:p>
    <w:p>
      <w:pPr>
        <w:spacing w:after="140" w:line="280"/>
        <w:jc w:val="both"/>
      </w:pPr>
      <w:r>
        <w:rPr>
          <w:rFonts w:ascii="Palatino Linotype" w:cs="Palatino Linotype" w:eastAsia="Palatino Linotype" w:hAnsi="Palatino Linotype"/>
          <w:sz w:val="22"/>
          <w:szCs w:val="22"/>
        </w:rPr>
        <w:t xml:space="preserve">In collider physics a </w:t>
      </w:r>
      <w:r>
        <w:rPr>
          <w:rFonts w:ascii="Palatino Linotype" w:cs="Palatino Linotype" w:eastAsia="Palatino Linotype" w:hAnsi="Palatino Linotype"/>
          <w:i/>
          <w:iCs/>
          <w:sz w:val="22"/>
          <w:szCs w:val="22"/>
        </w:rPr>
        <w:t xml:space="preserve">jet</w:t>
      </w:r>
      <w:r>
        <w:rPr>
          <w:rFonts w:ascii="Palatino Linotype" w:cs="Palatino Linotype" w:eastAsia="Palatino Linotype" w:hAnsi="Palatino Linotype"/>
          <w:sz w:val="22"/>
          <w:szCs w:val="22"/>
        </w:rPr>
        <w:t xml:space="preserve"> is the collimated spray of hadrons produced when a high-energy quark or gluon fragments. Each jet constituent carries a four-momentum pμ = (E, p</w:t>
      </w:r>
      <w:r>
        <w:rPr>
          <w:rFonts w:ascii="Palatino Linotype" w:cs="Palatino Linotype" w:eastAsia="Palatino Linotype" w:hAnsi="Palatino Linotype"/>
          <w:i/>
          <w:iCs/>
          <w:sz w:val="22"/>
          <w:szCs w:val="22"/>
        </w:rPr>
        <w:t xml:space="preserve">x</w:t>
      </w:r>
      <w:r>
        <w:rPr>
          <w:rFonts w:ascii="Palatino Linotype" w:cs="Palatino Linotype" w:eastAsia="Palatino Linotype" w:hAnsi="Palatino Linotype"/>
          <w:sz w:val="22"/>
          <w:szCs w:val="22"/>
        </w:rPr>
        <w:t xml:space="preserve">, p</w:t>
      </w:r>
      <w:r>
        <w:rPr>
          <w:rFonts w:ascii="Palatino Linotype" w:cs="Palatino Linotype" w:eastAsia="Palatino Linotype" w:hAnsi="Palatino Linotype"/>
          <w:i/>
          <w:iCs/>
          <w:sz w:val="22"/>
          <w:szCs w:val="22"/>
        </w:rPr>
        <w:t xml:space="preserve">y</w:t>
      </w:r>
      <w:r>
        <w:rPr>
          <w:rFonts w:ascii="Palatino Linotype" w:cs="Palatino Linotype" w:eastAsia="Palatino Linotype" w:hAnsi="Palatino Linotype"/>
          <w:sz w:val="22"/>
          <w:szCs w:val="22"/>
        </w:rPr>
        <w:t xml:space="preserve">, p</w:t>
      </w:r>
      <w:r>
        <w:rPr>
          <w:rFonts w:ascii="Palatino Linotype" w:cs="Palatino Linotype" w:eastAsia="Palatino Linotype" w:hAnsi="Palatino Linotype"/>
          <w:i/>
          <w:iCs/>
          <w:sz w:val="22"/>
          <w:szCs w:val="22"/>
        </w:rPr>
        <w:t xml:space="preserve">z</w:t>
      </w:r>
      <w:r>
        <w:rPr>
          <w:rFonts w:ascii="Palatino Linotype" w:cs="Palatino Linotype" w:eastAsia="Palatino Linotype" w:hAnsi="Palatino Linotype"/>
          <w:sz w:val="22"/>
          <w:szCs w:val="22"/>
        </w:rPr>
        <w:t xml:space="preserve">) transforming under the proper orthochronous Lorentz group SO⁺(1,3). Two symmetry requirements arise simultaneously: (i) all physically meaningful outputs must be invariant under Lorentz transformations Λ ∈ SO⁺(1,3); and (ii) all outputs must be equivariant to permutations of the particle list π ∈ Sₙ, because particle labelling carries no physical meaning.</w:t>
      </w:r>
    </w:p>
    <w:p>
      <w:pPr>
        <w:spacing w:before="80"/>
      </w:pPr>
    </w:p>
    <w:p>
      <w:pPr>
        <w:spacing w:after="140" w:line="280"/>
        <w:jc w:val="both"/>
      </w:pPr>
      <w:r>
        <w:rPr>
          <w:rFonts w:ascii="Palatino Linotype" w:cs="Palatino Linotype" w:eastAsia="Palatino Linotype" w:hAnsi="Palatino Linotype"/>
          <w:sz w:val="22"/>
          <w:szCs w:val="22"/>
        </w:rPr>
        <w:t xml:space="preserve">Earlier approaches either violated one requirement or the other. Image-based CNNs exploit translational symmetry (appropriate to image grids, not jets) and are not Lorentz-equivariant. Simpler symmetry-invariant networks hand-pick invariant observables and pass them through a generic MLP, discarding the equivariant latent structure that enables weight-sharing. Graph neural networks with message passing can be permutation-equivariant but their standard formulation operates on single-label vertices, whereas the natural inputs for jet physics are </w:t>
      </w:r>
      <w:r>
        <w:rPr>
          <w:rFonts w:ascii="Palatino Linotype" w:cs="Palatino Linotype" w:eastAsia="Palatino Linotype" w:hAnsi="Palatino Linotype"/>
          <w:i/>
          <w:iCs/>
          <w:sz w:val="22"/>
          <w:szCs w:val="22"/>
        </w:rPr>
        <w:t xml:space="preserve">edge</w:t>
      </w:r>
      <w:r>
        <w:rPr>
          <w:rFonts w:ascii="Palatino Linotype" w:cs="Palatino Linotype" w:eastAsia="Palatino Linotype" w:hAnsi="Palatino Linotype"/>
          <w:sz w:val="22"/>
          <w:szCs w:val="22"/>
        </w:rPr>
        <w:t xml:space="preserve"> data: the pairwise dot products dᵢⱼ = pᵢ⋅pⱼ.</w:t>
      </w:r>
    </w:p>
    <w:p>
      <w:pPr>
        <w:pStyle w:val="Heading2"/>
        <w:spacing w:before="300" w:after="140"/>
      </w:pPr>
      <w:r>
        <w:rPr>
          <w:rFonts w:ascii="Palatino Linotype" w:cs="Palatino Linotype" w:eastAsia="Palatino Linotype" w:hAnsi="Palatino Linotype"/>
          <w:b/>
          <w:bCs/>
          <w:color w:val="1A3A6B"/>
          <w:sz w:val="24"/>
          <w:szCs w:val="24"/>
        </w:rPr>
        <w:t xml:space="preserve">2.2  Lorentz-Invariant Pairwise Inputs</w:t>
      </w:r>
    </w:p>
    <w:p>
      <w:pPr>
        <w:spacing w:after="140" w:line="280"/>
        <w:jc w:val="both"/>
      </w:pPr>
      <w:r>
        <w:rPr>
          <w:rFonts w:ascii="Palatino Linotype" w:cs="Palatino Linotype" w:eastAsia="Palatino Linotype" w:hAnsi="Palatino Linotype"/>
          <w:sz w:val="22"/>
          <w:szCs w:val="22"/>
        </w:rPr>
        <w:t xml:space="preserve">Weyl’s theorem (1946) characterises all symmetric Lorentz invariant functions of a collection of 4-vector inputs. All such functions depend only on the invariant dot products:</w:t>
      </w:r>
    </w:p>
    <w:p>
      <w:pPr>
        <w:spacing w:before="120" w:after="120"/>
        <w:jc w:val="center"/>
      </w:pPr>
      <w:r>
        <w:rPr>
          <w:rFonts w:ascii="Courier New" w:cs="Courier New" w:eastAsia="Courier New" w:hAnsi="Courier New"/>
          <w:i/>
          <w:iCs/>
          <w:sz w:val="22"/>
          <w:szCs w:val="22"/>
        </w:rPr>
        <w:t xml:space="preserve">I(p₁, ..., pₙ) = I( {pᵢ⋅pⱼ}ᵢ,ⱼ )         (Weyl, 1946)</w:t>
      </w:r>
    </w:p>
    <w:p>
      <w:pPr>
        <w:spacing w:after="140" w:line="280"/>
        <w:jc w:val="both"/>
      </w:pPr>
      <w:r>
        <w:rPr>
          <w:rFonts w:ascii="Palatino Linotype" w:cs="Palatino Linotype" w:eastAsia="Palatino Linotype" w:hAnsi="Palatino Linotype"/>
          <w:sz w:val="22"/>
          <w:szCs w:val="22"/>
        </w:rPr>
        <w:t xml:space="preserve">PELICAN therefore uses as its sole input the N×N matrix of all pairwise Minkowski dot products:</w:t>
      </w:r>
    </w:p>
    <w:p>
      <w:pPr>
        <w:spacing w:before="120" w:after="120"/>
        <w:jc w:val="center"/>
      </w:pPr>
      <w:r>
        <w:rPr>
          <w:rFonts w:ascii="Courier New" w:cs="Courier New" w:eastAsia="Courier New" w:hAnsi="Courier New"/>
          <w:i/>
          <w:iCs/>
          <w:sz w:val="22"/>
          <w:szCs w:val="22"/>
        </w:rPr>
        <w:t xml:space="preserve">dᵢⱼ = pᵢ⋅pⱼ = EᵢEⱼ − p⃗ᵢ·p⃗ⱼ</w:t>
      </w:r>
    </w:p>
    <w:p>
      <w:pPr>
        <w:spacing w:after="140" w:line="280"/>
        <w:jc w:val="both"/>
      </w:pPr>
      <w:r>
        <w:rPr>
          <w:rFonts w:ascii="Palatino Linotype" w:cs="Palatino Linotype" w:eastAsia="Palatino Linotype" w:hAnsi="Palatino Linotype"/>
          <w:sz w:val="22"/>
          <w:szCs w:val="22"/>
        </w:rPr>
        <w:t xml:space="preserve">These dot products are positive with a steeply decaying distribution. PELICAN’s input layer therefore applies learnable encoding functions of the form:</w:t>
      </w:r>
    </w:p>
    <w:p>
      <w:pPr>
        <w:spacing w:before="120" w:after="120"/>
        <w:jc w:val="center"/>
      </w:pPr>
      <w:r>
        <w:rPr>
          <w:rFonts w:ascii="Courier New" w:cs="Courier New" w:eastAsia="Courier New" w:hAnsi="Courier New"/>
          <w:i/>
          <w:iCs/>
          <w:sz w:val="22"/>
          <w:szCs w:val="22"/>
        </w:rPr>
        <w:t xml:space="preserve">fβ(x) = ((1+x)β² − 1) / β²</w:t>
      </w:r>
    </w:p>
    <w:p>
      <w:pPr>
        <w:spacing w:after="140" w:line="280"/>
        <w:jc w:val="both"/>
      </w:pPr>
      <w:r>
        <w:rPr>
          <w:rFonts w:ascii="Palatino Linotype" w:cs="Palatino Linotype" w:eastAsia="Palatino Linotype" w:hAnsi="Palatino Linotype"/>
          <w:sz w:val="22"/>
          <w:szCs w:val="22"/>
        </w:rPr>
        <w:t xml:space="preserve">with multiple trainable β parameters, followed by masked BatchNorm2D. Two </w:t>
      </w:r>
      <w:r>
        <w:rPr>
          <w:rFonts w:ascii="Palatino Linotype" w:cs="Palatino Linotype" w:eastAsia="Palatino Linotype" w:hAnsi="Palatino Linotype"/>
          <w:i/>
          <w:iCs/>
          <w:sz w:val="22"/>
          <w:szCs w:val="22"/>
        </w:rPr>
        <w:t xml:space="preserve">beam-particle</w:t>
      </w:r>
      <w:r>
        <w:rPr>
          <w:rFonts w:ascii="Palatino Linotype" w:cs="Palatino Linotype" w:eastAsia="Palatino Linotype" w:hAnsi="Palatino Linotype"/>
          <w:sz w:val="22"/>
          <w:szCs w:val="22"/>
        </w:rPr>
        <w:t xml:space="preserve"> four-momenta (1,0,0,±1) are appended to restore the fixed lab-frame orientation implicit in the simulated datasets. The final input tensor has shape [B, N_max, N_max, C⁰] where each feature vector encodes the encoded dot product and beam-membership flags for each particle pair.</w:t>
      </w:r>
    </w:p>
    <w:p>
      <w:pPr>
        <w:pStyle w:val="Heading2"/>
        <w:spacing w:before="300" w:after="140"/>
      </w:pPr>
      <w:r>
        <w:rPr>
          <w:rFonts w:ascii="Palatino Linotype" w:cs="Palatino Linotype" w:eastAsia="Palatino Linotype" w:hAnsi="Palatino Linotype"/>
          <w:b/>
          <w:bCs/>
          <w:color w:val="1A3A6B"/>
          <w:sz w:val="24"/>
          <w:szCs w:val="24"/>
        </w:rPr>
        <w:t xml:space="preserve">2.3  Permutation-Equivariant Layers</w:t>
      </w:r>
    </w:p>
    <w:p>
      <w:pPr>
        <w:spacing w:after="140" w:line="280"/>
        <w:jc w:val="both"/>
      </w:pPr>
      <w:r>
        <w:rPr>
          <w:rFonts w:ascii="Palatino Linotype" w:cs="Palatino Linotype" w:eastAsia="Palatino Linotype" w:hAnsi="Palatino Linotype"/>
          <w:sz w:val="22"/>
          <w:szCs w:val="22"/>
        </w:rPr>
        <w:t xml:space="preserve">A map F on an array Tᵢ₁ᵢ₂⋯ᵢr of rank r is permutation-equivariant if permutations commute with the map:</w:t>
      </w:r>
    </w:p>
    <w:p>
      <w:pPr>
        <w:spacing w:before="120" w:after="120"/>
        <w:jc w:val="center"/>
      </w:pPr>
      <w:r>
        <w:rPr>
          <w:rFonts w:ascii="Courier New" w:cs="Courier New" w:eastAsia="Courier New" w:hAnsi="Courier New"/>
          <w:i/>
          <w:iCs/>
          <w:sz w:val="22"/>
          <w:szCs w:val="22"/>
        </w:rPr>
        <w:t xml:space="preserve">F( π∘Tᵢ₁ᵢ₂⋯ᵢr ) = π∘F(Tᵢ₁ᵢ₂⋯ᵢs ),   π ∈ Sₙ</w:t>
      </w:r>
    </w:p>
    <w:p>
      <w:pPr>
        <w:spacing w:after="140" w:line="280"/>
        <w:jc w:val="both"/>
      </w:pPr>
      <w:r>
        <w:rPr>
          <w:rFonts w:ascii="Palatino Linotype" w:cs="Palatino Linotype" w:eastAsia="Palatino Linotype" w:hAnsi="Palatino Linotype"/>
          <w:sz w:val="22"/>
          <w:szCs w:val="22"/>
        </w:rPr>
        <w:t xml:space="preserve">where the action of permutations is diagonal: π∘Tᵢ₁⋯ᵢp = Tπ(ᵢ₁)⋯π(ᵢp). For the rank-2 case (N×N matrices) the </w:t>
      </w:r>
      <w:r>
        <w:rPr>
          <w:rFonts w:ascii="Palatino Linotype" w:cs="Palatino Linotype" w:eastAsia="Palatino Linotype" w:hAnsi="Palatino Linotype"/>
          <w:i/>
          <w:iCs/>
          <w:sz w:val="22"/>
          <w:szCs w:val="22"/>
        </w:rPr>
        <w:t xml:space="preserve">complete</w:t>
      </w:r>
      <w:r>
        <w:rPr>
          <w:rFonts w:ascii="Palatino Linotype" w:cs="Palatino Linotype" w:eastAsia="Palatino Linotype" w:hAnsi="Palatino Linotype"/>
          <w:sz w:val="22"/>
          <w:szCs w:val="22"/>
        </w:rPr>
        <w:t xml:space="preserve"> space of equivariant linear maps from rank-2 to rank-2 tensors is </w:t>
      </w:r>
      <w:r>
        <w:rPr>
          <w:rFonts w:ascii="Palatino Linotype" w:cs="Palatino Linotype" w:eastAsia="Palatino Linotype" w:hAnsi="Palatino Linotype"/>
          <w:b/>
          <w:bCs/>
          <w:sz w:val="22"/>
          <w:szCs w:val="22"/>
        </w:rPr>
        <w:t xml:space="preserve">15-dimensional</w:t>
      </w:r>
      <w:r>
        <w:rPr>
          <w:rFonts w:ascii="Palatino Linotype" w:cs="Palatino Linotype" w:eastAsia="Palatino Linotype" w:hAnsi="Palatino Linotype"/>
          <w:sz w:val="22"/>
          <w:szCs w:val="22"/>
        </w:rPr>
        <w:t xml:space="preserve">. Its basis elements {Bᵃᵢⱼₖl}, a=1,...,15, are binary rank-4 tensors characterised by Pan &amp; Kondor (2022). The action of the equivariant layer is:</w:t>
      </w:r>
    </w:p>
    <w:p>
      <w:pPr>
        <w:spacing w:before="120" w:after="120"/>
        <w:jc w:val="center"/>
      </w:pPr>
      <w:r>
        <w:rPr>
          <w:rFonts w:ascii="Courier New" w:cs="Courier New" w:eastAsia="Courier New" w:hAnsi="Courier New"/>
          <w:i/>
          <w:iCs/>
          <w:sz w:val="22"/>
          <w:szCs w:val="22"/>
        </w:rPr>
        <w:t xml:space="preserve">T'ᵃᵢⱼ = Σₖ,l Bᵃᵢⱼₖl Tₖl</w:t>
      </w:r>
    </w:p>
    <w:p>
      <w:pPr>
        <w:spacing w:after="140" w:line="280"/>
        <w:jc w:val="both"/>
      </w:pPr>
      <w:r>
        <w:rPr>
          <w:rFonts w:ascii="Palatino Linotype" w:cs="Palatino Linotype" w:eastAsia="Palatino Linotype" w:hAnsi="Palatino Linotype"/>
          <w:sz w:val="22"/>
          <w:szCs w:val="22"/>
        </w:rPr>
        <w:t xml:space="preserve">Five of the 15 basis elements map each (i,j) entry to a single (i,j) entry (identity, transpose, and three diagonal-to-off-diagonal maps) — these function as equivariant skip-connections. The remaining ten involve aggregations over N or N² elements and constitute the genuine information-mixing operations.</w:t>
      </w:r>
    </w:p>
    <w:p>
      <w:pPr>
        <w:pStyle w:val="Heading2"/>
        <w:spacing w:before="300" w:after="140"/>
      </w:pPr>
      <w:r>
        <w:rPr>
          <w:rFonts w:ascii="Palatino Linotype" w:cs="Palatino Linotype" w:eastAsia="Palatino Linotype" w:hAnsi="Palatino Linotype"/>
          <w:b/>
          <w:bCs/>
          <w:color w:val="1A3A6B"/>
          <w:sz w:val="24"/>
          <w:szCs w:val="24"/>
        </w:rPr>
        <w:t xml:space="preserve">2.4  The Eq₂→₂ Block</w:t>
      </w:r>
    </w:p>
    <w:p>
      <w:pPr>
        <w:spacing w:after="140" w:line="280"/>
        <w:jc w:val="both"/>
      </w:pPr>
      <w:r>
        <w:rPr>
          <w:rFonts w:ascii="Palatino Linotype" w:cs="Palatino Linotype" w:eastAsia="Palatino Linotype" w:hAnsi="Palatino Linotype"/>
          <w:sz w:val="22"/>
          <w:szCs w:val="22"/>
        </w:rPr>
        <w:t xml:space="preserve">The main building block of PELICAN is the Eq₂→₂ block. Given an input tensor of shape [B, N_max, N_max, Cˡ], it outputs a tensor of the same spatial shape with Cˡ⁺¹ channels. The block consists of:</w:t>
      </w:r>
    </w:p>
    <w:p>
      <w:pPr>
        <w:spacing w:before="60"/>
      </w:pPr>
    </w:p>
    <w:p>
      <w:pPr>
        <w:pStyle w:val="ListParagraph"/>
        <w:numPr>
          <w:ilvl w:val="0"/>
          <w:numId w:val="2"/>
        </w:numPr>
        <w:spacing w:after="80" w:line="280"/>
      </w:pPr>
      <w:r>
        <w:rPr>
          <w:rFonts w:ascii="Palatino Linotype" w:cs="Palatino Linotype" w:eastAsia="Palatino Linotype" w:hAnsi="Palatino Linotype"/>
          <w:b/>
          <w:bCs/>
          <w:sz w:val="22"/>
          <w:szCs w:val="22"/>
        </w:rPr>
        <w:t xml:space="preserve">MSG (message block): </w:t>
      </w:r>
      <w:r>
        <w:rPr>
          <w:rFonts w:ascii="Palatino Linotype" w:cs="Palatino Linotype" w:eastAsia="Palatino Linotype" w:hAnsi="Palatino Linotype"/>
          <w:sz w:val="22"/>
          <w:szCs w:val="22"/>
        </w:rPr>
        <w:t xml:space="preserve">A dense layer acting on the channel dimension, followed by LeakyReLU activation, masked BatchNorm2D, and dropout. This is a node-wise nonlinear map shared across all particle pairs.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AGG (aggregation block): </w:t>
      </w:r>
      <w:r>
        <w:rPr>
          <w:rFonts w:ascii="Palatino Linotype" w:cs="Palatino Linotype" w:eastAsia="Palatino Linotype" w:hAnsi="Palatino Linotype"/>
          <w:sz w:val="22"/>
          <w:szCs w:val="22"/>
        </w:rPr>
        <w:t xml:space="preserve">All 15 equivariant aggregation functions LinEq₂→₂ are applied to each channel independently, producing Cˡ × 15 aggregation values. Each is multiplied by a learnable scaling factor (N/Ṅ)α with trainable exponent α (initialised uniformly in [0,1], allowed to go negative). Setting α=1 recovers sum aggregation; fractional and negative values allow the network to adjust sensitivity to variable-size inputs.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Channel mixing: </w:t>
      </w:r>
      <w:r>
        <w:rPr>
          <w:rFonts w:ascii="Palatino Linotype" w:cs="Palatino Linotype" w:eastAsia="Palatino Linotype" w:hAnsi="Palatino Linotype"/>
          <w:sz w:val="22"/>
          <w:szCs w:val="22"/>
        </w:rPr>
        <w:t xml:space="preserve">A dense layer mixes the Cˡ×15 aggregated values down to Cˡ⁺¹ output channels, followed by LeakyReLU.</w:t>
      </w:r>
    </w:p>
    <w:p>
      <w:pPr>
        <w:spacing w:before="60"/>
      </w:pPr>
    </w:p>
    <w:p>
      <w:pPr>
        <w:spacing w:after="140" w:line="280"/>
        <w:jc w:val="both"/>
      </w:pPr>
      <w:r>
        <w:rPr>
          <w:rFonts w:ascii="Palatino Linotype" w:cs="Palatino Linotype" w:eastAsia="Palatino Linotype" w:hAnsi="Palatino Linotype"/>
          <w:sz w:val="22"/>
          <w:szCs w:val="22"/>
        </w:rPr>
        <w:t xml:space="preserve">PELICAN stacks </w:t>
      </w:r>
      <w:r>
        <w:rPr>
          <w:rFonts w:ascii="Palatino Linotype" w:cs="Palatino Linotype" w:eastAsia="Palatino Linotype" w:hAnsi="Palatino Linotype"/>
          <w:b/>
          <w:bCs/>
          <w:sz w:val="22"/>
          <w:szCs w:val="22"/>
        </w:rPr>
        <w:t xml:space="preserve">five</w:t>
      </w:r>
      <w:r>
        <w:rPr>
          <w:rFonts w:ascii="Palatino Linotype" w:cs="Palatino Linotype" w:eastAsia="Palatino Linotype" w:hAnsi="Palatino Linotype"/>
          <w:sz w:val="22"/>
          <w:szCs w:val="22"/>
        </w:rPr>
        <w:t xml:space="preserve"> such Eq₂→₂ blocks, determined by hyperparameter search. The MSG blocks output 35 channels; the AGG blocks output 60.</w:t>
      </w:r>
    </w:p>
    <w:p>
      <w:pPr>
        <w:pStyle w:val="Heading2"/>
        <w:spacing w:before="300" w:after="140"/>
      </w:pPr>
      <w:r>
        <w:rPr>
          <w:rFonts w:ascii="Palatino Linotype" w:cs="Palatino Linotype" w:eastAsia="Palatino Linotype" w:hAnsi="Palatino Linotype"/>
          <w:b/>
          <w:bCs/>
          <w:color w:val="1A3A6B"/>
          <w:sz w:val="24"/>
          <w:szCs w:val="24"/>
        </w:rPr>
        <w:t xml:space="preserve">2.5  Output Heads: Eq₂→₀ and Eq₂→₁</w:t>
      </w:r>
    </w:p>
    <w:p>
      <w:pPr>
        <w:spacing w:after="140" w:line="280"/>
        <w:jc w:val="both"/>
      </w:pPr>
      <w:r>
        <w:rPr>
          <w:rFonts w:ascii="Palatino Linotype" w:cs="Palatino Linotype" w:eastAsia="Palatino Linotype" w:hAnsi="Palatino Linotype"/>
          <w:b/>
          <w:bCs/>
          <w:sz w:val="22"/>
          <w:szCs w:val="22"/>
        </w:rPr>
        <w:t xml:space="preserve">Classifier (Eq₂→₀):</w:t>
      </w:r>
      <w:r>
        <w:rPr>
          <w:rFonts w:ascii="Palatino Linotype" w:cs="Palatino Linotype" w:eastAsia="Palatino Linotype" w:hAnsi="Palatino Linotype"/>
          <w:sz w:val="22"/>
          <w:szCs w:val="22"/>
        </w:rPr>
        <w:t xml:space="preserve"> After the equivariant blocks, a final Eq₂→₀ layer reduces the N×N tensor to permutation-invariant scalars using only </w:t>
      </w:r>
      <w:r>
        <w:rPr>
          <w:rFonts w:ascii="Palatino Linotype" w:cs="Palatino Linotype" w:eastAsia="Palatino Linotype" w:hAnsi="Palatino Linotype"/>
          <w:b/>
          <w:bCs/>
          <w:sz w:val="22"/>
          <w:szCs w:val="22"/>
        </w:rPr>
        <w:t xml:space="preserve">2</w:t>
      </w:r>
      <w:r>
        <w:rPr>
          <w:rFonts w:ascii="Palatino Linotype" w:cs="Palatino Linotype" w:eastAsia="Palatino Linotype" w:hAnsi="Palatino Linotype"/>
          <w:sz w:val="22"/>
          <w:szCs w:val="22"/>
        </w:rPr>
        <w:t xml:space="preserve"> aggregation functions: the trace and the total sum of the input square matrix. A dense layer then maps these to the 2 classification logits. Total parameters: 45k.</w:t>
      </w:r>
    </w:p>
    <w:p>
      <w:pPr>
        <w:spacing w:before="80"/>
      </w:pPr>
    </w:p>
    <w:p>
      <w:pPr>
        <w:spacing w:after="140" w:line="280"/>
        <w:jc w:val="both"/>
      </w:pPr>
      <w:r>
        <w:rPr>
          <w:rFonts w:ascii="Palatino Linotype" w:cs="Palatino Linotype" w:eastAsia="Palatino Linotype" w:hAnsi="Palatino Linotype"/>
          <w:b/>
          <w:bCs/>
          <w:sz w:val="22"/>
          <w:szCs w:val="22"/>
        </w:rPr>
        <w:t xml:space="preserve">Regressor (Eq₂→₁):</w:t>
      </w:r>
      <w:r>
        <w:rPr>
          <w:rFonts w:ascii="Palatino Linotype" w:cs="Palatino Linotype" w:eastAsia="Palatino Linotype" w:hAnsi="Palatino Linotype"/>
          <w:sz w:val="22"/>
          <w:szCs w:val="22"/>
        </w:rPr>
        <w:t xml:space="preserve"> For 4-momentum regression, the output head is Eq₂→₁, which uses </w:t>
      </w:r>
      <w:r>
        <w:rPr>
          <w:rFonts w:ascii="Palatino Linotype" w:cs="Palatino Linotype" w:eastAsia="Palatino Linotype" w:hAnsi="Palatino Linotype"/>
          <w:b/>
          <w:bCs/>
          <w:sz w:val="22"/>
          <w:szCs w:val="22"/>
        </w:rPr>
        <w:t xml:space="preserve">4</w:t>
      </w:r>
      <w:r>
        <w:rPr>
          <w:rFonts w:ascii="Palatino Linotype" w:cs="Palatino Linotype" w:eastAsia="Palatino Linotype" w:hAnsi="Palatino Linotype"/>
          <w:sz w:val="22"/>
          <w:szCs w:val="22"/>
        </w:rPr>
        <w:t xml:space="preserve"> linear aggregation functions to map the N×N tensor to an N-length per-particle vector. The predicted output 4-momentum is then F(p₁,...,pₙ) = Σᵢ fᵢ(p₁,...,pₙ)·pᵢ, the most general form of any Lorentz-equivariant map to a 4-vector (Villar et al., 2021). The regression network uses 36k parameters.</w:t>
      </w:r>
    </w:p>
    <w:p>
      <w:pPr>
        <w:spacing w:before="80"/>
      </w:pPr>
    </w:p>
    <w:p>
      <w:pPr>
        <w:spacing w:after="140" w:line="280"/>
        <w:jc w:val="both"/>
      </w:pPr>
      <w:r>
        <w:rPr>
          <w:rFonts w:ascii="Palatino Linotype" w:cs="Palatino Linotype" w:eastAsia="Palatino Linotype" w:hAnsi="Palatino Linotype"/>
          <w:sz w:val="22"/>
          <w:szCs w:val="22"/>
        </w:rPr>
        <w:t xml:space="preserve">These results are summarised in Table 1. PELICAN achieves accuracy 0.9425, AUC 0.9869, and background rejection 1/ε_B = 2289 at only 45k parameters, outperforming LorentzNet (220k) and ParticleNet (498k).</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760"/>
        <w:gridCol w:w="1200"/>
        <w:gridCol w:w="1400"/>
      </w:tblGrid>
      <w:tr>
        <w:tc>
          <w:tcPr>
            <w:tcW w:type="dxa" w:w="24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Architecture</w:t>
            </w:r>
          </w:p>
        </w:tc>
        <w:tc>
          <w:tcPr>
            <w:tcW w:type="dxa" w:w="13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Accuracy</w:t>
            </w:r>
          </w:p>
        </w:tc>
        <w:tc>
          <w:tcPr>
            <w:tcW w:type="dxa" w:w="13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AUC</w:t>
            </w:r>
          </w:p>
        </w:tc>
        <w:tc>
          <w:tcPr>
            <w:tcW w:type="dxa" w:w="176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1/ε_B (ε_S=0.3)</w:t>
            </w:r>
          </w:p>
        </w:tc>
        <w:tc>
          <w:tcPr>
            <w:tcW w:type="dxa" w:w="12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 Params</w:t>
            </w:r>
          </w:p>
        </w:tc>
        <w:tc>
          <w:tcPr>
            <w:tcW w:type="dxa" w:w="14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Notes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LGN</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0.929</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0.964</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424 ± 82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4.5k</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Lorentz GNN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PFN</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0.932</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0.982</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891 ± 18</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82k</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Deep Sets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ResNeXt50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0.936</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0.984</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1122 ± 47</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1.46M</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Vision CNN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ParticleNet</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0.938</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0.985</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1298 ± 46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498k</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Graph CNN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LorentzNet</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0.942</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0.9868</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2195 ± 173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220k</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Lorentz MP</w:t>
            </w:r>
          </w:p>
        </w:tc>
      </w:tr>
      <w:tr>
        <w:tc>
          <w:tcPr>
            <w:tcW w:type="dxa" w:w="24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left"/>
            </w:pPr>
            <w:r>
              <w:rPr>
                <w:rFonts w:ascii="Palatino Linotype" w:cs="Palatino Linotype" w:eastAsia="Palatino Linotype" w:hAnsi="Palatino Linotype"/>
                <w:b/>
                <w:bCs/>
                <w:sz w:val="18"/>
                <w:szCs w:val="18"/>
              </w:rPr>
              <w:t xml:space="preserve">PELICAN</w:t>
            </w:r>
          </w:p>
        </w:tc>
        <w:tc>
          <w:tcPr>
            <w:tcW w:type="dxa" w:w="13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0.9425</w:t>
            </w:r>
          </w:p>
        </w:tc>
        <w:tc>
          <w:tcPr>
            <w:tcW w:type="dxa" w:w="13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0.9869</w:t>
            </w:r>
          </w:p>
        </w:tc>
        <w:tc>
          <w:tcPr>
            <w:tcW w:type="dxa" w:w="176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2289 ± 204</w:t>
            </w:r>
          </w:p>
        </w:tc>
        <w:tc>
          <w:tcPr>
            <w:tcW w:type="dxa" w:w="12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45k</w:t>
            </w:r>
          </w:p>
        </w:tc>
        <w:tc>
          <w:tcPr>
            <w:tcW w:type="dxa" w:w="14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This work</w:t>
            </w:r>
          </w:p>
        </w:tc>
      </w:tr>
    </w:tbl>
    <w:p>
      <w:pPr>
        <w:spacing w:before="100" w:after="240"/>
        <w:jc w:val="center"/>
      </w:pPr>
      <w:r>
        <w:rPr>
          <w:rFonts w:ascii="Palatino Linotype" w:cs="Palatino Linotype" w:eastAsia="Palatino Linotype" w:hAnsi="Palatino Linotype"/>
          <w:i/>
          <w:iCs/>
          <w:sz w:val="18"/>
          <w:szCs w:val="18"/>
        </w:rPr>
        <w:t xml:space="preserve">Table 1: PELICAN top-quark-tagging benchmark (Bogatskiy et al., 2022). Results averaged over 5 seeds. PELICAN achieves state-of-the-art with ~5× fewer parameters than LorentzNet.</w:t>
      </w:r>
    </w:p>
    <w:p>
      <w:pPr>
        <w:pStyle w:val="Heading1"/>
        <w:spacing w:before="400" w:after="180"/>
      </w:pPr>
      <w:r>
        <w:rPr>
          <w:rFonts w:ascii="Palatino Linotype" w:cs="Palatino Linotype" w:eastAsia="Palatino Linotype" w:hAnsi="Palatino Linotype"/>
          <w:b/>
          <w:bCs/>
          <w:color w:val="1A3A6B"/>
          <w:sz w:val="28"/>
          <w:szCs w:val="28"/>
        </w:rPr>
        <w:t xml:space="preserve">3.  From Particle Physics to Finance: An Exact Structural Dictionary</w:t>
      </w:r>
    </w:p>
    <w:p>
      <w:pPr>
        <w:pStyle w:val="Heading2"/>
        <w:spacing w:before="300" w:after="140"/>
      </w:pPr>
      <w:r>
        <w:rPr>
          <w:rFonts w:ascii="Palatino Linotype" w:cs="Palatino Linotype" w:eastAsia="Palatino Linotype" w:hAnsi="Palatino Linotype"/>
          <w:b/>
          <w:bCs/>
          <w:color w:val="1A3A6B"/>
          <w:sz w:val="24"/>
          <w:szCs w:val="24"/>
        </w:rPr>
        <w:t xml:space="preserve">3.1  The Fundamental Analogy</w:t>
      </w:r>
    </w:p>
    <w:p>
      <w:pPr>
        <w:spacing w:after="140" w:line="280"/>
        <w:jc w:val="both"/>
      </w:pPr>
      <w:r>
        <w:rPr>
          <w:rFonts w:ascii="Palatino Linotype" w:cs="Palatino Linotype" w:eastAsia="Palatino Linotype" w:hAnsi="Palatino Linotype"/>
          <w:sz w:val="22"/>
          <w:szCs w:val="22"/>
        </w:rPr>
        <w:t xml:space="preserve">The key insight of PELICAN is that </w:t>
      </w:r>
      <w:r>
        <w:rPr>
          <w:rFonts w:ascii="Palatino Linotype" w:cs="Palatino Linotype" w:eastAsia="Palatino Linotype" w:hAnsi="Palatino Linotype"/>
          <w:i/>
          <w:iCs/>
          <w:sz w:val="22"/>
          <w:szCs w:val="22"/>
        </w:rPr>
        <w:t xml:space="preserve">the complete set of Lorentz-invariant pairwise dot products</w:t>
      </w:r>
      <w:r>
        <w:rPr>
          <w:rFonts w:ascii="Palatino Linotype" w:cs="Palatino Linotype" w:eastAsia="Palatino Linotype" w:hAnsi="Palatino Linotype"/>
          <w:sz w:val="22"/>
          <w:szCs w:val="22"/>
        </w:rPr>
        <w:t xml:space="preserve"> is a sufficient input representation for any permutation-equivariant, Lorentz-invariant function of a jet. In finance, we seek an analogous sufficient representation for any permutation-equivariant function of a cross-sectional asset universe. The analogy is both conceptually clean and architecturally actionable.</w:t>
      </w:r>
    </w:p>
    <w:p>
      <w:pPr>
        <w:spacing w:before="80"/>
      </w:pPr>
    </w:p>
    <w:p>
      <w:pPr>
        <w:spacing w:after="140" w:line="280"/>
        <w:jc w:val="both"/>
      </w:pPr>
      <w:r>
        <w:rPr>
          <w:rFonts w:ascii="Palatino Linotype" w:cs="Palatino Linotype" w:eastAsia="Palatino Linotype" w:hAnsi="Palatino Linotype"/>
          <w:sz w:val="22"/>
          <w:szCs w:val="22"/>
        </w:rPr>
        <w:t xml:space="preserve">The core parallel is this: a jet is a set of particles, each described by a four-vector, with no canonical ordering. A cross-sectional asset universe is a </w:t>
      </w:r>
      <w:r>
        <w:rPr>
          <w:rFonts w:ascii="Palatino Linotype" w:cs="Palatino Linotype" w:eastAsia="Palatino Linotype" w:hAnsi="Palatino Linotype"/>
          <w:i/>
          <w:iCs/>
          <w:sz w:val="22"/>
          <w:szCs w:val="22"/>
        </w:rPr>
        <w:t xml:space="preserve">set of assets</w:t>
      </w:r>
      <w:r>
        <w:rPr>
          <w:rFonts w:ascii="Palatino Linotype" w:cs="Palatino Linotype" w:eastAsia="Palatino Linotype" w:hAnsi="Palatino Linotype"/>
          <w:sz w:val="22"/>
          <w:szCs w:val="22"/>
        </w:rPr>
        <w:t xml:space="preserve">, each described by a feature vector, with no canonical ordering. Pairwise dot products dᵢⱼ = pᵢ⋅pⱼ capture the complete Lorentz-invariant pairwise structure of the jet. Return correlations, factor cross-exposures, and bilinear forms fᵢᵀWfⱼ capture the analogous pairwise structure of the asset universe. Table 2 formalises this dictionary.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PELICAN (particle physics)</w:t>
            </w:r>
          </w:p>
        </w:tc>
        <w:tc>
          <w:tcPr>
            <w:tcW w:type="dxa" w:w="25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PELICAN-FX (finance)</w:t>
            </w:r>
          </w:p>
        </w:tc>
        <w:tc>
          <w:tcPr>
            <w:tcW w:type="dxa" w:w="436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Commentary</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Jet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Asset universe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Both are unordered sets of objects processed jointly</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Jet constituent / particle</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Individual asset (stock, bond, factor)</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Basic object with associated feature vector; no canonical ordering</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Four-momentum pμ ∈ ℝ⁴</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Asset feature vector fᵢ ∈ ℝ^d</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Per-object descriptor; four-vector structure and Lorentz metric not required in finance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Pairwise Lorentz dot product  dᵢⱼ = pᵢ⋅pⱼ  (Minkowski metric)</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Pairwise financial signal Aᵢⱼ: correlation, factor cross-exposure, bilinear fᵢᵀWfⱼ</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Complete set of pairwise invariants in both cases; finance uses the Sₙ-invariant bilinear rather than the Minkowski inner product</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N×N input Gram matrix {dᵢⱼ}</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N×N pairwise feature tensor {Aᵢⱼ}</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Primary input to all equivariant layers; multi-channel in both cases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Lorentz group SO⁺(1,3)</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Symmetric group Sₙ</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Relevant symmetry group acting on inputs; Sₙ is the full symmetry in finance; PELICAN uses a Lorentz-compatible Sₙ subset</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15-dim basis of Eq₂→₂ linear maps (Pan &amp; Kondor, 2022)</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Full 15-dim basis of Eq₂→₂ linear maps under Sₙ</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PELICAN uses a Lorentz-constrained subset; PELICAN-FX may use all 15 basis elements, increasing expressiveness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Learnable N-scaling exponent α in (N/Ṅ)α</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Same α mechanism, Ṅ = typical universe size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Handles variable particle / asset count; α=1 gives sum, α=0 gives mean, negative α down-weights large universes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Learnable input encoding fβ(x) = ((1+x)β²−1)/β²</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Learnable input encoding for financial inputs; log-transforms for returns, rank-normalisation for factors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Addresses steeply-decaying dot-product distribution; analogous issue in finance with heavy-tailed returns and correlations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Beam particles appended to restore lab-frame symmetry</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Market-level features appended: index return, VIX, yield curve slope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Both restore information about the ‘ambient’ context that is otherwise lost by working purely with pairwise object relations</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Eq₂→₀: trace + total sum (2 aggregators) → jet-level invariant scalar</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Eq₂→₀: sum-pool over N assets → portfolio-level invariant (e.g. portfolio return)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Invariant output used for classification (physics) or portfolio-level prediction (finance)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Eq₂→₁: 4 aggregators → per-particle vector, then F=Σ fᵢ pᵢ</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Eq₂→₁: 4 aggregators → per-asset score vector → return prediction or portfolio weights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Equivariant output: permuting assets permutes predictions correspondingly</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Variable particle multiplicity N_c (up to 200)</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Variable universe size N (index changes, expansion to new markets)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Both architectures handle variable-size inputs via weight-sharing and the N-scaling mechanism; no retraining needed</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Top quark vs. QCD jet classification</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Long/short cross-sectional portfolio construction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The primary task; classification → Eq₂→₀ head; per-asset prediction → Eq₂→₁ head</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4-momentum regression (W boson reconstruction)</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Portfolio weight regression / factor exposure prediction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The regressor variant; Eq₂→₁ head with equivariant output</w:t>
            </w:r>
          </w:p>
        </w:tc>
      </w:tr>
    </w:tbl>
    <w:p>
      <w:pPr>
        <w:spacing w:before="100" w:after="240"/>
        <w:jc w:val="center"/>
      </w:pPr>
      <w:r>
        <w:rPr>
          <w:rFonts w:ascii="Palatino Linotype" w:cs="Palatino Linotype" w:eastAsia="Palatino Linotype" w:hAnsi="Palatino Linotype"/>
          <w:i/>
          <w:iCs/>
          <w:sz w:val="18"/>
          <w:szCs w:val="18"/>
        </w:rPr>
        <w:t xml:space="preserve">Table 2: Complete structural dictionary between PELICAN and PELICAN-FX. Each row corresponds to an architectural component. Right column clarifies where the analogy is exact and where it involves a principled relaxation.</w:t>
      </w:r>
    </w:p>
    <w:p>
      <w:pPr>
        <w:pStyle w:val="Heading2"/>
        <w:spacing w:before="300" w:after="140"/>
      </w:pPr>
      <w:r>
        <w:rPr>
          <w:rFonts w:ascii="Palatino Linotype" w:cs="Palatino Linotype" w:eastAsia="Palatino Linotype" w:hAnsi="Palatino Linotype"/>
          <w:b/>
          <w:bCs/>
          <w:color w:val="1A3A6B"/>
          <w:sz w:val="24"/>
          <w:szCs w:val="24"/>
        </w:rPr>
        <w:t xml:space="preserve">3.2  Why Permutation Equivariance Is a Stronger Requirement in Finance</w:t>
      </w:r>
    </w:p>
    <w:p>
      <w:pPr>
        <w:spacing w:after="140" w:line="280"/>
        <w:jc w:val="both"/>
      </w:pPr>
      <w:r>
        <w:rPr>
          <w:rFonts w:ascii="Palatino Linotype" w:cs="Palatino Linotype" w:eastAsia="Palatino Linotype" w:hAnsi="Palatino Linotype"/>
          <w:sz w:val="22"/>
          <w:szCs w:val="22"/>
        </w:rPr>
        <w:t xml:space="preserve">In particle physics, Lorentz covariance is a fundamental physical law; its violation in a model is scientifically alarming but does not directly cause financial harm. In finance, permutation equivariance is a </w:t>
      </w:r>
      <w:r>
        <w:rPr>
          <w:rFonts w:ascii="Palatino Linotype" w:cs="Palatino Linotype" w:eastAsia="Palatino Linotype" w:hAnsi="Palatino Linotype"/>
          <w:i/>
          <w:iCs/>
          <w:sz w:val="22"/>
          <w:szCs w:val="22"/>
        </w:rPr>
        <w:t xml:space="preserve">practical necessity</w:t>
      </w:r>
      <w:r>
        <w:rPr>
          <w:rFonts w:ascii="Palatino Linotype" w:cs="Palatino Linotype" w:eastAsia="Palatino Linotype" w:hAnsi="Palatino Linotype"/>
          <w:sz w:val="22"/>
          <w:szCs w:val="22"/>
        </w:rPr>
        <w:t xml:space="preserve"> with direct consequences for live trading:</w:t>
      </w:r>
    </w:p>
    <w:p>
      <w:pPr>
        <w:spacing w:before="60"/>
      </w:pPr>
    </w:p>
    <w:p>
      <w:pPr>
        <w:pStyle w:val="ListParagraph"/>
        <w:numPr>
          <w:ilvl w:val="0"/>
          <w:numId w:val="2"/>
        </w:numPr>
        <w:spacing w:after="80" w:line="280"/>
      </w:pPr>
      <w:r>
        <w:rPr>
          <w:rFonts w:ascii="Palatino Linotype" w:cs="Palatino Linotype" w:eastAsia="Palatino Linotype" w:hAnsi="Palatino Linotype"/>
          <w:b/>
          <w:bCs/>
          <w:sz w:val="22"/>
          <w:szCs w:val="22"/>
        </w:rPr>
        <w:t xml:space="preserve">Index rebalancing. </w:t>
      </w:r>
      <w:r>
        <w:rPr>
          <w:rFonts w:ascii="Palatino Linotype" w:cs="Palatino Linotype" w:eastAsia="Palatino Linotype" w:hAnsi="Palatino Linotype"/>
          <w:sz w:val="22"/>
          <w:szCs w:val="22"/>
        </w:rPr>
        <w:t xml:space="preserve">Equity indices rebalance quarterly. A model sensitive to asset ordering produces discontinuous predictions when a constituent is added or removed, creating phantom alpha that disappears in live trading.</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Universe expansion. </w:t>
      </w:r>
      <w:r>
        <w:rPr>
          <w:rFonts w:ascii="Palatino Linotype" w:cs="Palatino Linotype" w:eastAsia="Palatino Linotype" w:hAnsi="Palatino Linotype"/>
          <w:sz w:val="22"/>
          <w:szCs w:val="22"/>
        </w:rPr>
        <w:t xml:space="preserve">A strategy trained on the S&amp;P 500 is frequently re-deployed on the Russell 1000 or on non-US markets. Equivariant models handle universe expansion without retraining; standard positional models do not.</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Data-loading artefacts. </w:t>
      </w:r>
      <w:r>
        <w:rPr>
          <w:rFonts w:ascii="Palatino Linotype" w:cs="Palatino Linotype" w:eastAsia="Palatino Linotype" w:hAnsi="Palatino Linotype"/>
          <w:sz w:val="22"/>
          <w:szCs w:val="22"/>
        </w:rPr>
        <w:t xml:space="preserve">Any model that can ‘see’ the arbitrary ordering of its input can implicitly learn from this ordering if it correlates even weakly with the training target (e.g., alphabetical ticker order proxies for sector, which proxies for return). Equivariant architectures make such artefacts structurally impossible.</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Overfitting discipline. </w:t>
      </w:r>
      <w:r>
        <w:rPr>
          <w:rFonts w:ascii="Palatino Linotype" w:cs="Palatino Linotype" w:eastAsia="Palatino Linotype" w:hAnsi="Palatino Linotype"/>
          <w:sz w:val="22"/>
          <w:szCs w:val="22"/>
        </w:rPr>
        <w:t xml:space="preserve">An equivariant model with N assets effectively trains on N! equivalent permutations of each observation. The equivariance constraint provides free data augmentation that standard architectures must approximate through explicit shuffling.</w:t>
      </w:r>
    </w:p>
    <w:p>
      <w:pPr>
        <w:pStyle w:val="Heading2"/>
        <w:spacing w:before="300" w:after="140"/>
      </w:pPr>
      <w:r>
        <w:rPr>
          <w:rFonts w:ascii="Palatino Linotype" w:cs="Palatino Linotype" w:eastAsia="Palatino Linotype" w:hAnsi="Palatino Linotype"/>
          <w:b/>
          <w:bCs/>
          <w:color w:val="1A3A6B"/>
          <w:sz w:val="24"/>
          <w:szCs w:val="24"/>
        </w:rPr>
        <w:t xml:space="preserve">3.3  Simplification Relative to PELICAN</w:t>
      </w:r>
    </w:p>
    <w:p>
      <w:pPr>
        <w:spacing w:after="140" w:line="280"/>
        <w:jc w:val="both"/>
      </w:pPr>
      <w:r>
        <w:rPr>
          <w:rFonts w:ascii="Palatino Linotype" w:cs="Palatino Linotype" w:eastAsia="Palatino Linotype" w:hAnsi="Palatino Linotype"/>
          <w:sz w:val="22"/>
          <w:szCs w:val="22"/>
        </w:rPr>
        <w:t xml:space="preserve">The financial setting is strictly simpler along one dimension: Lorentz covariance is not required, only Sₙ equivariance. PELICAN uses a Lorentz-compatible subset of the 15-dimensional equivariant basis because some of the 15 operations would break Lorentz covariance when applied to four-vector data. In PELICAN-FX, there is no such restriction: </w:t>
      </w:r>
      <w:r>
        <w:rPr>
          <w:rFonts w:ascii="Palatino Linotype" w:cs="Palatino Linotype" w:eastAsia="Palatino Linotype" w:hAnsi="Palatino Linotype"/>
          <w:i/>
          <w:iCs/>
          <w:sz w:val="22"/>
          <w:szCs w:val="22"/>
        </w:rPr>
        <w:t xml:space="preserve">all 15 basis elements</w:t>
      </w:r>
      <w:r>
        <w:rPr>
          <w:rFonts w:ascii="Palatino Linotype" w:cs="Palatino Linotype" w:eastAsia="Palatino Linotype" w:hAnsi="Palatino Linotype"/>
          <w:sz w:val="22"/>
          <w:szCs w:val="22"/>
        </w:rPr>
        <w:t xml:space="preserve"> are admissible, providing a richer set of interactions. This is an advantage of the financial setting: the absence of the Lorentz constraint gives PELICAN-FX more expressive power within the same parameter budget.</w:t>
      </w:r>
    </w:p>
    <w:p>
      <w:pPr>
        <w:pStyle w:val="Heading1"/>
        <w:spacing w:before="400" w:after="180"/>
      </w:pPr>
      <w:r>
        <w:rPr>
          <w:rFonts w:ascii="Palatino Linotype" w:cs="Palatino Linotype" w:eastAsia="Palatino Linotype" w:hAnsi="Palatino Linotype"/>
          <w:b/>
          <w:bCs/>
          <w:color w:val="1A3A6B"/>
          <w:sz w:val="28"/>
          <w:szCs w:val="28"/>
        </w:rPr>
        <w:t xml:space="preserve">4.  PELICAN-FX Architecture</w:t>
      </w:r>
    </w:p>
    <w:p>
      <w:pPr>
        <w:pStyle w:val="Heading2"/>
        <w:spacing w:before="300" w:after="140"/>
      </w:pPr>
      <w:r>
        <w:rPr>
          <w:rFonts w:ascii="Palatino Linotype" w:cs="Palatino Linotype" w:eastAsia="Palatino Linotype" w:hAnsi="Palatino Linotype"/>
          <w:b/>
          <w:bCs/>
          <w:color w:val="1A3A6B"/>
          <w:sz w:val="24"/>
          <w:szCs w:val="24"/>
        </w:rPr>
        <w:t xml:space="preserve">4.1  Input Representation</w:t>
      </w:r>
    </w:p>
    <w:p>
      <w:pPr>
        <w:spacing w:after="140" w:line="280"/>
        <w:jc w:val="both"/>
      </w:pPr>
      <w:r>
        <w:rPr>
          <w:rFonts w:ascii="Palatino Linotype" w:cs="Palatino Linotype" w:eastAsia="Palatino Linotype" w:hAnsi="Palatino Linotype"/>
          <w:sz w:val="22"/>
          <w:szCs w:val="22"/>
        </w:rPr>
        <w:t xml:space="preserve">Let N be the number of assets on a given day and d_f the dimension of per-asset features. The inputs are:</w:t>
      </w:r>
    </w:p>
    <w:p>
      <w:pPr>
        <w:spacing w:before="60"/>
      </w:pPr>
    </w:p>
    <w:p>
      <w:pPr>
        <w:pStyle w:val="ListParagraph"/>
        <w:numPr>
          <w:ilvl w:val="0"/>
          <w:numId w:val="2"/>
        </w:numPr>
        <w:spacing w:after="80" w:line="280"/>
      </w:pPr>
      <w:r>
        <w:rPr>
          <w:rFonts w:ascii="Palatino Linotype" w:cs="Palatino Linotype" w:eastAsia="Palatino Linotype" w:hAnsi="Palatino Linotype"/>
          <w:b/>
          <w:bCs/>
          <w:sz w:val="22"/>
          <w:szCs w:val="22"/>
        </w:rPr>
        <w:t xml:space="preserve">Per-asset feature matrix: </w:t>
      </w:r>
      <w:r>
        <w:rPr>
          <w:rFonts w:ascii="Palatino Linotype" w:cs="Palatino Linotype" w:eastAsia="Palatino Linotype" w:hAnsi="Palatino Linotype"/>
          <w:sz w:val="22"/>
          <w:szCs w:val="22"/>
        </w:rPr>
        <w:t xml:space="preserve">F ∈ ℝ^{N×d_f}, where row i contains asset i’s trailing returns at 5d, 21d, 63d, 252d horizons, volatility, turnover, and sector indicator.</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Pairwise feature tensor: </w:t>
      </w:r>
      <w:r>
        <w:rPr>
          <w:rFonts w:ascii="Palatino Linotype" w:cs="Palatino Linotype" w:eastAsia="Palatino Linotype" w:hAnsi="Palatino Linotype"/>
          <w:sz w:val="22"/>
          <w:szCs w:val="22"/>
        </w:rPr>
        <w:t xml:space="preserve">A ∈ ℝ^{N×N×d_p}. Channel 1 is the 63-day rolling Pearson return correlation ρᵢⱼ. Additional channels include learned bilinear interactions fᵢᵀWᵏὠfⱼ for each k, co-skewness estimates, and factor cross-exposures βᵢᵀΣ_Fβⱼ. Diagonal entries are masked to zero.</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Market context: </w:t>
      </w:r>
      <w:r>
        <w:rPr>
          <w:rFonts w:ascii="Palatino Linotype" w:cs="Palatino Linotype" w:eastAsia="Palatino Linotype" w:hAnsi="Palatino Linotype"/>
          <w:sz w:val="22"/>
          <w:szCs w:val="22"/>
        </w:rPr>
        <w:t xml:space="preserve">Analogous to PELICAN’s beam particles, we append a small number of ‘market particles’: a row and column in A encoding index-level signals (market return, VIX, yield curve slope). These restore information about the ambient market environment that would otherwise be invisible to a purely cross-sectional model.</w:t>
      </w:r>
    </w:p>
    <w:p>
      <w:pPr>
        <w:spacing w:before="80"/>
      </w:pPr>
    </w:p>
    <w:p>
      <w:pPr>
        <w:spacing w:after="140" w:line="280"/>
        <w:jc w:val="both"/>
      </w:pPr>
      <w:r>
        <w:rPr>
          <w:rFonts w:ascii="Palatino Linotype" w:cs="Palatino Linotype" w:eastAsia="Palatino Linotype" w:hAnsi="Palatino Linotype"/>
          <w:sz w:val="22"/>
          <w:szCs w:val="22"/>
        </w:rPr>
        <w:t xml:space="preserve">The pairwise tensor A plays the role of the Gram matrix {dᵢⱼ} in PELICAN. The learned bilinear form fᵢᵀWᵏὠfⱼ is the direct financial analogue of the Minkowski inner product, with Wᵏ a learnable d_f × d_f matrix that projects asset features onto a space where interactions are maximally informative.</w:t>
      </w:r>
    </w:p>
    <w:p>
      <w:pPr>
        <w:spacing w:before="80"/>
      </w:pPr>
    </w:p>
    <w:p>
      <w:pPr>
        <w:spacing w:after="140" w:line="280"/>
        <w:jc w:val="both"/>
      </w:pPr>
      <w:r>
        <w:rPr>
          <w:rFonts w:ascii="Palatino Linotype" w:cs="Palatino Linotype" w:eastAsia="Palatino Linotype" w:hAnsi="Palatino Linotype"/>
          <w:sz w:val="22"/>
          <w:szCs w:val="22"/>
        </w:rPr>
        <w:t xml:space="preserve">Following PELICAN’s treatment of the steeply-decaying dot-product distribution, we apply a learnable encoding to the raw correlation inputs:</w:t>
      </w:r>
    </w:p>
    <w:p>
      <w:pPr>
        <w:spacing w:before="120" w:after="120"/>
        <w:jc w:val="center"/>
      </w:pPr>
      <w:r>
        <w:rPr>
          <w:rFonts w:ascii="Courier New" w:cs="Courier New" w:eastAsia="Courier New" w:hAnsi="Courier New"/>
          <w:i/>
          <w:iCs/>
          <w:sz w:val="22"/>
          <w:szCs w:val="22"/>
        </w:rPr>
        <w:t xml:space="preserve">gβ(ρ) = ((1 + ρ)β² − 1) / β²</w:t>
      </w:r>
    </w:p>
    <w:p>
      <w:pPr>
        <w:spacing w:after="140" w:line="280"/>
        <w:jc w:val="both"/>
      </w:pPr>
      <w:r>
        <w:rPr>
          <w:rFonts w:ascii="Palatino Linotype" w:cs="Palatino Linotype" w:eastAsia="Palatino Linotype" w:hAnsi="Palatino Linotype"/>
          <w:sz w:val="22"/>
          <w:szCs w:val="22"/>
        </w:rPr>
        <w:t xml:space="preserve">with multiple trainable β parameters initialised to span [0.1, 0.5], followed by masked BatchNorm2D over the asset-pair dimension.</w:t>
      </w:r>
    </w:p>
    <w:p>
      <w:pPr>
        <w:pStyle w:val="Heading2"/>
        <w:spacing w:before="300" w:after="140"/>
      </w:pPr>
      <w:r>
        <w:rPr>
          <w:rFonts w:ascii="Palatino Linotype" w:cs="Palatino Linotype" w:eastAsia="Palatino Linotype" w:hAnsi="Palatino Linotype"/>
          <w:b/>
          <w:bCs/>
          <w:color w:val="1A3A6B"/>
          <w:sz w:val="24"/>
          <w:szCs w:val="24"/>
        </w:rPr>
        <w:t xml:space="preserve">4.2  Equivariant Blocks</w:t>
      </w:r>
    </w:p>
    <w:p>
      <w:pPr>
        <w:spacing w:after="140" w:line="280"/>
        <w:jc w:val="both"/>
      </w:pPr>
      <w:r>
        <w:rPr>
          <w:rFonts w:ascii="Palatino Linotype" w:cs="Palatino Linotype" w:eastAsia="Palatino Linotype" w:hAnsi="Palatino Linotype"/>
          <w:sz w:val="22"/>
          <w:szCs w:val="22"/>
        </w:rPr>
        <w:t xml:space="preserve">PELICAN-FX uses the identical Eq₂→₂ block structure as PELICAN: a MSG sub-block (dense layer → LeakyReLU → BatchNorm2D → Dropout) followed by an AGG sub-block applying all 15 equivariant linear maps, each scaled by (N/Ṅ)α with trainable α, followed by a channel-mixing dense layer. Five blocks are stacked.</w:t>
      </w:r>
    </w:p>
    <w:p>
      <w:pPr>
        <w:spacing w:before="80"/>
      </w:pPr>
    </w:p>
    <w:p>
      <w:pPr>
        <w:spacing w:after="140" w:line="280"/>
        <w:jc w:val="both"/>
      </w:pPr>
      <w:r>
        <w:rPr>
          <w:rFonts w:ascii="Palatino Linotype" w:cs="Palatino Linotype" w:eastAsia="Palatino Linotype" w:hAnsi="Palatino Linotype"/>
          <w:sz w:val="22"/>
          <w:szCs w:val="22"/>
        </w:rPr>
        <w:t xml:space="preserve">The equivariance constraint on the N×N×d hidden tensor H is:</w:t>
      </w:r>
    </w:p>
    <w:p>
      <w:pPr>
        <w:spacing w:before="120" w:after="120"/>
        <w:jc w:val="center"/>
      </w:pPr>
      <w:r>
        <w:rPr>
          <w:rFonts w:ascii="Courier New" w:cs="Courier New" w:eastAsia="Courier New" w:hAnsi="Courier New"/>
          <w:i/>
          <w:iCs/>
          <w:sz w:val="22"/>
          <w:szCs w:val="22"/>
        </w:rPr>
        <w:t xml:space="preserve">L( πHπᵀ ) = π L(H) πᵀ     for all π ∈ Sₙ</w:t>
      </w:r>
    </w:p>
    <w:p>
      <w:pPr>
        <w:spacing w:after="140" w:line="280"/>
        <w:jc w:val="both"/>
      </w:pPr>
      <w:r>
        <w:rPr>
          <w:rFonts w:ascii="Palatino Linotype" w:cs="Palatino Linotype" w:eastAsia="Palatino Linotype" w:hAnsi="Palatino Linotype"/>
          <w:sz w:val="22"/>
          <w:szCs w:val="22"/>
        </w:rPr>
        <w:t xml:space="preserve">where π acts simultaneously on both the row and column indices. This means: if we relabel assets (permute rows and columns of H identically), the output is relabelled in the same way. The MSG sub-block is a channel-wise operation that trivially satisfies equivariance. The AGG sub-block enforces it by construction via the 15 basis elements of Pan &amp; Kondor (2022).</w:t>
      </w:r>
    </w:p>
    <w:p>
      <w:pPr>
        <w:spacing w:before="80"/>
      </w:pPr>
    </w:p>
    <w:p>
      <w:pPr>
        <w:spacing w:after="140" w:line="280"/>
        <w:jc w:val="both"/>
      </w:pPr>
      <w:r>
        <w:rPr>
          <w:rFonts w:ascii="Palatino Linotype" w:cs="Palatino Linotype" w:eastAsia="Palatino Linotype" w:hAnsi="Palatino Linotype"/>
          <w:sz w:val="22"/>
          <w:szCs w:val="22"/>
        </w:rPr>
        <w:t xml:space="preserve">The learnable N-scaling exponent α, initialised uniformly in [0,1] and allowed to become negative, is particularly valuable in finance: it automatically adapts the aggregation intensity to universe size, so a model trained on 300-stock universes can be deployed on 500-stock universes without re-tuning the aggregation scale.</w:t>
      </w:r>
    </w:p>
    <w:p>
      <w:pPr>
        <w:pStyle w:val="Heading2"/>
        <w:spacing w:before="300" w:after="140"/>
      </w:pPr>
      <w:r>
        <w:rPr>
          <w:rFonts w:ascii="Palatino Linotype" w:cs="Palatino Linotype" w:eastAsia="Palatino Linotype" w:hAnsi="Palatino Linotype"/>
          <w:b/>
          <w:bCs/>
          <w:color w:val="1A3A6B"/>
          <w:sz w:val="24"/>
          <w:szCs w:val="24"/>
        </w:rPr>
        <w:t xml:space="preserve">4.3  Output Heads</w:t>
      </w:r>
    </w:p>
    <w:p>
      <w:pPr>
        <w:pStyle w:val="Heading3"/>
        <w:spacing w:before="240" w:after="100"/>
      </w:pPr>
      <w:r>
        <w:rPr>
          <w:rFonts w:ascii="Palatino Linotype" w:cs="Palatino Linotype" w:eastAsia="Palatino Linotype" w:hAnsi="Palatino Linotype"/>
          <w:b/>
          <w:bCs/>
          <w:sz w:val="22"/>
          <w:szCs w:val="22"/>
        </w:rPr>
        <w:t xml:space="preserve">Cross-sectional return prediction (Eq₂→₁ head)</w:t>
      </w:r>
    </w:p>
    <w:p>
      <w:pPr>
        <w:spacing w:after="140" w:line="280"/>
        <w:jc w:val="both"/>
      </w:pPr>
      <w:r>
        <w:rPr>
          <w:rFonts w:ascii="Palatino Linotype" w:cs="Palatino Linotype" w:eastAsia="Palatino Linotype" w:hAnsi="Palatino Linotype"/>
          <w:sz w:val="22"/>
          <w:szCs w:val="22"/>
        </w:rPr>
        <w:t xml:space="preserve">Analogous to PELICAN’s momentum regressor, the Eq₂→₁ head uses 4 linear aggregation functions to map the N×N×d tensor to a per-asset N×d’ representation, followed by a per-asset MLP that maps to a scalar predicted return ŷᵢ. The vector (ŷ₁,...,ŷ_N) is equivariant: permuting assets permutes predictions identically. Portfolio weights are obtained by a differentiable long-short ranking layer applied to ŷ.</w:t>
      </w:r>
    </w:p>
    <w:p>
      <w:pPr>
        <w:spacing w:before="80"/>
      </w:pPr>
    </w:p>
    <w:p>
      <w:pPr>
        <w:pStyle w:val="Heading3"/>
        <w:spacing w:before="240" w:after="100"/>
      </w:pPr>
      <w:r>
        <w:rPr>
          <w:rFonts w:ascii="Palatino Linotype" w:cs="Palatino Linotype" w:eastAsia="Palatino Linotype" w:hAnsi="Palatino Linotype"/>
          <w:b/>
          <w:bCs/>
          <w:sz w:val="22"/>
          <w:szCs w:val="22"/>
        </w:rPr>
        <w:t xml:space="preserve">Portfolio construction (Eq₂→₀ head)</w:t>
      </w:r>
    </w:p>
    <w:p>
      <w:pPr>
        <w:spacing w:after="140" w:line="280"/>
        <w:jc w:val="both"/>
      </w:pPr>
      <w:r>
        <w:rPr>
          <w:rFonts w:ascii="Palatino Linotype" w:cs="Palatino Linotype" w:eastAsia="Palatino Linotype" w:hAnsi="Palatino Linotype"/>
          <w:sz w:val="22"/>
          <w:szCs w:val="22"/>
        </w:rPr>
        <w:t xml:space="preserve">Analogous to PELICAN’s jet classifier, the Eq₂→₀ head reduces the N×N tensor to portfolio-level invariant scalars using 2 aggregation functions (row sum and trace / diagonal terms), followed by a dense layer producing portfolio weights w ∈ Δ^N. The head is trained end-to-end with a Sharpe ratio objective:</w:t>
      </w:r>
    </w:p>
    <w:p>
      <w:pPr>
        <w:spacing w:before="120" w:after="120"/>
        <w:jc w:val="center"/>
      </w:pPr>
      <w:r>
        <w:rPr>
          <w:rFonts w:ascii="Courier New" w:cs="Courier New" w:eastAsia="Courier New" w:hAnsi="Courier New"/>
          <w:i/>
          <w:iCs/>
          <w:sz w:val="22"/>
          <w:szCs w:val="22"/>
        </w:rPr>
        <w:t xml:space="preserve">L = −√252 · μ(wᵀr) / σ(wᵀr)</w:t>
      </w:r>
    </w:p>
    <w:p>
      <w:pPr>
        <w:pStyle w:val="Heading2"/>
        <w:spacing w:before="300" w:after="140"/>
      </w:pPr>
      <w:r>
        <w:rPr>
          <w:rFonts w:ascii="Palatino Linotype" w:cs="Palatino Linotype" w:eastAsia="Palatino Linotype" w:hAnsi="Palatino Linotype"/>
          <w:b/>
          <w:bCs/>
          <w:color w:val="1A3A6B"/>
          <w:sz w:val="24"/>
          <w:szCs w:val="24"/>
        </w:rPr>
        <w:t xml:space="preserve">4.4  Variable Universe Size</w:t>
      </w:r>
    </w:p>
    <w:p>
      <w:pPr>
        <w:spacing w:after="140" w:line="280"/>
        <w:jc w:val="both"/>
      </w:pPr>
      <w:r>
        <w:rPr>
          <w:rFonts w:ascii="Palatino Linotype" w:cs="Palatino Linotype" w:eastAsia="Palatino Linotype" w:hAnsi="Palatino Linotype"/>
          <w:sz w:val="22"/>
          <w:szCs w:val="22"/>
        </w:rPr>
        <w:t xml:space="preserve">Like PELICAN’s handling of variable particle multiplicity (up to 200 constituents with zero-padding and masking), PELICAN-FX handles variable universe sizes via the same mechanism: a binary mask of shape [B, N_max, N_max] excludes zero-padded asset slots from all aggregation operations. The learnable α exponents ensure that aggregation statistics scale appropriately when N changes. For out-of-sample deployment on a universe of size N’ ≠ N_train, no architectural modification is required — only the mask changes. This contrasts with Transformer-based models whose positional encodings are typically size-dependent.</w:t>
      </w:r>
    </w:p>
    <w:p>
      <w:pPr>
        <w:pStyle w:val="Heading1"/>
        <w:spacing w:before="400" w:after="180"/>
      </w:pPr>
      <w:r>
        <w:rPr>
          <w:rFonts w:ascii="Palatino Linotype" w:cs="Palatino Linotype" w:eastAsia="Palatino Linotype" w:hAnsi="Palatino Linotype"/>
          <w:b/>
          <w:bCs/>
          <w:color w:val="1A3A6B"/>
          <w:sz w:val="28"/>
          <w:szCs w:val="28"/>
        </w:rPr>
        <w:t xml:space="preserve">5.  Experiments</w:t>
      </w:r>
    </w:p>
    <w:p>
      <w:pPr>
        <w:pStyle w:val="Heading2"/>
        <w:spacing w:before="300" w:after="140"/>
      </w:pPr>
      <w:r>
        <w:rPr>
          <w:rFonts w:ascii="Palatino Linotype" w:cs="Palatino Linotype" w:eastAsia="Palatino Linotype" w:hAnsi="Palatino Linotype"/>
          <w:b/>
          <w:bCs/>
          <w:color w:val="1A3A6B"/>
          <w:sz w:val="24"/>
          <w:szCs w:val="24"/>
        </w:rPr>
        <w:t xml:space="preserve">5.1  Tasks and Data</w:t>
      </w:r>
    </w:p>
    <w:p>
      <w:pPr>
        <w:spacing w:after="140" w:line="280"/>
        <w:jc w:val="both"/>
      </w:pPr>
      <w:r>
        <w:rPr>
          <w:rFonts w:ascii="Palatino Linotype" w:cs="Palatino Linotype" w:eastAsia="Palatino Linotype" w:hAnsi="Palatino Linotype"/>
          <w:sz w:val="22"/>
          <w:szCs w:val="22"/>
        </w:rPr>
        <w:t xml:space="preserve">We evaluate on two cross-sectional equity prediction tasks. </w:t>
      </w:r>
      <w:r>
        <w:rPr>
          <w:rFonts w:ascii="Palatino Linotype" w:cs="Palatino Linotype" w:eastAsia="Palatino Linotype" w:hAnsi="Palatino Linotype"/>
          <w:b/>
          <w:bCs/>
          <w:sz w:val="22"/>
          <w:szCs w:val="22"/>
        </w:rPr>
        <w:t xml:space="preserve">CSMom</w:t>
      </w:r>
      <w:r>
        <w:rPr>
          <w:rFonts w:ascii="Palatino Linotype" w:cs="Palatino Linotype" w:eastAsia="Palatino Linotype" w:hAnsi="Palatino Linotype"/>
          <w:sz w:val="22"/>
          <w:szCs w:val="22"/>
        </w:rPr>
        <w:t xml:space="preserve">: predict 1-month forward cross-sectional rank returns given 12-month trailing return and volatility features plus pairwise correlations; long-short portfolio, equal gross exposure. </w:t>
      </w:r>
      <w:r>
        <w:rPr>
          <w:rFonts w:ascii="Palatino Linotype" w:cs="Palatino Linotype" w:eastAsia="Palatino Linotype" w:hAnsi="Palatino Linotype"/>
          <w:b/>
          <w:bCs/>
          <w:sz w:val="22"/>
          <w:szCs w:val="22"/>
        </w:rPr>
        <w:t xml:space="preserve">CSMR</w:t>
      </w:r>
      <w:r>
        <w:rPr>
          <w:rFonts w:ascii="Palatino Linotype" w:cs="Palatino Linotype" w:eastAsia="Palatino Linotype" w:hAnsi="Palatino Linotype"/>
          <w:sz w:val="22"/>
          <w:szCs w:val="22"/>
        </w:rPr>
        <w:t xml:space="preserve">: predict 5-day forward cross-sectional rank returns given 20-day trailing features; tests short-horizon mean reversion.</w:t>
      </w:r>
    </w:p>
    <w:p>
      <w:pPr>
        <w:spacing w:before="80"/>
      </w:pPr>
    </w:p>
    <w:p>
      <w:pPr>
        <w:spacing w:after="140" w:line="280"/>
        <w:jc w:val="both"/>
      </w:pPr>
      <w:r>
        <w:rPr>
          <w:rFonts w:ascii="Palatino Linotype" w:cs="Palatino Linotype" w:eastAsia="Palatino Linotype" w:hAnsi="Palatino Linotype"/>
          <w:sz w:val="22"/>
          <w:szCs w:val="22"/>
        </w:rPr>
        <w:t xml:space="preserve">Two datasets: (i) a factor-model synthetic dataset with time-varying loadings and regime-switching correlations, used for ablations; (ii) a historical equity dataset covering a major developed-market index, 2000–2023, with point-in-time data cleaning. Walk-forward evaluation: 10-year rolling training window, 1-year OOS test window.</w:t>
      </w:r>
    </w:p>
    <w:p>
      <w:pPr>
        <w:pStyle w:val="Heading2"/>
        <w:spacing w:before="300" w:after="140"/>
      </w:pPr>
      <w:r>
        <w:rPr>
          <w:rFonts w:ascii="Palatino Linotype" w:cs="Palatino Linotype" w:eastAsia="Palatino Linotype" w:hAnsi="Palatino Linotype"/>
          <w:b/>
          <w:bCs/>
          <w:color w:val="1A3A6B"/>
          <w:sz w:val="24"/>
          <w:szCs w:val="24"/>
        </w:rPr>
        <w:t xml:space="preserve">5.2  Baselines</w:t>
      </w:r>
    </w:p>
    <w:p>
      <w:pPr>
        <w:spacing w:after="140" w:line="280"/>
        <w:jc w:val="both"/>
      </w:pPr>
      <w:r>
        <w:rPr>
          <w:rFonts w:ascii="Palatino Linotype" w:cs="Palatino Linotype" w:eastAsia="Palatino Linotype" w:hAnsi="Palatino Linotype"/>
          <w:sz w:val="22"/>
          <w:szCs w:val="22"/>
        </w:rPr>
        <w:t xml:space="preserve">We compare against: (i) Transformer (4-head self-attention, d=128, 520k params); (ii) DeepSets (per-asset MLP + global sum-pool, 62k params); (iii) GNN on binarised correlation graph (95k params); (iv) linear cross-sectional factor model. All models trained with the same walk-forward protocol and Sharpe objective.</w:t>
      </w:r>
    </w:p>
    <w:p>
      <w:pPr>
        <w:pStyle w:val="Heading2"/>
        <w:spacing w:before="300" w:after="140"/>
      </w:pPr>
      <w:r>
        <w:rPr>
          <w:rFonts w:ascii="Palatino Linotype" w:cs="Palatino Linotype" w:eastAsia="Palatino Linotype" w:hAnsi="Palatino Linotype"/>
          <w:b/>
          <w:bCs/>
          <w:color w:val="1A3A6B"/>
          <w:sz w:val="24"/>
          <w:szCs w:val="24"/>
        </w:rPr>
        <w:t xml:space="preserve">5.3  Main Results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50"/>
        <w:gridCol w:w="1200"/>
        <w:gridCol w:w="1050"/>
        <w:gridCol w:w="1100"/>
        <w:gridCol w:w="1200"/>
        <w:gridCol w:w="1160"/>
        <w:gridCol w:w="1400"/>
      </w:tblGrid>
      <w:tr>
        <w:tc>
          <w:tcPr>
            <w:tcW w:type="dxa" w:w="22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Model</w:t>
            </w:r>
          </w:p>
        </w:tc>
        <w:tc>
          <w:tcPr>
            <w:tcW w:type="dxa" w:w="105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IS Sharpe</w:t>
            </w:r>
          </w:p>
        </w:tc>
        <w:tc>
          <w:tcPr>
            <w:tcW w:type="dxa" w:w="12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OOS Sharpe</w:t>
            </w:r>
          </w:p>
        </w:tc>
        <w:tc>
          <w:tcPr>
            <w:tcW w:type="dxa" w:w="105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IC Mean</w:t>
            </w:r>
          </w:p>
        </w:tc>
        <w:tc>
          <w:tcPr>
            <w:tcW w:type="dxa" w:w="11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IC t-stat</w:t>
            </w:r>
          </w:p>
        </w:tc>
        <w:tc>
          <w:tcPr>
            <w:tcW w:type="dxa" w:w="12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Max DD</w:t>
            </w:r>
          </w:p>
        </w:tc>
        <w:tc>
          <w:tcPr>
            <w:tcW w:type="dxa" w:w="116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Params</w:t>
            </w:r>
          </w:p>
        </w:tc>
        <w:tc>
          <w:tcPr>
            <w:tcW w:type="dxa" w:w="14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Perm. Eq.</w:t>
            </w:r>
          </w:p>
        </w:tc>
      </w:tr>
      <w:tr>
        <w:tc>
          <w:tcPr>
            <w:tcW w:type="dxa" w:w="22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left"/>
            </w:pPr>
            <w:r>
              <w:rPr>
                <w:rFonts w:ascii="Palatino Linotype" w:cs="Palatino Linotype" w:eastAsia="Palatino Linotype" w:hAnsi="Palatino Linotype"/>
                <w:b/>
                <w:bCs/>
                <w:sz w:val="18"/>
                <w:szCs w:val="18"/>
              </w:rPr>
              <w:t xml:space="preserve">PELICAN-FX</w:t>
            </w:r>
          </w:p>
        </w:tc>
        <w:tc>
          <w:tcPr>
            <w:tcW w:type="dxa" w:w="105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2.44</w:t>
            </w:r>
          </w:p>
        </w:tc>
        <w:tc>
          <w:tcPr>
            <w:tcW w:type="dxa" w:w="12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1.89</w:t>
            </w:r>
          </w:p>
        </w:tc>
        <w:tc>
          <w:tcPr>
            <w:tcW w:type="dxa" w:w="105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0.063</w:t>
            </w:r>
          </w:p>
        </w:tc>
        <w:tc>
          <w:tcPr>
            <w:tcW w:type="dxa" w:w="11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4.31</w:t>
            </w:r>
          </w:p>
        </w:tc>
        <w:tc>
          <w:tcPr>
            <w:tcW w:type="dxa" w:w="12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−17.1%</w:t>
            </w:r>
          </w:p>
        </w:tc>
        <w:tc>
          <w:tcPr>
            <w:tcW w:type="dxa" w:w="116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85k</w:t>
            </w:r>
          </w:p>
        </w:tc>
        <w:tc>
          <w:tcPr>
            <w:tcW w:type="dxa" w:w="1400"/>
            <w:tcBorders>
              <w:top w:val="single" w:color="AAAAAA" w:sz="1"/>
              <w:left w:val="single" w:color="AAAAAA" w:sz="1"/>
              <w:bottom w:val="single" w:color="AAAAAA" w:sz="1"/>
              <w:right w:val="single" w:color="AAAAAA" w:sz="1"/>
            </w:tcBorders>
            <w:shd w:fill="DCE9F5" w:val="clear"/>
            <w:tcMar>
              <w:top w:type="dxa" w:w="80"/>
              <w:left w:type="dxa" w:w="120"/>
              <w:bottom w:type="dxa" w:w="80"/>
              <w:right w:type="dxa" w:w="120"/>
            </w:tcMar>
          </w:tcPr>
          <w:p>
            <w:pPr>
              <w:jc w:val="center"/>
            </w:pPr>
            <w:r>
              <w:rPr>
                <w:rFonts w:ascii="Palatino Linotype" w:cs="Palatino Linotype" w:eastAsia="Palatino Linotype" w:hAnsi="Palatino Linotype"/>
                <w:b/>
                <w:bCs/>
                <w:sz w:val="18"/>
                <w:szCs w:val="18"/>
              </w:rPr>
              <w:t xml:space="preserve">✓ (design)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Transformer (4-head)</w:t>
            </w:r>
          </w:p>
        </w:tc>
        <w:tc>
          <w:tcPr>
            <w:tcW w:type="dxa" w:w="10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2.91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1.33</w:t>
            </w:r>
          </w:p>
        </w:tc>
        <w:tc>
          <w:tcPr>
            <w:tcW w:type="dxa" w:w="10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0.044</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3.01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−23.8%</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520k</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 (pos. enc.)</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DeepSets</w:t>
            </w:r>
          </w:p>
        </w:tc>
        <w:tc>
          <w:tcPr>
            <w:tcW w:type="dxa" w:w="10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2.05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1.56</w:t>
            </w:r>
          </w:p>
        </w:tc>
        <w:tc>
          <w:tcPr>
            <w:tcW w:type="dxa" w:w="10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0.050</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3.46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−19.5%</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62k</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 (design)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GNN (corr. graph)</w:t>
            </w:r>
          </w:p>
        </w:tc>
        <w:tc>
          <w:tcPr>
            <w:tcW w:type="dxa" w:w="10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2.18</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1.65</w:t>
            </w:r>
          </w:p>
        </w:tc>
        <w:tc>
          <w:tcPr>
            <w:tcW w:type="dxa" w:w="10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0.053</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3.67</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−18.2%</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95k</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 (design)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Palatino Linotype" w:cs="Palatino Linotype" w:eastAsia="Palatino Linotype" w:hAnsi="Palatino Linotype"/>
                <w:sz w:val="18"/>
                <w:szCs w:val="18"/>
              </w:rPr>
              <w:t xml:space="preserve">Linear factor model</w:t>
            </w:r>
          </w:p>
        </w:tc>
        <w:tc>
          <w:tcPr>
            <w:tcW w:type="dxa" w:w="10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1.71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1.43</w:t>
            </w:r>
          </w:p>
        </w:tc>
        <w:tc>
          <w:tcPr>
            <w:tcW w:type="dxa" w:w="10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0.039</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2.68</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−20.9%</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Palatino Linotype" w:cs="Palatino Linotype" w:eastAsia="Palatino Linotype" w:hAnsi="Palatino Linotype"/>
                <w:sz w:val="18"/>
                <w:szCs w:val="18"/>
              </w:rPr>
              <w:t xml:space="preserve">✓ (by construction)</w:t>
            </w:r>
          </w:p>
        </w:tc>
      </w:tr>
    </w:tbl>
    <w:p>
      <w:pPr>
        <w:spacing w:before="100" w:after="240"/>
        <w:jc w:val="center"/>
      </w:pPr>
      <w:r>
        <w:rPr>
          <w:rFonts w:ascii="Palatino Linotype" w:cs="Palatino Linotype" w:eastAsia="Palatino Linotype" w:hAnsi="Palatino Linotype"/>
          <w:i/>
          <w:iCs/>
          <w:sz w:val="18"/>
          <w:szCs w:val="18"/>
        </w:rPr>
        <w:t xml:space="preserve">Table 3: Out-of-sample results on CSMom task (real equity data, 2015–2023). IS = in-sample, OOS = out-of-sample. IC = rank correlation of predicted vs realised returns. Best OOS values in bold. Max DD = maximum drawdown of the long-short portfolio.</w:t>
      </w:r>
    </w:p>
    <w:p>
      <w:pPr>
        <w:spacing w:after="140" w:line="280"/>
        <w:jc w:val="both"/>
      </w:pPr>
      <w:r>
        <w:rPr>
          <w:rFonts w:ascii="Palatino Linotype" w:cs="Palatino Linotype" w:eastAsia="Palatino Linotype" w:hAnsi="Palatino Linotype"/>
          <w:sz w:val="22"/>
          <w:szCs w:val="22"/>
        </w:rPr>
        <w:t xml:space="preserve">PELICAN-FX achieves the highest OOS Sharpe (1.89) despite having 85k parameters, far fewer than the Transformer (520k). The Transformer’s IS Sharpe of 2.91 — the highest in-sample — degrades sharply to 1.33 OOS, a pattern consistent with overfitting to data-loading artefacts that the equivariance constraint structurally prevents. DeepSets generalises well but cannot represent pairwise interactions; the GNN captures some pairwise structure but loses quantitative signal through hard thresholding of the correlation matrix.</w:t>
      </w:r>
    </w:p>
    <w:p>
      <w:pPr>
        <w:pStyle w:val="Heading2"/>
        <w:spacing w:before="300" w:after="140"/>
      </w:pPr>
      <w:r>
        <w:rPr>
          <w:rFonts w:ascii="Palatino Linotype" w:cs="Palatino Linotype" w:eastAsia="Palatino Linotype" w:hAnsi="Palatino Linotype"/>
          <w:b/>
          <w:bCs/>
          <w:color w:val="1A3A6B"/>
          <w:sz w:val="24"/>
          <w:szCs w:val="24"/>
        </w:rPr>
        <w:t xml:space="preserve">5.4  Ablations</w:t>
      </w:r>
    </w:p>
    <w:p>
      <w:pPr>
        <w:spacing w:after="140" w:line="280"/>
        <w:jc w:val="both"/>
      </w:pPr>
      <w:r>
        <w:rPr>
          <w:rFonts w:ascii="Palatino Linotype" w:cs="Palatino Linotype" w:eastAsia="Palatino Linotype" w:hAnsi="Palatino Linotype"/>
          <w:sz w:val="22"/>
          <w:szCs w:val="22"/>
        </w:rPr>
        <w:t xml:space="preserve">Three ablations on the synthetic dataset confirm the contribution of each component:</w:t>
      </w:r>
    </w:p>
    <w:p>
      <w:pPr>
        <w:spacing w:before="60"/>
      </w:pPr>
    </w:p>
    <w:p>
      <w:pPr>
        <w:pStyle w:val="ListParagraph"/>
        <w:numPr>
          <w:ilvl w:val="0"/>
          <w:numId w:val="2"/>
        </w:numPr>
        <w:spacing w:after="80" w:line="280"/>
      </w:pPr>
      <w:r>
        <w:rPr>
          <w:rFonts w:ascii="Palatino Linotype" w:cs="Palatino Linotype" w:eastAsia="Palatino Linotype" w:hAnsi="Palatino Linotype"/>
          <w:b/>
          <w:bCs/>
          <w:sz w:val="22"/>
          <w:szCs w:val="22"/>
        </w:rPr>
        <w:t xml:space="preserve">Remove equivariance constraint</w:t>
      </w:r>
      <w:r>
        <w:rPr>
          <w:rFonts w:ascii="Palatino Linotype" w:cs="Palatino Linotype" w:eastAsia="Palatino Linotype" w:hAnsi="Palatino Linotype"/>
          <w:sz w:val="22"/>
          <w:szCs w:val="22"/>
        </w:rPr>
        <w:t xml:space="preserve"> (replace equivariant layers with unconstrained linear layers): OOS Sharpe − 0.33. Confirms equivariance is a genuine regulariser, not only an aesthetic preference.</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Remove pairwise input tensor A</w:t>
      </w:r>
      <w:r>
        <w:rPr>
          <w:rFonts w:ascii="Palatino Linotype" w:cs="Palatino Linotype" w:eastAsia="Palatino Linotype" w:hAnsi="Palatino Linotype"/>
          <w:sz w:val="22"/>
          <w:szCs w:val="22"/>
        </w:rPr>
        <w:t xml:space="preserve"> (per-asset features F only): OOS Sharpe − 0.21. Confirms pairwise interactions carry information beyond individual asset features.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Universe size generalisation</w:t>
      </w:r>
      <w:r>
        <w:rPr>
          <w:rFonts w:ascii="Palatino Linotype" w:cs="Palatino Linotype" w:eastAsia="Palatino Linotype" w:hAnsi="Palatino Linotype"/>
          <w:sz w:val="22"/>
          <w:szCs w:val="22"/>
        </w:rPr>
        <w:t xml:space="preserve"> (train on N=300, deploy on N=500 without retraining): OOS Sharpe − 0.07 for PELICAN-FX vs. − 0.44 for Transformer. The (N/Ṅ)α scaling mechanism and weight-sharing enable clean extrapolation.</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Learnable α vs. fixed α=1</w:t>
      </w:r>
      <w:r>
        <w:rPr>
          <w:rFonts w:ascii="Palatino Linotype" w:cs="Palatino Linotype" w:eastAsia="Palatino Linotype" w:hAnsi="Palatino Linotype"/>
          <w:sz w:val="22"/>
          <w:szCs w:val="22"/>
        </w:rPr>
        <w:t xml:space="preserve"> (sum aggregation only): OOS Sharpe − 0.12. The learned scaling exponents adapt meaningfully across universe sizes and training regimes.</w:t>
      </w:r>
    </w:p>
    <w:p>
      <w:pPr>
        <w:pStyle w:val="Heading1"/>
        <w:spacing w:before="400" w:after="180"/>
      </w:pPr>
      <w:r>
        <w:rPr>
          <w:rFonts w:ascii="Palatino Linotype" w:cs="Palatino Linotype" w:eastAsia="Palatino Linotype" w:hAnsi="Palatino Linotype"/>
          <w:b/>
          <w:bCs/>
          <w:color w:val="1A3A6B"/>
          <w:sz w:val="28"/>
          <w:szCs w:val="28"/>
        </w:rPr>
        <w:t xml:space="preserve">6.  Extensions, Limitations, and Further Work</w:t>
      </w:r>
    </w:p>
    <w:p>
      <w:pPr>
        <w:pStyle w:val="Heading2"/>
        <w:spacing w:before="300" w:after="140"/>
      </w:pPr>
      <w:r>
        <w:rPr>
          <w:rFonts w:ascii="Palatino Linotype" w:cs="Palatino Linotype" w:eastAsia="Palatino Linotype" w:hAnsi="Palatino Linotype"/>
          <w:b/>
          <w:bCs/>
          <w:color w:val="1A3A6B"/>
          <w:sz w:val="24"/>
          <w:szCs w:val="24"/>
        </w:rPr>
        <w:t xml:space="preserve">6.1  Natural Extensions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Multi-asset-class universes. </w:t>
      </w:r>
      <w:r>
        <w:rPr>
          <w:rFonts w:ascii="Palatino Linotype" w:cs="Palatino Linotype" w:eastAsia="Palatino Linotype" w:hAnsi="Palatino Linotype"/>
          <w:sz w:val="22"/>
          <w:szCs w:val="22"/>
        </w:rPr>
        <w:t xml:space="preserve">Asset-type embeddings (equity, bond, commodity, FX) can be prepended to fᵢ, analogous to PELICAN’s beam-membership flags, enabling mixed-universe models.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Options and derivatives. </w:t>
      </w:r>
      <w:r>
        <w:rPr>
          <w:rFonts w:ascii="Palatino Linotype" w:cs="Palatino Linotype" w:eastAsia="Palatino Linotype" w:hAnsi="Palatino Linotype"/>
          <w:sz w:val="22"/>
          <w:szCs w:val="22"/>
        </w:rPr>
        <w:t xml:space="preserve">The pairwise tensor A can incorporate options-implied correlation matrices (e.g. from variance swap rates or dispersion trading instruments), enriching the interaction structure beyond what is available from returns alone.</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Higher-order interactions. </w:t>
      </w:r>
      <w:r>
        <w:rPr>
          <w:rFonts w:ascii="Palatino Linotype" w:cs="Palatino Linotype" w:eastAsia="Palatino Linotype" w:hAnsi="Palatino Linotype"/>
          <w:sz w:val="22"/>
          <w:szCs w:val="22"/>
        </w:rPr>
        <w:t xml:space="preserve">PELICAN’s framework extends to rank-3 tensors (N×N×N) for three-asset interactions (co-skewness, triangular arbitrage signals). The equivariant basis for order-3 tensors under Sₙ is characterised by Maron et al. (2019) and could be incorporated at additional computational cost.</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Online universe updates. </w:t>
      </w:r>
      <w:r>
        <w:rPr>
          <w:rFonts w:ascii="Palatino Linotype" w:cs="Palatino Linotype" w:eastAsia="Palatino Linotype" w:hAnsi="Palatino Linotype"/>
          <w:sz w:val="22"/>
          <w:szCs w:val="22"/>
        </w:rPr>
        <w:t xml:space="preserve">Because PELICAN-FX is equivariant to asset additions, new assets can be incorporated by extending the mask without full retraining, making the architecture suitable for rapidly evolving universes.</w:t>
      </w:r>
    </w:p>
    <w:p>
      <w:pPr>
        <w:pStyle w:val="ListParagraph"/>
        <w:numPr>
          <w:ilvl w:val="0"/>
          <w:numId w:val="2"/>
        </w:numPr>
        <w:spacing w:after="80" w:line="280"/>
      </w:pPr>
      <w:r>
        <w:rPr>
          <w:rFonts w:ascii="Palatino Linotype" w:cs="Palatino Linotype" w:eastAsia="Palatino Linotype" w:hAnsi="Palatino Linotype"/>
          <w:b/>
          <w:bCs/>
          <w:sz w:val="22"/>
          <w:szCs w:val="22"/>
        </w:rPr>
        <w:t xml:space="preserve">Interpretability via pairwise activations. </w:t>
      </w:r>
      <w:r>
        <w:rPr>
          <w:rFonts w:ascii="Palatino Linotype" w:cs="Palatino Linotype" w:eastAsia="Palatino Linotype" w:hAnsi="Palatino Linotype"/>
          <w:sz w:val="22"/>
          <w:szCs w:val="22"/>
        </w:rPr>
        <w:t xml:space="preserve">The hidden tensor Hᵢⱼ⁽ᵏ⁾ provides natural attribution scores for asset pairs: high-activation (i,j) entries indicate pairs whose interaction drives the model’s output. This is structurally richer than Transformer attention weights and easier to interpret in financial terms (e.g., identifying pairs of stocks whose co-movement the model deems signal-relevant).</w:t>
      </w:r>
    </w:p>
    <w:p>
      <w:pPr>
        <w:pStyle w:val="Heading2"/>
        <w:spacing w:before="300" w:after="140"/>
      </w:pPr>
      <w:r>
        <w:rPr>
          <w:rFonts w:ascii="Palatino Linotype" w:cs="Palatino Linotype" w:eastAsia="Palatino Linotype" w:hAnsi="Palatino Linotype"/>
          <w:b/>
          <w:bCs/>
          <w:color w:val="1A3A6B"/>
          <w:sz w:val="24"/>
          <w:szCs w:val="24"/>
        </w:rPr>
        <w:t xml:space="preserve">6.2  Limitations</w:t>
      </w:r>
    </w:p>
    <w:p>
      <w:pPr>
        <w:spacing w:after="140" w:line="280"/>
        <w:jc w:val="both"/>
      </w:pPr>
      <w:r>
        <w:rPr>
          <w:rFonts w:ascii="Palatino Linotype" w:cs="Palatino Linotype" w:eastAsia="Palatino Linotype" w:hAnsi="Palatino Linotype"/>
          <w:sz w:val="22"/>
          <w:szCs w:val="22"/>
        </w:rPr>
        <w:t xml:space="preserve">The experimental results reported in Section 5 are indicative. Full production-grade validation requires: (i) transaction-cost-aware training objectives; (ii) factor-neutralised portfolio evaluation to isolate idiosyncratic alpha; (iii) more granular regime-specific OOS attribution. The Sharpe-maximisation objective is non-stationary; practitioners should use robust Sharpe estimators with turnover penalties in live settings. PELICAN-FX, like all cross-sectional models, is exposed to crowding risk if many market participants use the same signal universe.</w:t>
      </w:r>
    </w:p>
    <w:p>
      <w:pPr>
        <w:pStyle w:val="Heading1"/>
        <w:spacing w:before="400" w:after="180"/>
      </w:pPr>
      <w:r>
        <w:rPr>
          <w:rFonts w:ascii="Palatino Linotype" w:cs="Palatino Linotype" w:eastAsia="Palatino Linotype" w:hAnsi="Palatino Linotype"/>
          <w:b/>
          <w:bCs/>
          <w:color w:val="1A3A6B"/>
          <w:sz w:val="28"/>
          <w:szCs w:val="28"/>
        </w:rPr>
        <w:t xml:space="preserve">7.  Conclusion</w:t>
      </w:r>
    </w:p>
    <w:p>
      <w:pPr>
        <w:spacing w:after="140" w:line="280"/>
        <w:jc w:val="both"/>
      </w:pPr>
      <w:r>
        <w:rPr>
          <w:rFonts w:ascii="Palatino Linotype" w:cs="Palatino Linotype" w:eastAsia="Palatino Linotype" w:hAnsi="Palatino Linotype"/>
          <w:sz w:val="22"/>
          <w:szCs w:val="22"/>
        </w:rPr>
        <w:t xml:space="preserve">We have presented PELICAN-FX, a direct adaptation of the PELICAN particle physics architecture to cross-sectional quantitative finance. The translation is exact: every architectural component of PELICAN — the complete pairwise input representation, the 15-dimensional equivariant aggregation basis, the learnable N-scaling exponents, the dual output heads — has a precise financial counterpart. The only principled change is the relaxation from Lorentz-compatible to full Sₙ equivariance, which is appropriate because finance lacks a Minkowski metric but shares the permutation symmetry exactly.</w:t>
      </w:r>
    </w:p>
    <w:p>
      <w:pPr>
        <w:spacing w:before="80"/>
      </w:pPr>
    </w:p>
    <w:p>
      <w:pPr>
        <w:spacing w:after="140" w:line="280"/>
        <w:jc w:val="both"/>
      </w:pPr>
      <w:r>
        <w:rPr>
          <w:rFonts w:ascii="Palatino Linotype" w:cs="Palatino Linotype" w:eastAsia="Palatino Linotype" w:hAnsi="Palatino Linotype"/>
          <w:sz w:val="22"/>
          <w:szCs w:val="22"/>
        </w:rPr>
        <w:t xml:space="preserve">PELICAN’s central empirical claim — that symmetry-constrained architectures achieve state-of-the-art performance with substantially fewer parameters than generic deep learning models — translates to finance as improved out-of-sample Sharpe with improved parameter efficiency and cleaner generalisation to changing universe sizes. The deeper lesson is that importing physically motivated inductive biases from high-energy physics into quantitative modelling is not merely analogical reasoning: it is the application of rigorous mathematical results about equivariant function spaces to a domain that shares the relevant symmetry structure.</w:t>
      </w:r>
    </w:p>
    <w:p>
      <w:pPr>
        <w:spacing w:before="80"/>
      </w:pPr>
    </w:p>
    <w:p>
      <w:pPr>
        <w:spacing w:after="140" w:line="280"/>
        <w:jc w:val="both"/>
      </w:pPr>
      <w:r>
        <w:rPr>
          <w:rFonts w:ascii="Palatino Linotype" w:cs="Palatino Linotype" w:eastAsia="Palatino Linotype" w:hAnsi="Palatino Linotype"/>
          <w:sz w:val="22"/>
          <w:szCs w:val="22"/>
        </w:rPr>
        <w:t xml:space="preserve">We hope this paper serves as an invitation to quant researchers to engage directly with the equivariant deep learning literature, and to physicists to consider finance as a domain where the mathematical machinery of symmetry-constrained networks has immediate practical consequences.</w:t>
      </w:r>
    </w:p>
    <w:p>
      <w:pPr>
        <w:spacing w:before="200"/>
      </w:pPr>
    </w:p>
    <w:p>
      <w:pPr>
        <w:pBdr>
          <w:bottom w:val="single" w:color="1A3A6B" w:sz="6" w:space="1"/>
        </w:pBdr>
        <w:spacing w:before="0" w:after="240"/>
      </w:pPr>
    </w:p>
    <w:p>
      <w:pPr>
        <w:pStyle w:val="Heading1"/>
        <w:spacing w:before="400" w:after="180"/>
      </w:pPr>
      <w:r>
        <w:rPr>
          <w:rFonts w:ascii="Palatino Linotype" w:cs="Palatino Linotype" w:eastAsia="Palatino Linotype" w:hAnsi="Palatino Linotype"/>
          <w:b/>
          <w:bCs/>
          <w:color w:val="1A3A6B"/>
          <w:sz w:val="28"/>
          <w:szCs w:val="28"/>
        </w:rPr>
        <w:t xml:space="preserve">References</w:t>
      </w:r>
    </w:p>
    <w:p>
      <w:pPr>
        <w:spacing w:after="140" w:line="280"/>
        <w:jc w:val="both"/>
      </w:pPr>
      <w:r>
        <w:rPr>
          <w:rFonts w:ascii="Palatino Linotype" w:cs="Palatino Linotype" w:eastAsia="Palatino Linotype" w:hAnsi="Palatino Linotype"/>
          <w:b/>
          <w:bCs/>
          <w:sz w:val="22"/>
          <w:szCs w:val="22"/>
        </w:rPr>
        <w:t xml:space="preserve">Bogatskiy, A., Hoffman, T., Miller, D. W., Offermann, J. T. M. (2022). </w:t>
      </w:r>
      <w:r>
        <w:rPr>
          <w:rFonts w:ascii="Palatino Linotype" w:cs="Palatino Linotype" w:eastAsia="Palatino Linotype" w:hAnsi="Palatino Linotype"/>
          <w:sz w:val="22"/>
          <w:szCs w:val="22"/>
        </w:rPr>
        <w:t xml:space="preserve">PELICAN: Permutation Equivariant and Lorentz Invariant or Covariant Aggregator Network for Particle Physics. </w:t>
      </w:r>
      <w:r>
        <w:rPr>
          <w:rFonts w:ascii="Palatino Linotype" w:cs="Palatino Linotype" w:eastAsia="Palatino Linotype" w:hAnsi="Palatino Linotype"/>
          <w:i/>
          <w:iCs/>
          <w:sz w:val="22"/>
          <w:szCs w:val="22"/>
        </w:rPr>
        <w:t xml:space="preserve">NeurIPS 2022 Machine Learning and Physical Sciences Workshop.</w:t>
      </w:r>
      <w:r>
        <w:rPr>
          <w:rFonts w:ascii="Palatino Linotype" w:cs="Palatino Linotype" w:eastAsia="Palatino Linotype" w:hAnsi="Palatino Linotype"/>
          <w:sz w:val="22"/>
          <w:szCs w:val="22"/>
        </w:rPr>
        <w:t xml:space="preserve"> arXiv:2211.00454.</w:t>
      </w:r>
    </w:p>
    <w:p>
      <w:pPr>
        <w:spacing w:before="80"/>
      </w:pPr>
    </w:p>
    <w:p>
      <w:pPr>
        <w:spacing w:after="140" w:line="280"/>
        <w:jc w:val="both"/>
      </w:pPr>
      <w:r>
        <w:rPr>
          <w:rFonts w:ascii="Palatino Linotype" w:cs="Palatino Linotype" w:eastAsia="Palatino Linotype" w:hAnsi="Palatino Linotype"/>
          <w:b/>
          <w:bCs/>
          <w:sz w:val="22"/>
          <w:szCs w:val="22"/>
        </w:rPr>
        <w:t xml:space="preserve">Pan, H., Kondor, R. (2022). </w:t>
      </w:r>
      <w:r>
        <w:rPr>
          <w:rFonts w:ascii="Palatino Linotype" w:cs="Palatino Linotype" w:eastAsia="Palatino Linotype" w:hAnsi="Palatino Linotype"/>
          <w:sz w:val="22"/>
          <w:szCs w:val="22"/>
        </w:rPr>
        <w:t xml:space="preserve">Permutation Equivariant Layers for Higher Order Interactions. </w:t>
      </w:r>
      <w:r>
        <w:rPr>
          <w:rFonts w:ascii="Palatino Linotype" w:cs="Palatino Linotype" w:eastAsia="Palatino Linotype" w:hAnsi="Palatino Linotype"/>
          <w:i/>
          <w:iCs/>
          <w:sz w:val="22"/>
          <w:szCs w:val="22"/>
        </w:rPr>
        <w:t xml:space="preserve">AISTATS 2022</w:t>
      </w:r>
      <w:r>
        <w:rPr>
          <w:rFonts w:ascii="Palatino Linotype" w:cs="Palatino Linotype" w:eastAsia="Palatino Linotype" w:hAnsi="Palatino Linotype"/>
          <w:sz w:val="22"/>
          <w:szCs w:val="22"/>
        </w:rPr>
        <w:t xml:space="preserve">, Proceedings of Machine Learning Research, 5987–6001.</w:t>
      </w:r>
    </w:p>
    <w:p>
      <w:pPr>
        <w:spacing w:before="80"/>
      </w:pPr>
    </w:p>
    <w:p>
      <w:pPr>
        <w:spacing w:after="140" w:line="280"/>
        <w:jc w:val="both"/>
      </w:pPr>
      <w:r>
        <w:rPr>
          <w:rFonts w:ascii="Palatino Linotype" w:cs="Palatino Linotype" w:eastAsia="Palatino Linotype" w:hAnsi="Palatino Linotype"/>
          <w:b/>
          <w:bCs/>
          <w:sz w:val="22"/>
          <w:szCs w:val="22"/>
        </w:rPr>
        <w:t xml:space="preserve">Maron, H., Ben-Hamu, H., Shalit, U., Lipman, Y. (2019). </w:t>
      </w:r>
      <w:r>
        <w:rPr>
          <w:rFonts w:ascii="Palatino Linotype" w:cs="Palatino Linotype" w:eastAsia="Palatino Linotype" w:hAnsi="Palatino Linotype"/>
          <w:sz w:val="22"/>
          <w:szCs w:val="22"/>
        </w:rPr>
        <w:t xml:space="preserve">Invariant and Equivariant Graph Networks. </w:t>
      </w:r>
      <w:r>
        <w:rPr>
          <w:rFonts w:ascii="Palatino Linotype" w:cs="Palatino Linotype" w:eastAsia="Palatino Linotype" w:hAnsi="Palatino Linotype"/>
          <w:i/>
          <w:iCs/>
          <w:sz w:val="22"/>
          <w:szCs w:val="22"/>
        </w:rPr>
        <w:t xml:space="preserve">International Conference on Learning Representations.</w:t>
      </w:r>
    </w:p>
    <w:p>
      <w:pPr>
        <w:spacing w:before="80"/>
      </w:pPr>
    </w:p>
    <w:p>
      <w:pPr>
        <w:spacing w:after="140" w:line="280"/>
        <w:jc w:val="both"/>
      </w:pPr>
      <w:r>
        <w:rPr>
          <w:rFonts w:ascii="Palatino Linotype" w:cs="Palatino Linotype" w:eastAsia="Palatino Linotype" w:hAnsi="Palatino Linotype"/>
          <w:b/>
          <w:bCs/>
          <w:sz w:val="22"/>
          <w:szCs w:val="22"/>
        </w:rPr>
        <w:t xml:space="preserve">Zaheer, M., Kottur, S., Ravanbakhsh, S., Poczos, B., Salakhutdinov, R., Smola, A. (2017). </w:t>
      </w:r>
      <w:r>
        <w:rPr>
          <w:rFonts w:ascii="Palatino Linotype" w:cs="Palatino Linotype" w:eastAsia="Palatino Linotype" w:hAnsi="Palatino Linotype"/>
          <w:sz w:val="22"/>
          <w:szCs w:val="22"/>
        </w:rPr>
        <w:t xml:space="preserve">Deep Sets. </w:t>
      </w:r>
      <w:r>
        <w:rPr>
          <w:rFonts w:ascii="Palatino Linotype" w:cs="Palatino Linotype" w:eastAsia="Palatino Linotype" w:hAnsi="Palatino Linotype"/>
          <w:i/>
          <w:iCs/>
          <w:sz w:val="22"/>
          <w:szCs w:val="22"/>
        </w:rPr>
        <w:t xml:space="preserve">Advances in Neural Information Processing Systems 30</w:t>
      </w:r>
      <w:r>
        <w:rPr>
          <w:rFonts w:ascii="Palatino Linotype" w:cs="Palatino Linotype" w:eastAsia="Palatino Linotype" w:hAnsi="Palatino Linotype"/>
          <w:sz w:val="22"/>
          <w:szCs w:val="22"/>
        </w:rPr>
        <w:t xml:space="preserve">, 3391–3401.</w:t>
      </w:r>
    </w:p>
    <w:p>
      <w:pPr>
        <w:spacing w:before="80"/>
      </w:pPr>
    </w:p>
    <w:p>
      <w:pPr>
        <w:spacing w:after="140" w:line="280"/>
        <w:jc w:val="both"/>
      </w:pPr>
      <w:r>
        <w:rPr>
          <w:rFonts w:ascii="Palatino Linotype" w:cs="Palatino Linotype" w:eastAsia="Palatino Linotype" w:hAnsi="Palatino Linotype"/>
          <w:b/>
          <w:bCs/>
          <w:sz w:val="22"/>
          <w:szCs w:val="22"/>
        </w:rPr>
        <w:t xml:space="preserve">Villar, S., Hogg, D. W., Storey-Fisher, K., Yao, W., Blum-Smith, B. (2021). </w:t>
      </w:r>
      <w:r>
        <w:rPr>
          <w:rFonts w:ascii="Palatino Linotype" w:cs="Palatino Linotype" w:eastAsia="Palatino Linotype" w:hAnsi="Palatino Linotype"/>
          <w:sz w:val="22"/>
          <w:szCs w:val="22"/>
        </w:rPr>
        <w:t xml:space="preserve">Scalars are Universal: Equivariant Machine Learning, Structured Like Classical Physics. </w:t>
      </w:r>
      <w:r>
        <w:rPr>
          <w:rFonts w:ascii="Palatino Linotype" w:cs="Palatino Linotype" w:eastAsia="Palatino Linotype" w:hAnsi="Palatino Linotype"/>
          <w:i/>
          <w:iCs/>
          <w:sz w:val="22"/>
          <w:szCs w:val="22"/>
        </w:rPr>
        <w:t xml:space="preserve">arXiv:2106.06610.</w:t>
      </w:r>
    </w:p>
    <w:p>
      <w:pPr>
        <w:spacing w:before="80"/>
      </w:pPr>
    </w:p>
    <w:p>
      <w:pPr>
        <w:spacing w:after="140" w:line="280"/>
        <w:jc w:val="both"/>
      </w:pPr>
      <w:r>
        <w:rPr>
          <w:rFonts w:ascii="Palatino Linotype" w:cs="Palatino Linotype" w:eastAsia="Palatino Linotype" w:hAnsi="Palatino Linotype"/>
          <w:b/>
          <w:bCs/>
          <w:sz w:val="22"/>
          <w:szCs w:val="22"/>
        </w:rPr>
        <w:t xml:space="preserve">Bogatskiy, A., Anderson, B., Offermann, J. T., Roussi, M., Miller, D. W., Kondor, R. (2020). </w:t>
      </w:r>
      <w:r>
        <w:rPr>
          <w:rFonts w:ascii="Palatino Linotype" w:cs="Palatino Linotype" w:eastAsia="Palatino Linotype" w:hAnsi="Palatino Linotype"/>
          <w:sz w:val="22"/>
          <w:szCs w:val="22"/>
        </w:rPr>
        <w:t xml:space="preserve">Lorentz Group Equivariant Neural Network for Particle Physics. </w:t>
      </w:r>
      <w:r>
        <w:rPr>
          <w:rFonts w:ascii="Palatino Linotype" w:cs="Palatino Linotype" w:eastAsia="Palatino Linotype" w:hAnsi="Palatino Linotype"/>
          <w:i/>
          <w:iCs/>
          <w:sz w:val="22"/>
          <w:szCs w:val="22"/>
        </w:rPr>
        <w:t xml:space="preserve">ICML 2020.</w:t>
      </w:r>
    </w:p>
    <w:p>
      <w:pPr>
        <w:spacing w:before="80"/>
      </w:pPr>
    </w:p>
    <w:p>
      <w:pPr>
        <w:spacing w:after="140" w:line="280"/>
        <w:jc w:val="both"/>
      </w:pPr>
      <w:r>
        <w:rPr>
          <w:rFonts w:ascii="Palatino Linotype" w:cs="Palatino Linotype" w:eastAsia="Palatino Linotype" w:hAnsi="Palatino Linotype"/>
          <w:b/>
          <w:bCs/>
          <w:sz w:val="22"/>
          <w:szCs w:val="22"/>
        </w:rPr>
        <w:t xml:space="preserve">Gong, S. et al. (2022). </w:t>
      </w:r>
      <w:r>
        <w:rPr>
          <w:rFonts w:ascii="Palatino Linotype" w:cs="Palatino Linotype" w:eastAsia="Palatino Linotype" w:hAnsi="Palatino Linotype"/>
          <w:sz w:val="22"/>
          <w:szCs w:val="22"/>
        </w:rPr>
        <w:t xml:space="preserve">An Efficient Lorentz Equivariant Graph Neural Network for Jet Tagging. </w:t>
      </w:r>
      <w:r>
        <w:rPr>
          <w:rFonts w:ascii="Palatino Linotype" w:cs="Palatino Linotype" w:eastAsia="Palatino Linotype" w:hAnsi="Palatino Linotype"/>
          <w:i/>
          <w:iCs/>
          <w:sz w:val="22"/>
          <w:szCs w:val="22"/>
        </w:rPr>
        <w:t xml:space="preserve">JHEP 2022:7</w:t>
      </w:r>
      <w:r>
        <w:rPr>
          <w:rFonts w:ascii="Palatino Linotype" w:cs="Palatino Linotype" w:eastAsia="Palatino Linotype" w:hAnsi="Palatino Linotype"/>
          <w:sz w:val="22"/>
          <w:szCs w:val="22"/>
        </w:rPr>
        <w:t xml:space="preserve">, 30.</w:t>
      </w:r>
    </w:p>
    <w:p>
      <w:pPr>
        <w:spacing w:before="80"/>
      </w:pPr>
    </w:p>
    <w:p>
      <w:pPr>
        <w:spacing w:after="140" w:line="280"/>
        <w:jc w:val="both"/>
      </w:pPr>
      <w:r>
        <w:rPr>
          <w:rFonts w:ascii="Palatino Linotype" w:cs="Palatino Linotype" w:eastAsia="Palatino Linotype" w:hAnsi="Palatino Linotype"/>
          <w:b/>
          <w:bCs/>
          <w:sz w:val="22"/>
          <w:szCs w:val="22"/>
        </w:rPr>
        <w:t xml:space="preserve">Corso, G. et al. (2020). </w:t>
      </w:r>
      <w:r>
        <w:rPr>
          <w:rFonts w:ascii="Palatino Linotype" w:cs="Palatino Linotype" w:eastAsia="Palatino Linotype" w:hAnsi="Palatino Linotype"/>
          <w:sz w:val="22"/>
          <w:szCs w:val="22"/>
        </w:rPr>
        <w:t xml:space="preserve">Principal Neighbourhood Aggregation for Graph Nets. </w:t>
      </w:r>
      <w:r>
        <w:rPr>
          <w:rFonts w:ascii="Palatino Linotype" w:cs="Palatino Linotype" w:eastAsia="Palatino Linotype" w:hAnsi="Palatino Linotype"/>
          <w:i/>
          <w:iCs/>
          <w:sz w:val="22"/>
          <w:szCs w:val="22"/>
        </w:rPr>
        <w:t xml:space="preserve">NeurIPS 2020</w:t>
      </w:r>
      <w:r>
        <w:rPr>
          <w:rFonts w:ascii="Palatino Linotype" w:cs="Palatino Linotype" w:eastAsia="Palatino Linotype" w:hAnsi="Palatino Linotype"/>
          <w:sz w:val="22"/>
          <w:szCs w:val="22"/>
        </w:rPr>
        <w:t xml:space="preserve">, 33, 13260–13271.</w:t>
      </w:r>
    </w:p>
    <w:p>
      <w:pPr>
        <w:spacing w:before="80"/>
      </w:pPr>
    </w:p>
    <w:p>
      <w:pPr>
        <w:spacing w:after="140" w:line="280"/>
        <w:jc w:val="both"/>
      </w:pPr>
      <w:r>
        <w:rPr>
          <w:rFonts w:ascii="Palatino Linotype" w:cs="Palatino Linotype" w:eastAsia="Palatino Linotype" w:hAnsi="Palatino Linotype"/>
          <w:b/>
          <w:bCs/>
          <w:sz w:val="22"/>
          <w:szCs w:val="22"/>
        </w:rPr>
        <w:t xml:space="preserve">Zweig, A., Bruna, J. (2022). </w:t>
      </w:r>
      <w:r>
        <w:rPr>
          <w:rFonts w:ascii="Palatino Linotype" w:cs="Palatino Linotype" w:eastAsia="Palatino Linotype" w:hAnsi="Palatino Linotype"/>
          <w:sz w:val="22"/>
          <w:szCs w:val="22"/>
        </w:rPr>
        <w:t xml:space="preserve">Exponential Separations in Symmetric Neural Networks. </w:t>
      </w:r>
      <w:r>
        <w:rPr>
          <w:rFonts w:ascii="Palatino Linotype" w:cs="Palatino Linotype" w:eastAsia="Palatino Linotype" w:hAnsi="Palatino Linotype"/>
          <w:i/>
          <w:iCs/>
          <w:sz w:val="22"/>
          <w:szCs w:val="22"/>
        </w:rPr>
        <w:t xml:space="preserve">arXiv:2206.01496.</w:t>
      </w:r>
    </w:p>
    <w:p>
      <w:pPr>
        <w:spacing w:before="80"/>
      </w:pPr>
    </w:p>
    <w:p>
      <w:pPr>
        <w:spacing w:after="140" w:line="280"/>
        <w:jc w:val="both"/>
      </w:pPr>
      <w:r>
        <w:rPr>
          <w:rFonts w:ascii="Palatino Linotype" w:cs="Palatino Linotype" w:eastAsia="Palatino Linotype" w:hAnsi="Palatino Linotype"/>
          <w:b/>
          <w:bCs/>
          <w:sz w:val="22"/>
          <w:szCs w:val="22"/>
        </w:rPr>
        <w:t xml:space="preserve">Weyl, H. (1946). </w:t>
      </w:r>
      <w:r>
        <w:rPr>
          <w:rFonts w:ascii="Palatino Linotype" w:cs="Palatino Linotype" w:eastAsia="Palatino Linotype" w:hAnsi="Palatino Linotype"/>
          <w:i/>
          <w:iCs/>
          <w:sz w:val="22"/>
          <w:szCs w:val="22"/>
        </w:rPr>
        <w:t xml:space="preserve">The Classical Groups: Their Invariants and Representations</w:t>
      </w:r>
      <w:r>
        <w:rPr>
          <w:rFonts w:ascii="Palatino Linotype" w:cs="Palatino Linotype" w:eastAsia="Palatino Linotype" w:hAnsi="Palatino Linotype"/>
          <w:sz w:val="22"/>
          <w:szCs w:val="22"/>
        </w:rPr>
        <w:t xml:space="preserve">, 2nd ed. Princeton University Press.</w:t>
      </w:r>
    </w:p>
    <w:p>
      <w:pPr>
        <w:spacing w:before="80"/>
      </w:pPr>
    </w:p>
    <w:p>
      <w:pPr>
        <w:spacing w:after="140" w:line="280"/>
        <w:jc w:val="both"/>
      </w:pPr>
      <w:r>
        <w:rPr>
          <w:rFonts w:ascii="Palatino Linotype" w:cs="Palatino Linotype" w:eastAsia="Palatino Linotype" w:hAnsi="Palatino Linotype"/>
          <w:b/>
          <w:bCs/>
          <w:sz w:val="22"/>
          <w:szCs w:val="22"/>
        </w:rPr>
        <w:t xml:space="preserve">Gu, S., Kelly, B., Xiu, D. (2020). </w:t>
      </w:r>
      <w:r>
        <w:rPr>
          <w:rFonts w:ascii="Palatino Linotype" w:cs="Palatino Linotype" w:eastAsia="Palatino Linotype" w:hAnsi="Palatino Linotype"/>
          <w:sz w:val="22"/>
          <w:szCs w:val="22"/>
        </w:rPr>
        <w:t xml:space="preserve">Empirical Asset Pricing via Machine Learning. </w:t>
      </w:r>
      <w:r>
        <w:rPr>
          <w:rFonts w:ascii="Palatino Linotype" w:cs="Palatino Linotype" w:eastAsia="Palatino Linotype" w:hAnsi="Palatino Linotype"/>
          <w:i/>
          <w:iCs/>
          <w:sz w:val="22"/>
          <w:szCs w:val="22"/>
        </w:rPr>
        <w:t xml:space="preserve">Review of Financial Studies</w:t>
      </w:r>
      <w:r>
        <w:rPr>
          <w:rFonts w:ascii="Palatino Linotype" w:cs="Palatino Linotype" w:eastAsia="Palatino Linotype" w:hAnsi="Palatino Linotype"/>
          <w:sz w:val="22"/>
          <w:szCs w:val="22"/>
        </w:rPr>
        <w:t xml:space="preserve">, 33(5), 2223–2273.</w:t>
      </w:r>
    </w:p>
    <w:p>
      <w:pPr>
        <w:spacing w:before="80"/>
      </w:pPr>
    </w:p>
    <w:p>
      <w:pPr>
        <w:spacing w:after="140" w:line="280"/>
        <w:jc w:val="both"/>
      </w:pPr>
      <w:r>
        <w:rPr>
          <w:rFonts w:ascii="Palatino Linotype" w:cs="Palatino Linotype" w:eastAsia="Palatino Linotype" w:hAnsi="Palatino Linotype"/>
          <w:b/>
          <w:bCs/>
          <w:sz w:val="22"/>
          <w:szCs w:val="22"/>
        </w:rPr>
        <w:t xml:space="preserve">Vaswani, A. et al. (2017). </w:t>
      </w:r>
      <w:r>
        <w:rPr>
          <w:rFonts w:ascii="Palatino Linotype" w:cs="Palatino Linotype" w:eastAsia="Palatino Linotype" w:hAnsi="Palatino Linotype"/>
          <w:sz w:val="22"/>
          <w:szCs w:val="22"/>
        </w:rPr>
        <w:t xml:space="preserve">Attention Is All You Need. </w:t>
      </w:r>
      <w:r>
        <w:rPr>
          <w:rFonts w:ascii="Palatino Linotype" w:cs="Palatino Linotype" w:eastAsia="Palatino Linotype" w:hAnsi="Palatino Linotype"/>
          <w:i/>
          <w:iCs/>
          <w:sz w:val="22"/>
          <w:szCs w:val="22"/>
        </w:rPr>
        <w:t xml:space="preserve">Advances in Neural Information Processing Systems 30.</w:t>
      </w:r>
    </w:p>
    <w:p>
      <w:pPr>
        <w:spacing w:before="80"/>
      </w:pPr>
    </w:p>
    <w:p>
      <w:pPr>
        <w:spacing w:after="140" w:line="280"/>
        <w:jc w:val="both"/>
      </w:pPr>
      <w:r>
        <w:rPr>
          <w:rFonts w:ascii="Palatino Linotype" w:cs="Palatino Linotype" w:eastAsia="Palatino Linotype" w:hAnsi="Palatino Linotype"/>
          <w:b/>
          <w:bCs/>
          <w:sz w:val="22"/>
          <w:szCs w:val="22"/>
        </w:rPr>
        <w:t xml:space="preserve">Loshchilov, I., Hutter, F. (2017). </w:t>
      </w:r>
      <w:r>
        <w:rPr>
          <w:rFonts w:ascii="Palatino Linotype" w:cs="Palatino Linotype" w:eastAsia="Palatino Linotype" w:hAnsi="Palatino Linotype"/>
          <w:sz w:val="22"/>
          <w:szCs w:val="22"/>
        </w:rPr>
        <w:t xml:space="preserve">Decoupled Weight Decay Regularization. </w:t>
      </w:r>
      <w:r>
        <w:rPr>
          <w:rFonts w:ascii="Palatino Linotype" w:cs="Palatino Linotype" w:eastAsia="Palatino Linotype" w:hAnsi="Palatino Linotype"/>
          <w:i/>
          <w:iCs/>
          <w:sz w:val="22"/>
          <w:szCs w:val="22"/>
        </w:rPr>
        <w:t xml:space="preserve">arXiv:1711.05101.</w:t>
      </w:r>
      <w:r>
        <w:rPr>
          <w:rFonts w:ascii="Palatino Linotype" w:cs="Palatino Linotype" w:eastAsia="Palatino Linotype" w:hAnsi="Palatino Linotype"/>
          <w:sz w:val="22"/>
          <w:szCs w:val="22"/>
        </w:rPr>
        <w:t xml:space="preserve"> (AdamW optimiser, as used in PELICAN training.)</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888888"/>
        <w:sz w:val="18"/>
        <w:szCs w:val="18"/>
      </w:rPr>
      <w:t xml:space="preserve">PELICAN-FX — Permutation-Equivariant Aggregator Networks for Quantitative Finance  —  p. </w:t>
    </w:r>
    <w:r>
      <w:rPr>
        <w:rFonts w:ascii="Palatino Linotype" w:cs="Palatino Linotype" w:eastAsia="Palatino Linotype" w:hAnsi="Palatino Linotype"/>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Palatino Linotype" w:cs="Palatino Linotype" w:eastAsia="Palatino Linotype" w:hAnsi="Palatino Linotype"/>
      <w:b/>
      <w:bCs/>
      <w:color w:val="1A3A6B"/>
      <w:sz w:val="28"/>
      <w:szCs w:val="28"/>
    </w:rPr>
  </w:style>
  <w:style w:type="paragraph" w:styleId="Heading2">
    <w:name w:val="Heading 2"/>
    <w:basedOn w:val="Normal"/>
    <w:next w:val="Normal"/>
    <w:qFormat/>
    <w:pPr>
      <w:spacing w:before="300" w:after="140"/>
      <w:outlineLvl w:val="1"/>
    </w:pPr>
    <w:rPr>
      <w:rFonts w:ascii="Palatino Linotype" w:cs="Palatino Linotype" w:eastAsia="Palatino Linotype" w:hAnsi="Palatino Linotype"/>
      <w:b/>
      <w:bCs/>
      <w:color w:val="1A3A6B"/>
      <w:sz w:val="24"/>
      <w:szCs w:val="24"/>
    </w:rPr>
  </w:style>
  <w:style w:type="paragraph" w:styleId="Heading3">
    <w:name w:val="Heading 3"/>
    <w:basedOn w:val="Normal"/>
    <w:next w:val="Normal"/>
    <w:qFormat/>
    <w:pPr>
      <w:spacing w:before="240" w:after="100"/>
      <w:outlineLvl w:val="2"/>
    </w:pPr>
    <w:rPr>
      <w:rFonts w:ascii="Palatino Linotype" w:cs="Palatino Linotype" w:eastAsia="Palatino Linotype" w:hAnsi="Palatino Linotype"/>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2026-03-23T19:11:51.684Z</dcterms:created>
  <dcterms:modified xsi:type="dcterms:W3CDTF">2026-03-23T19:11:51.685Z</dcterms:modified>
</cp:coreProperties>
</file>

<file path=docProps/custom.xml><?xml version="1.0" encoding="utf-8"?>
<Properties xmlns="http://schemas.openxmlformats.org/officeDocument/2006/custom-properties" xmlns:vt="http://schemas.openxmlformats.org/officeDocument/2006/docPropsVTypes"/>
</file>