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2963"/>
          <w:sz w:val="56"/>
        </w:rPr>
        <w:t>Pulser Professional Office Skills</w:t>
      </w:r>
    </w:p>
    <w:p>
      <w:r>
        <w:rPr>
          <w:color w:val="5646A8"/>
          <w:sz w:val="27"/>
        </w:rPr>
        <w:t>Publishable-quality PowerPoint, Word, and Excel capabilities for Pulser for PH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EAF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3B2E7E"/>
                <w:sz w:val="21"/>
              </w:rPr>
              <w:t>Purpose</w:t>
            </w:r>
            <w:r>
              <w:rPr>
                <w:sz w:val="22"/>
              </w:rPr>
              <w:br/>
              <w:t>Define the office-artifact skill pack that lets Pulser create, revise, ground, review, and publish presentation decks, formal documents, and spreadsheet models at professional quality.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95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2F2963"/>
                <w:sz w:val="23"/>
              </w:rPr>
              <w:t>PowerPoint Studio</w:t>
            </w:r>
          </w:p>
          <w:p>
            <w:pPr/>
            <w:r>
              <w:rPr>
                <w:sz w:val="19"/>
              </w:rPr>
              <w:t>Narrative decks, operating reviews, executive updates</w:t>
            </w:r>
          </w:p>
        </w:tc>
        <w:tc>
          <w:tcPr>
            <w:tcW w:type="dxa" w:w="2952"/>
            <w:shd w:fill="EEF8F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2F2963"/>
                <w:sz w:val="23"/>
              </w:rPr>
              <w:t>Word Studio</w:t>
            </w:r>
          </w:p>
          <w:p>
            <w:pPr/>
            <w:r>
              <w:rPr>
                <w:sz w:val="19"/>
              </w:rPr>
              <w:t>Memos, playbooks, policies, board-ready docs</w:t>
            </w:r>
          </w:p>
        </w:tc>
        <w:tc>
          <w:tcPr>
            <w:tcW w:type="dxa" w:w="2952"/>
            <w:shd w:fill="FFF3E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2F2963"/>
                <w:sz w:val="23"/>
              </w:rPr>
              <w:t>Excel Studio</w:t>
            </w:r>
          </w:p>
          <w:p>
            <w:pPr/>
            <w:r>
              <w:rPr>
                <w:sz w:val="19"/>
              </w:rPr>
              <w:t>KPI models, OKR dashboards, skill matrices</w:t>
            </w:r>
          </w:p>
        </w:tc>
      </w:tr>
    </w:tbl>
    <w:p>
      <w:r>
        <w:rPr>
          <w:b/>
        </w:rPr>
        <w:t xml:space="preserve">Release intent: </w:t>
      </w:r>
      <w:r>
        <w:t>ship as a professional, governed Office-skill layer on top of Pulser for PH, with publish-ready formatting standards, Odoo/Foundry grounding, and an evidence vault in Odoo Documents.</w:t>
      </w:r>
    </w:p>
    <w:p>
      <w:pPr>
        <w:pStyle w:val="Heading1"/>
      </w:pPr>
      <w:r>
        <w:t>1. Office skill families</w:t>
      </w:r>
    </w:p>
    <w:p>
      <w:pPr>
        <w:spacing w:after="80"/>
        <w:ind w:left="216"/>
      </w:pPr>
      <w:r>
        <w:rPr>
          <w:b/>
        </w:rPr>
        <w:t xml:space="preserve">• </w:t>
      </w:r>
      <w:r>
        <w:t>PowerPoint Studio — create executive decks, operating reviews, roadmap presentations, and reviewer-ready storylines.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Word Studio — create formal strategy documents, PRDs, policies, close packs, SOPs, and publishable briefs.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Excel Studio — create finance models, KPI scorecards, OKR trackers, scenario sheets, and publishable operating workbooks.</w:t>
      </w:r>
    </w:p>
    <w:p>
      <w:pPr>
        <w:pStyle w:val="Heading1"/>
      </w:pPr>
      <w:r>
        <w:t>2. Design and publishing standard</w:t>
      </w:r>
    </w:p>
    <w:p>
      <w:pPr>
        <w:spacing w:after="80"/>
        <w:ind w:left="216"/>
      </w:pPr>
      <w:r>
        <w:rPr>
          <w:b/>
        </w:rPr>
        <w:t xml:space="preserve">• </w:t>
      </w:r>
      <w:r>
        <w:t>Every artifact must be brand-safe, readable, traceable, and reviewer-ready.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Pulser should use evidence-backed content, consistent typography, restrained color, and deliberate hierarchy.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No artifact is considered complete until it passes render QA, reviewer checks, and retained-copy storage in Odoo Documents.</w:t>
      </w:r>
    </w:p>
    <w:p>
      <w:pPr>
        <w:pStyle w:val="Heading1"/>
      </w:pPr>
      <w:r>
        <w:t>3. Grounding and evidence model</w:t>
      </w:r>
    </w:p>
    <w:p>
      <w:pPr>
        <w:spacing w:after="80"/>
        <w:ind w:left="216"/>
      </w:pPr>
      <w:r>
        <w:rPr>
          <w:b/>
        </w:rPr>
        <w:t xml:space="preserve">• </w:t>
      </w:r>
      <w:r>
        <w:t>Primary grounding order: active Odoo record context → linked Odoo Documents artifacts → Finance PPM task / milestone / OKR → approved policy indexes → allowed external systems.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Pulser responses must classify support as evidence_found, evidence_found_with_inference, evidence_missing, or evidence_conflicting.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Any publishable artifact that references finance-critical decisions must link back to its retained supporting files.</w:t>
      </w:r>
    </w:p>
    <w:p>
      <w:pPr>
        <w:pStyle w:val="Heading1"/>
      </w:pPr>
      <w:r>
        <w:t>4. Architecture pattern</w:t>
      </w:r>
    </w:p>
    <w:p>
      <w:pPr>
        <w:spacing w:after="80"/>
        <w:ind w:left="216"/>
      </w:pPr>
      <w:r>
        <w:rPr>
          <w:b/>
        </w:rPr>
        <w:t xml:space="preserve">• </w:t>
      </w:r>
      <w:r>
        <w:t>Inputs: Odoo records, Finance PPM objects, retained documents, approved knowledge indexes.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Core services: skill orchestration, retrieval, structured generation, render/review, publish workflow.</w:t>
      </w:r>
    </w:p>
    <w:p>
      <w:pPr>
        <w:spacing w:after="80"/>
        <w:ind w:left="216"/>
      </w:pPr>
      <w:r>
        <w:rPr>
          <w:b/>
        </w:rPr>
        <w:t xml:space="preserve">• </w:t>
      </w:r>
      <w:r>
        <w:t>Outputs: decks, documents, workbooks, plus retained derivative artifacts and trace links.</w:t>
      </w:r>
    </w:p>
    <w:p>
      <w:pPr>
        <w:pStyle w:val="Heading1"/>
      </w:pPr>
      <w:r>
        <w:t>5. Capability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3B2E7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Studio</w:t>
            </w:r>
          </w:p>
        </w:tc>
        <w:tc>
          <w:tcPr>
            <w:tcW w:type="dxa" w:w="2592"/>
            <w:shd w:fill="3B2E7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outputs</w:t>
            </w:r>
          </w:p>
        </w:tc>
        <w:tc>
          <w:tcPr>
            <w:tcW w:type="dxa" w:w="2232"/>
            <w:shd w:fill="3B2E7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Grounding sources</w:t>
            </w:r>
          </w:p>
        </w:tc>
        <w:tc>
          <w:tcPr>
            <w:tcW w:type="dxa" w:w="1944"/>
            <w:shd w:fill="3B2E7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Quality gates</w:t>
            </w:r>
          </w:p>
        </w:tc>
        <w:tc>
          <w:tcPr>
            <w:tcW w:type="dxa" w:w="2160"/>
            <w:shd w:fill="3B2E7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Publish target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PowerPoint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Exec decks, reviews, board updates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Odoo context, PPM metrics, retained visuals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story flow, no overflow, render QA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PPTX / PDF deck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Word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PRDs, policies, briefs, playbooks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Odoo docs, policy indexes, approvals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page render, hierarchy, citations, signoff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DOCX / PDF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Excel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KPI workbooks, matrices, models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record metrics, tasks, OKRs, derived formulas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9"/>
              </w:rPr>
              <w:t>formula integrity, recalc, render QA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XLSX</w:t>
            </w:r>
          </w:p>
        </w:tc>
      </w:tr>
    </w:tbl>
    <w:p>
      <w:pPr>
        <w:pStyle w:val="Heading1"/>
      </w:pPr>
      <w:r>
        <w:t>6. Business case and OKR linkage</w:t>
      </w:r>
    </w:p>
    <w:p>
      <w:pPr>
        <w:spacing w:after="120"/>
      </w:pPr>
      <w:r>
        <w:t>Pulser office skills must improve measurable business outcomes, not just artifact aesthetics.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EEEAF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3B2E7E"/>
              </w:rPr>
              <w:t>Objective</w:t>
            </w:r>
          </w:p>
        </w:tc>
        <w:tc>
          <w:tcPr>
            <w:tcW w:type="dxa" w:w="4824"/>
            <w:shd w:fill="EEEAF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3B2E7E"/>
              </w:rPr>
              <w:t>Key result</w:t>
            </w:r>
          </w:p>
        </w:tc>
        <w:tc>
          <w:tcPr>
            <w:tcW w:type="dxa" w:w="1368"/>
            <w:shd w:fill="EEEAF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3B2E7E"/>
              </w:rPr>
              <w:t>Target</w:t>
            </w:r>
          </w:p>
        </w:tc>
      </w:tr>
      <w:tr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O1 Faster artifact production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Median first publishable draft cycle time</w:t>
            </w:r>
          </w:p>
        </w:tc>
        <w:tc>
          <w:tcPr>
            <w:tcW w:type="dxa" w:w="13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&lt; 1 day</w:t>
            </w:r>
          </w:p>
        </w:tc>
      </w:tr>
      <w:tr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O2 Higher publication quality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Artifacts passing QA without major rework</w:t>
            </w:r>
          </w:p>
        </w:tc>
        <w:tc>
          <w:tcPr>
            <w:tcW w:type="dxa" w:w="13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O3 Stronger grounding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Publishable outputs backed by retained evidence</w:t>
            </w:r>
          </w:p>
        </w:tc>
        <w:tc>
          <w:tcPr>
            <w:tcW w:type="dxa" w:w="13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O4 Reviewer efficiency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Review turnaround on office artifacts</w:t>
            </w:r>
          </w:p>
        </w:tc>
        <w:tc>
          <w:tcPr>
            <w:tcW w:type="dxa" w:w="13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-30%</w:t>
            </w:r>
          </w:p>
        </w:tc>
      </w:tr>
      <w:tr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O5 Governance readiness</w:t>
            </w:r>
          </w:p>
        </w:tc>
        <w:tc>
          <w:tcPr>
            <w:tcW w:type="dxa" w:w="48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sz w:val="18"/>
              </w:rPr>
              <w:t>Artifacts stored in Documents with trace links</w:t>
            </w:r>
          </w:p>
        </w:tc>
        <w:tc>
          <w:tcPr>
            <w:tcW w:type="dxa" w:w="13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>
      <w:pPr>
        <w:pStyle w:val="Heading1"/>
      </w:pPr>
      <w:r>
        <w:t>7. Delivery workstreams</w:t>
      </w:r>
    </w:p>
    <w:p>
      <w:r>
        <w:rPr>
          <w:b/>
          <w:color w:val="2F2963"/>
        </w:rPr>
        <w:t>Workstream A — Skill definitions</w:t>
      </w:r>
      <w:r>
        <w:t xml:space="preserve"> — Define PowerPoint Studio, Word Studio, and Excel Studio prompts, schemas, and publish targets.</w:t>
      </w:r>
    </w:p>
    <w:p>
      <w:r>
        <w:rPr>
          <w:b/>
          <w:color w:val="2F2963"/>
        </w:rPr>
        <w:t>Workstream B — Native artifact generation</w:t>
      </w:r>
      <w:r>
        <w:t xml:space="preserve"> — Use native Office-generation libraries and Odoo-aware data contracts rather than brittle HTML exports.</w:t>
      </w:r>
    </w:p>
    <w:p>
      <w:r>
        <w:rPr>
          <w:b/>
          <w:color w:val="2F2963"/>
        </w:rPr>
        <w:t>Workstream C — Render and review gates</w:t>
      </w:r>
      <w:r>
        <w:t xml:space="preserve"> — Enforce render QA for decks, docs, and spreadsheets before publish.</w:t>
      </w:r>
    </w:p>
    <w:p>
      <w:r>
        <w:rPr>
          <w:b/>
          <w:color w:val="2F2963"/>
        </w:rPr>
        <w:t>Workstream D — Documents retention and grounding</w:t>
      </w:r>
      <w:r>
        <w:t xml:space="preserve"> — Keep source and derivative copies in Odoo Documents and make them retrievable by Pulser.</w:t>
      </w:r>
    </w:p>
    <w:p>
      <w:r>
        <w:rPr>
          <w:b/>
          <w:color w:val="2F2963"/>
        </w:rPr>
        <w:t>Workstream E — Finance PPM linkage</w:t>
      </w:r>
      <w:r>
        <w:t xml:space="preserve"> — Expose business-case KPIs, KR health, and evidence completeness in the dashboard.</w:t>
      </w:r>
    </w:p>
    <w:p>
      <w:pPr>
        <w:pStyle w:val="Heading1"/>
      </w:pPr>
      <w:r>
        <w:t>8. Publish standard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3B2E7E"/>
                <w:sz w:val="23"/>
              </w:rPr>
              <w:t>Pulser Professional Office Skills publish gate</w:t>
            </w:r>
          </w:p>
          <w:p>
            <w:pPr>
              <w:spacing w:after="40"/>
              <w:ind w:left="144"/>
            </w:pPr>
            <w:r>
              <w:t>1. Content is grounded in Odoo / Documents / approved knowledge.</w:t>
            </w:r>
          </w:p>
          <w:p>
            <w:pPr>
              <w:spacing w:after="40"/>
              <w:ind w:left="144"/>
            </w:pPr>
            <w:r>
              <w:t>2. Artifact renders cleanly with no overflow, overlap, or broken layout.</w:t>
            </w:r>
          </w:p>
          <w:p>
            <w:pPr>
              <w:spacing w:after="40"/>
              <w:ind w:left="144"/>
            </w:pPr>
            <w:r>
              <w:t>3. Reviewer notes are resolved and retained copies are stored in Odoo Documents.</w:t>
            </w:r>
          </w:p>
          <w:p>
            <w:pPr>
              <w:spacing w:after="40"/>
              <w:ind w:left="144"/>
            </w:pPr>
            <w:r>
              <w:t>4. Final output is ready to circulate externally without reformatting.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Pulser for PH — Professional Office Skills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B2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646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B2E7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