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FF749" w14:textId="6FA0CF3B" w:rsidR="00517ED7" w:rsidRPr="00BE046E" w:rsidRDefault="00517ED7" w:rsidP="00E9030C">
      <w:pPr>
        <w:pStyle w:val="Heading2"/>
        <w:jc w:val="both"/>
        <w:rPr>
          <w:rFonts w:ascii="Arial" w:hAnsi="Arial" w:cs="Arial"/>
          <w:sz w:val="22"/>
          <w:szCs w:val="22"/>
        </w:rPr>
      </w:pPr>
      <w:r w:rsidRPr="00BE046E">
        <w:rPr>
          <w:rFonts w:ascii="Arial" w:hAnsi="Arial" w:cs="Arial"/>
          <w:sz w:val="22"/>
          <w:szCs w:val="22"/>
        </w:rPr>
        <w:t>Data Understanding</w:t>
      </w:r>
    </w:p>
    <w:p w14:paraId="308663DE" w14:textId="7573A6C2" w:rsidR="003617C4" w:rsidRPr="003617C4" w:rsidRDefault="003617C4" w:rsidP="00E9030C">
      <w:pPr>
        <w:jc w:val="both"/>
        <w:rPr>
          <w:rFonts w:cs="Arial"/>
        </w:rPr>
      </w:pPr>
      <w:r w:rsidRPr="003617C4">
        <w:rPr>
          <w:rFonts w:cs="Arial"/>
        </w:rPr>
        <w:t>The dataset</w:t>
      </w:r>
      <w:r w:rsidR="0097453B">
        <w:rPr>
          <w:rFonts w:cs="Arial"/>
        </w:rPr>
        <w:t xml:space="preserve"> provided</w:t>
      </w:r>
      <w:r w:rsidRPr="003617C4">
        <w:rPr>
          <w:rFonts w:cs="Arial"/>
        </w:rPr>
        <w:t xml:space="preserve"> contain</w:t>
      </w:r>
      <w:r w:rsidR="0097453B">
        <w:rPr>
          <w:rFonts w:cs="Arial"/>
        </w:rPr>
        <w:t>s a</w:t>
      </w:r>
      <w:r w:rsidRPr="003617C4">
        <w:rPr>
          <w:rFonts w:cs="Arial"/>
        </w:rPr>
        <w:t xml:space="preserve"> </w:t>
      </w:r>
      <w:r w:rsidR="009D6606">
        <w:rPr>
          <w:rFonts w:cs="Arial"/>
        </w:rPr>
        <w:t xml:space="preserve">seasonally-adjusted </w:t>
      </w:r>
      <w:r w:rsidRPr="003617C4">
        <w:rPr>
          <w:rFonts w:cs="Arial"/>
        </w:rPr>
        <w:t xml:space="preserve">time series </w:t>
      </w:r>
      <w:r w:rsidR="0097453B">
        <w:rPr>
          <w:rFonts w:cs="Arial"/>
        </w:rPr>
        <w:t xml:space="preserve">which </w:t>
      </w:r>
      <w:r w:rsidR="009D6606">
        <w:rPr>
          <w:rFonts w:cs="Arial"/>
        </w:rPr>
        <w:t xml:space="preserve">means that the seasonal component has already been removed and the available dataset </w:t>
      </w:r>
      <w:r w:rsidRPr="003617C4">
        <w:rPr>
          <w:rFonts w:cs="Arial"/>
        </w:rPr>
        <w:t>represent</w:t>
      </w:r>
      <w:r w:rsidR="0097453B">
        <w:rPr>
          <w:rFonts w:cs="Arial"/>
        </w:rPr>
        <w:t>s</w:t>
      </w:r>
      <w:r w:rsidRPr="003617C4">
        <w:rPr>
          <w:rFonts w:cs="Arial"/>
        </w:rPr>
        <w:t xml:space="preserve"> </w:t>
      </w:r>
      <w:r w:rsidR="0097453B">
        <w:rPr>
          <w:rFonts w:cs="Arial"/>
        </w:rPr>
        <w:t>monthly P</w:t>
      </w:r>
      <w:r w:rsidRPr="003617C4">
        <w:rPr>
          <w:rFonts w:cs="Arial"/>
        </w:rPr>
        <w:t xml:space="preserve">ersonal </w:t>
      </w:r>
      <w:r w:rsidR="0097453B">
        <w:rPr>
          <w:rFonts w:cs="Arial"/>
        </w:rPr>
        <w:t>C</w:t>
      </w:r>
      <w:r w:rsidRPr="003617C4">
        <w:rPr>
          <w:rFonts w:cs="Arial"/>
        </w:rPr>
        <w:t xml:space="preserve">onsumption </w:t>
      </w:r>
      <w:r w:rsidR="0097453B">
        <w:rPr>
          <w:rFonts w:cs="Arial"/>
        </w:rPr>
        <w:t>E</w:t>
      </w:r>
      <w:r w:rsidRPr="003617C4">
        <w:rPr>
          <w:rFonts w:cs="Arial"/>
        </w:rPr>
        <w:t xml:space="preserve">xpenditures (PCE) </w:t>
      </w:r>
      <w:r w:rsidR="0097453B">
        <w:rPr>
          <w:rFonts w:cs="Arial"/>
        </w:rPr>
        <w:t xml:space="preserve">values spanning </w:t>
      </w:r>
      <w:r w:rsidR="0097453B" w:rsidRPr="003617C4">
        <w:rPr>
          <w:rFonts w:cs="Arial"/>
        </w:rPr>
        <w:t>from January 1959</w:t>
      </w:r>
      <w:r w:rsidR="0097453B">
        <w:rPr>
          <w:rFonts w:cs="Arial"/>
        </w:rPr>
        <w:t xml:space="preserve"> to November 2023</w:t>
      </w:r>
      <w:r w:rsidRPr="003617C4">
        <w:rPr>
          <w:rFonts w:cs="Arial"/>
        </w:rPr>
        <w:t xml:space="preserve">. </w:t>
      </w:r>
    </w:p>
    <w:p w14:paraId="7DFFED60" w14:textId="6037A983" w:rsidR="00517ED7" w:rsidRPr="00BE046E" w:rsidRDefault="00517ED7" w:rsidP="00E9030C">
      <w:pPr>
        <w:pStyle w:val="Heading2"/>
        <w:jc w:val="both"/>
        <w:rPr>
          <w:rFonts w:ascii="Arial" w:hAnsi="Arial" w:cs="Arial"/>
          <w:sz w:val="22"/>
          <w:szCs w:val="22"/>
        </w:rPr>
      </w:pPr>
      <w:r w:rsidRPr="00BE046E">
        <w:rPr>
          <w:rFonts w:ascii="Arial" w:hAnsi="Arial" w:cs="Arial"/>
          <w:sz w:val="22"/>
          <w:szCs w:val="22"/>
        </w:rPr>
        <w:t>Data Cleaning</w:t>
      </w:r>
    </w:p>
    <w:p w14:paraId="46C907D5" w14:textId="03E40381" w:rsidR="003617C4" w:rsidRPr="003617C4" w:rsidRDefault="003617C4" w:rsidP="00E9030C">
      <w:pPr>
        <w:jc w:val="both"/>
        <w:rPr>
          <w:rFonts w:cs="Arial"/>
        </w:rPr>
      </w:pPr>
      <w:r w:rsidRPr="003617C4">
        <w:rPr>
          <w:rFonts w:cs="Arial"/>
        </w:rPr>
        <w:t xml:space="preserve">Initially, </w:t>
      </w:r>
      <w:r w:rsidR="00F0416F">
        <w:rPr>
          <w:rFonts w:cs="Arial"/>
        </w:rPr>
        <w:t>we load and read the</w:t>
      </w:r>
      <w:r w:rsidRPr="003617C4">
        <w:rPr>
          <w:rFonts w:cs="Arial"/>
        </w:rPr>
        <w:t xml:space="preserve"> dataset into R</w:t>
      </w:r>
      <w:r w:rsidR="00F0416F">
        <w:rPr>
          <w:rFonts w:cs="Arial"/>
        </w:rPr>
        <w:t xml:space="preserve">. </w:t>
      </w:r>
      <w:r w:rsidR="00501BE7">
        <w:rPr>
          <w:rFonts w:cs="Arial"/>
        </w:rPr>
        <w:t xml:space="preserve">We first convert </w:t>
      </w:r>
      <w:r w:rsidRPr="003617C4">
        <w:rPr>
          <w:rFonts w:cs="Arial"/>
        </w:rPr>
        <w:t xml:space="preserve">the date column to the </w:t>
      </w:r>
      <w:r w:rsidR="00501BE7">
        <w:rPr>
          <w:rFonts w:cs="Arial"/>
        </w:rPr>
        <w:t xml:space="preserve">correct </w:t>
      </w:r>
      <w:r w:rsidRPr="003617C4">
        <w:rPr>
          <w:rFonts w:cs="Arial"/>
        </w:rPr>
        <w:t xml:space="preserve">Date format </w:t>
      </w:r>
      <w:r w:rsidR="00501BE7">
        <w:rPr>
          <w:rFonts w:cs="Arial"/>
        </w:rPr>
        <w:t>else we won’t be able to perform any temporal analysis.</w:t>
      </w:r>
    </w:p>
    <w:p w14:paraId="1B0F4BE8" w14:textId="56EE5F62" w:rsidR="003617C4" w:rsidRPr="003617C4" w:rsidRDefault="00501BE7" w:rsidP="00E9030C">
      <w:pPr>
        <w:jc w:val="both"/>
        <w:rPr>
          <w:rFonts w:cs="Arial"/>
        </w:rPr>
      </w:pPr>
      <w:r>
        <w:rPr>
          <w:rFonts w:cs="Arial"/>
        </w:rPr>
        <w:t>We then</w:t>
      </w:r>
      <w:r w:rsidR="003617C4" w:rsidRPr="003617C4">
        <w:rPr>
          <w:rFonts w:cs="Arial"/>
        </w:rPr>
        <w:t xml:space="preserve"> transform</w:t>
      </w:r>
      <w:r>
        <w:rPr>
          <w:rFonts w:cs="Arial"/>
        </w:rPr>
        <w:t xml:space="preserve"> the dataset</w:t>
      </w:r>
      <w:r w:rsidR="003617C4" w:rsidRPr="003617C4">
        <w:rPr>
          <w:rFonts w:cs="Arial"/>
        </w:rPr>
        <w:t xml:space="preserve"> into a time series object </w:t>
      </w:r>
      <w:r>
        <w:rPr>
          <w:rFonts w:cs="Arial"/>
        </w:rPr>
        <w:t>by specifying the start of the dataset as January</w:t>
      </w:r>
      <w:r w:rsidR="00D916EB">
        <w:rPr>
          <w:rFonts w:cs="Arial"/>
        </w:rPr>
        <w:t>-</w:t>
      </w:r>
      <w:r>
        <w:rPr>
          <w:rFonts w:cs="Arial"/>
        </w:rPr>
        <w:t>1959, the end as November</w:t>
      </w:r>
      <w:r w:rsidR="00D916EB">
        <w:rPr>
          <w:rFonts w:cs="Arial"/>
        </w:rPr>
        <w:t>-</w:t>
      </w:r>
      <w:r>
        <w:rPr>
          <w:rFonts w:cs="Arial"/>
        </w:rPr>
        <w:t xml:space="preserve">2023 and frequency as 12 </w:t>
      </w:r>
      <w:r w:rsidR="00D916EB">
        <w:rPr>
          <w:rFonts w:cs="Arial"/>
        </w:rPr>
        <w:t xml:space="preserve">denoting </w:t>
      </w:r>
      <w:r>
        <w:rPr>
          <w:rFonts w:cs="Arial"/>
        </w:rPr>
        <w:t>monthly data.</w:t>
      </w:r>
    </w:p>
    <w:p w14:paraId="1EDC4B55" w14:textId="764167E5" w:rsidR="004F3610" w:rsidRDefault="004F3610" w:rsidP="00E9030C">
      <w:pPr>
        <w:jc w:val="both"/>
        <w:rPr>
          <w:rFonts w:cs="Arial"/>
        </w:rPr>
      </w:pPr>
      <w:r>
        <w:rPr>
          <w:rFonts w:cs="Arial"/>
        </w:rPr>
        <w:t>We notice</w:t>
      </w:r>
      <w:r w:rsidR="00793A0D">
        <w:rPr>
          <w:rFonts w:cs="Arial"/>
        </w:rPr>
        <w:t xml:space="preserve"> </w:t>
      </w:r>
      <w:r>
        <w:rPr>
          <w:rFonts w:cs="Arial"/>
        </w:rPr>
        <w:t xml:space="preserve">that the data has 43 missing values which we </w:t>
      </w:r>
      <w:r w:rsidR="00700072">
        <w:rPr>
          <w:rFonts w:cs="Arial"/>
        </w:rPr>
        <w:t xml:space="preserve">can see from </w:t>
      </w:r>
      <w:r w:rsidR="00D337E4">
        <w:rPr>
          <w:rFonts w:cs="Arial"/>
        </w:rPr>
        <w:t>Figure_</w:t>
      </w:r>
      <w:r w:rsidR="00793A0D">
        <w:rPr>
          <w:rFonts w:cs="Arial"/>
        </w:rPr>
        <w:t>1</w:t>
      </w:r>
      <w:r w:rsidR="00700072">
        <w:rPr>
          <w:rFonts w:cs="Arial"/>
        </w:rPr>
        <w:t>.</w:t>
      </w:r>
    </w:p>
    <w:p w14:paraId="55C18376" w14:textId="77777777" w:rsidR="004D0F3E" w:rsidRDefault="00700072" w:rsidP="00593AC9">
      <w:pPr>
        <w:keepNext/>
        <w:jc w:val="center"/>
      </w:pPr>
      <w:r>
        <w:rPr>
          <w:rFonts w:cs="Arial"/>
          <w:noProof/>
        </w:rPr>
        <w:drawing>
          <wp:inline distT="0" distB="0" distL="0" distR="0" wp14:anchorId="75C5F89B" wp14:editId="73770DF5">
            <wp:extent cx="5212080" cy="2679411"/>
            <wp:effectExtent l="19050" t="19050" r="26670" b="26035"/>
            <wp:docPr id="294935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2080" cy="2679411"/>
                    </a:xfrm>
                    <a:prstGeom prst="rect">
                      <a:avLst/>
                    </a:prstGeom>
                    <a:noFill/>
                    <a:ln>
                      <a:solidFill>
                        <a:schemeClr val="accent1">
                          <a:lumMod val="20000"/>
                          <a:lumOff val="80000"/>
                        </a:schemeClr>
                      </a:solidFill>
                    </a:ln>
                  </pic:spPr>
                </pic:pic>
              </a:graphicData>
            </a:graphic>
          </wp:inline>
        </w:drawing>
      </w:r>
    </w:p>
    <w:p w14:paraId="548CDEC0" w14:textId="7B97CD5E" w:rsidR="00700072" w:rsidRDefault="00D337E4" w:rsidP="004D0F3E">
      <w:pPr>
        <w:pStyle w:val="Caption"/>
        <w:jc w:val="center"/>
        <w:rPr>
          <w:rFonts w:cs="Arial"/>
        </w:rPr>
      </w:pPr>
      <w:r>
        <w:t>Figure_</w:t>
      </w:r>
      <w:fldSimple w:instr=" SEQ Figure \* ARABIC ">
        <w:r w:rsidR="007366A9">
          <w:rPr>
            <w:noProof/>
          </w:rPr>
          <w:t>1</w:t>
        </w:r>
      </w:fldSimple>
      <w:r w:rsidR="004D0F3E">
        <w:t xml:space="preserve">: </w:t>
      </w:r>
      <w:r w:rsidR="008939C4">
        <w:t>M</w:t>
      </w:r>
      <w:r w:rsidR="004D0F3E">
        <w:t>issing values</w:t>
      </w:r>
    </w:p>
    <w:p w14:paraId="3B65392F" w14:textId="77777777" w:rsidR="00901140" w:rsidRDefault="00901140" w:rsidP="00E9030C">
      <w:pPr>
        <w:jc w:val="both"/>
        <w:rPr>
          <w:rFonts w:cs="Arial"/>
        </w:rPr>
      </w:pPr>
    </w:p>
    <w:p w14:paraId="07E2C617" w14:textId="140D97A5" w:rsidR="003617C4" w:rsidRDefault="00901140" w:rsidP="00E9030C">
      <w:pPr>
        <w:jc w:val="both"/>
        <w:rPr>
          <w:rFonts w:cs="Arial"/>
        </w:rPr>
      </w:pPr>
      <w:r>
        <w:rPr>
          <w:rFonts w:cs="Arial"/>
        </w:rPr>
        <w:t xml:space="preserve">We impute the missing data </w:t>
      </w:r>
      <w:r w:rsidRPr="008C022F">
        <w:rPr>
          <w:rFonts w:cs="Arial"/>
        </w:rPr>
        <w:t>using the Kalman filter method</w:t>
      </w:r>
      <w:r w:rsidR="00117D4C">
        <w:t xml:space="preserve">. </w:t>
      </w:r>
      <w:r>
        <w:rPr>
          <w:rFonts w:cs="Arial"/>
        </w:rPr>
        <w:t xml:space="preserve">We then plot the imputed </w:t>
      </w:r>
      <w:r w:rsidRPr="003617C4">
        <w:rPr>
          <w:rFonts w:cs="Arial"/>
        </w:rPr>
        <w:t>dataset to ensure successful imputation</w:t>
      </w:r>
      <w:r>
        <w:rPr>
          <w:rFonts w:cs="Arial"/>
        </w:rPr>
        <w:t>.</w:t>
      </w:r>
      <w:r w:rsidR="000057AA">
        <w:rPr>
          <w:rFonts w:cs="Arial"/>
        </w:rPr>
        <w:t xml:space="preserve"> </w:t>
      </w:r>
      <w:r w:rsidR="00B614E4">
        <w:rPr>
          <w:rFonts w:cs="Arial"/>
        </w:rPr>
        <w:t>The</w:t>
      </w:r>
      <w:r w:rsidR="000057AA">
        <w:rPr>
          <w:rFonts w:cs="Arial"/>
        </w:rPr>
        <w:t xml:space="preserve"> plot to visualize the imputation impact on the time series data</w:t>
      </w:r>
      <w:r w:rsidR="008D3657">
        <w:rPr>
          <w:rFonts w:cs="Arial"/>
        </w:rPr>
        <w:t xml:space="preserve"> </w:t>
      </w:r>
      <w:r w:rsidR="00B614E4">
        <w:rPr>
          <w:rFonts w:cs="Arial"/>
        </w:rPr>
        <w:t>is</w:t>
      </w:r>
      <w:r w:rsidR="008D3657">
        <w:rPr>
          <w:rFonts w:cs="Arial"/>
        </w:rPr>
        <w:t xml:space="preserve"> shown in </w:t>
      </w:r>
      <w:r w:rsidR="00D337E4">
        <w:rPr>
          <w:rFonts w:cs="Arial"/>
        </w:rPr>
        <w:t>Figure_</w:t>
      </w:r>
      <w:r w:rsidR="008D3657">
        <w:rPr>
          <w:rFonts w:cs="Arial"/>
        </w:rPr>
        <w:t>2</w:t>
      </w:r>
      <w:r w:rsidR="000057AA">
        <w:rPr>
          <w:rFonts w:cs="Arial"/>
        </w:rPr>
        <w:t>.</w:t>
      </w:r>
    </w:p>
    <w:p w14:paraId="75D9B091" w14:textId="183F51D5" w:rsidR="004D0F3E" w:rsidRDefault="0093514F" w:rsidP="0093514F">
      <w:pPr>
        <w:keepNext/>
        <w:jc w:val="center"/>
      </w:pPr>
      <w:r>
        <w:rPr>
          <w:noProof/>
        </w:rPr>
        <w:lastRenderedPageBreak/>
        <w:drawing>
          <wp:inline distT="0" distB="0" distL="0" distR="0" wp14:anchorId="0BE9DC89" wp14:editId="69742C53">
            <wp:extent cx="5212080" cy="2658161"/>
            <wp:effectExtent l="19050" t="19050" r="26670" b="27940"/>
            <wp:docPr id="1083258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78" r="3124" b="4961"/>
                    <a:stretch/>
                  </pic:blipFill>
                  <pic:spPr bwMode="auto">
                    <a:xfrm>
                      <a:off x="0" y="0"/>
                      <a:ext cx="5212080" cy="2658161"/>
                    </a:xfrm>
                    <a:prstGeom prst="rect">
                      <a:avLst/>
                    </a:prstGeom>
                    <a:noFill/>
                    <a:ln>
                      <a:solidFill>
                        <a:schemeClr val="accent1">
                          <a:lumMod val="20000"/>
                          <a:lumOff val="80000"/>
                        </a:schemeClr>
                      </a:solidFill>
                    </a:ln>
                    <a:extLst>
                      <a:ext uri="{53640926-AAD7-44D8-BBD7-CCE9431645EC}">
                        <a14:shadowObscured xmlns:a14="http://schemas.microsoft.com/office/drawing/2010/main"/>
                      </a:ext>
                    </a:extLst>
                  </pic:spPr>
                </pic:pic>
              </a:graphicData>
            </a:graphic>
          </wp:inline>
        </w:drawing>
      </w:r>
    </w:p>
    <w:p w14:paraId="11A3CA71" w14:textId="0DE51305" w:rsidR="00BB1D0C" w:rsidRPr="003617C4" w:rsidRDefault="00D337E4" w:rsidP="004D0F3E">
      <w:pPr>
        <w:pStyle w:val="Caption"/>
        <w:jc w:val="center"/>
        <w:rPr>
          <w:rFonts w:cs="Arial"/>
        </w:rPr>
      </w:pPr>
      <w:r>
        <w:t>Figure_</w:t>
      </w:r>
      <w:fldSimple w:instr=" SEQ Figure \* ARABIC ">
        <w:r w:rsidR="007366A9">
          <w:rPr>
            <w:noProof/>
          </w:rPr>
          <w:t>2</w:t>
        </w:r>
      </w:fldSimple>
      <w:r w:rsidR="004D0F3E">
        <w:t xml:space="preserve">: </w:t>
      </w:r>
      <w:r w:rsidR="008939C4">
        <w:t>Imputed t</w:t>
      </w:r>
      <w:r w:rsidR="004D0F3E">
        <w:t>ime series</w:t>
      </w:r>
    </w:p>
    <w:p w14:paraId="059E1036" w14:textId="77777777" w:rsidR="00243547" w:rsidRDefault="00243547" w:rsidP="00E9030C">
      <w:pPr>
        <w:jc w:val="both"/>
        <w:rPr>
          <w:rFonts w:cs="Arial"/>
        </w:rPr>
      </w:pPr>
    </w:p>
    <w:p w14:paraId="14A1C2C3" w14:textId="200D14D3" w:rsidR="00243547" w:rsidRDefault="00243547" w:rsidP="00E9030C">
      <w:pPr>
        <w:jc w:val="both"/>
        <w:rPr>
          <w:rFonts w:cs="Arial"/>
        </w:rPr>
      </w:pPr>
      <w:proofErr w:type="gramStart"/>
      <w:r>
        <w:rPr>
          <w:rFonts w:cs="Arial"/>
        </w:rPr>
        <w:t>In order to</w:t>
      </w:r>
      <w:proofErr w:type="gramEnd"/>
      <w:r>
        <w:rPr>
          <w:rFonts w:cs="Arial"/>
        </w:rPr>
        <w:t xml:space="preserve"> understand the data pattern, we </w:t>
      </w:r>
      <w:r w:rsidR="00B0524D">
        <w:rPr>
          <w:rFonts w:cs="Arial"/>
        </w:rPr>
        <w:t xml:space="preserve">need to </w:t>
      </w:r>
      <w:r w:rsidRPr="003617C4">
        <w:rPr>
          <w:rFonts w:cs="Arial"/>
        </w:rPr>
        <w:t xml:space="preserve">decompose the </w:t>
      </w:r>
      <w:r>
        <w:rPr>
          <w:rFonts w:cs="Arial"/>
        </w:rPr>
        <w:t xml:space="preserve">imputed </w:t>
      </w:r>
      <w:r w:rsidRPr="003617C4">
        <w:rPr>
          <w:rFonts w:cs="Arial"/>
        </w:rPr>
        <w:t>time series into its constituent components: trend, seasonal, and random</w:t>
      </w:r>
      <w:r>
        <w:rPr>
          <w:rFonts w:cs="Arial"/>
        </w:rPr>
        <w:t xml:space="preserve">. </w:t>
      </w:r>
      <w:r w:rsidR="00777730">
        <w:rPr>
          <w:rFonts w:cs="Arial"/>
        </w:rPr>
        <w:t xml:space="preserve">As the variance of the time series doesn’t change over time, hence </w:t>
      </w:r>
      <w:r w:rsidR="00777730" w:rsidRPr="00997B4C">
        <w:rPr>
          <w:rFonts w:cs="Arial"/>
        </w:rPr>
        <w:t xml:space="preserve">we decompose using the additive </w:t>
      </w:r>
      <w:r w:rsidR="00236700" w:rsidRPr="00997B4C">
        <w:rPr>
          <w:rFonts w:cs="Arial"/>
        </w:rPr>
        <w:t>model</w:t>
      </w:r>
      <w:r w:rsidR="00236700">
        <w:rPr>
          <w:rFonts w:cs="Arial"/>
        </w:rPr>
        <w:t xml:space="preserve"> </w:t>
      </w:r>
      <w:r w:rsidR="00236700" w:rsidRPr="00997B4C">
        <w:rPr>
          <w:rFonts w:cs="Arial"/>
        </w:rPr>
        <w:t>as</w:t>
      </w:r>
      <w:r w:rsidR="00777730">
        <w:rPr>
          <w:rFonts w:cs="Arial"/>
        </w:rPr>
        <w:t xml:space="preserve"> we can see in </w:t>
      </w:r>
      <w:r w:rsidR="00D337E4">
        <w:rPr>
          <w:rFonts w:cs="Arial"/>
        </w:rPr>
        <w:t>Figure_</w:t>
      </w:r>
      <w:r w:rsidR="008D3657">
        <w:rPr>
          <w:rFonts w:cs="Arial"/>
        </w:rPr>
        <w:t>3</w:t>
      </w:r>
      <w:r w:rsidR="00777730">
        <w:rPr>
          <w:rFonts w:cs="Arial"/>
        </w:rPr>
        <w:t xml:space="preserve">. </w:t>
      </w:r>
    </w:p>
    <w:p w14:paraId="7281E244" w14:textId="77777777" w:rsidR="004D0F3E" w:rsidRDefault="00777730" w:rsidP="00593AC9">
      <w:pPr>
        <w:keepNext/>
        <w:jc w:val="center"/>
      </w:pPr>
      <w:r>
        <w:rPr>
          <w:rFonts w:cs="Arial"/>
          <w:noProof/>
        </w:rPr>
        <w:drawing>
          <wp:inline distT="0" distB="0" distL="0" distR="0" wp14:anchorId="1CBD3A5F" wp14:editId="28D55BB9">
            <wp:extent cx="4566149" cy="2311400"/>
            <wp:effectExtent l="19050" t="19050" r="25400" b="12700"/>
            <wp:docPr id="455634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791" b="3294"/>
                    <a:stretch/>
                  </pic:blipFill>
                  <pic:spPr bwMode="auto">
                    <a:xfrm>
                      <a:off x="0" y="0"/>
                      <a:ext cx="4585791" cy="2321343"/>
                    </a:xfrm>
                    <a:prstGeom prst="rect">
                      <a:avLst/>
                    </a:prstGeom>
                    <a:noFill/>
                    <a:ln>
                      <a:solidFill>
                        <a:schemeClr val="accent1">
                          <a:lumMod val="20000"/>
                          <a:lumOff val="80000"/>
                        </a:schemeClr>
                      </a:solidFill>
                    </a:ln>
                    <a:extLst>
                      <a:ext uri="{53640926-AAD7-44D8-BBD7-CCE9431645EC}">
                        <a14:shadowObscured xmlns:a14="http://schemas.microsoft.com/office/drawing/2010/main"/>
                      </a:ext>
                    </a:extLst>
                  </pic:spPr>
                </pic:pic>
              </a:graphicData>
            </a:graphic>
          </wp:inline>
        </w:drawing>
      </w:r>
    </w:p>
    <w:p w14:paraId="2AE95964" w14:textId="1DE9B33F" w:rsidR="003617C4" w:rsidRDefault="00D337E4" w:rsidP="004D0F3E">
      <w:pPr>
        <w:pStyle w:val="Caption"/>
        <w:jc w:val="center"/>
      </w:pPr>
      <w:r>
        <w:t>Figure_</w:t>
      </w:r>
      <w:fldSimple w:instr=" SEQ Figure \* ARABIC ">
        <w:r w:rsidR="007366A9">
          <w:rPr>
            <w:noProof/>
          </w:rPr>
          <w:t>3</w:t>
        </w:r>
      </w:fldSimple>
      <w:r w:rsidR="004D0F3E">
        <w:t>: Additive decomposition</w:t>
      </w:r>
    </w:p>
    <w:p w14:paraId="0E3D9C74" w14:textId="77777777" w:rsidR="004D0F3E" w:rsidRPr="004D0F3E" w:rsidRDefault="004D0F3E" w:rsidP="004D0F3E"/>
    <w:p w14:paraId="117C8647" w14:textId="03C70093" w:rsidR="00517ED7" w:rsidRPr="00BE046E" w:rsidRDefault="00517ED7" w:rsidP="00E9030C">
      <w:pPr>
        <w:pStyle w:val="Heading2"/>
        <w:jc w:val="both"/>
        <w:rPr>
          <w:rFonts w:ascii="Arial" w:hAnsi="Arial" w:cs="Arial"/>
          <w:sz w:val="22"/>
          <w:szCs w:val="22"/>
        </w:rPr>
      </w:pPr>
      <w:r w:rsidRPr="00BE046E">
        <w:rPr>
          <w:rFonts w:ascii="Arial" w:hAnsi="Arial" w:cs="Arial"/>
          <w:sz w:val="22"/>
          <w:szCs w:val="22"/>
        </w:rPr>
        <w:t>Data Exploration</w:t>
      </w:r>
    </w:p>
    <w:p w14:paraId="18F142A6" w14:textId="4FD74CCC" w:rsidR="00E5257A" w:rsidRDefault="00B45458" w:rsidP="00E9030C">
      <w:pPr>
        <w:jc w:val="both"/>
        <w:rPr>
          <w:rFonts w:cs="Arial"/>
        </w:rPr>
      </w:pPr>
      <w:r>
        <w:rPr>
          <w:rFonts w:cs="Arial"/>
        </w:rPr>
        <w:t xml:space="preserve">The histogram of the data </w:t>
      </w:r>
      <w:r w:rsidR="008D3657">
        <w:rPr>
          <w:rFonts w:cs="Arial"/>
        </w:rPr>
        <w:t xml:space="preserve">in </w:t>
      </w:r>
      <w:r w:rsidR="00D337E4">
        <w:rPr>
          <w:rFonts w:cs="Arial"/>
        </w:rPr>
        <w:t>Figure_</w:t>
      </w:r>
      <w:r w:rsidR="008D3657">
        <w:rPr>
          <w:rFonts w:cs="Arial"/>
        </w:rPr>
        <w:t xml:space="preserve">4 </w:t>
      </w:r>
      <w:r>
        <w:rPr>
          <w:rFonts w:cs="Arial"/>
        </w:rPr>
        <w:t xml:space="preserve">indicates that the data is right skewed with more values towards the lower end of the range. </w:t>
      </w:r>
    </w:p>
    <w:p w14:paraId="70378937" w14:textId="77777777" w:rsidR="00D83791" w:rsidRDefault="00AC6B1D" w:rsidP="00D83791">
      <w:pPr>
        <w:keepNext/>
        <w:jc w:val="center"/>
      </w:pPr>
      <w:r>
        <w:rPr>
          <w:rFonts w:cs="Arial"/>
          <w:noProof/>
        </w:rPr>
        <w:lastRenderedPageBreak/>
        <w:drawing>
          <wp:inline distT="0" distB="0" distL="0" distR="0" wp14:anchorId="136609C9" wp14:editId="420A6A7A">
            <wp:extent cx="4310913" cy="2700360"/>
            <wp:effectExtent l="19050" t="19050" r="13970" b="24130"/>
            <wp:docPr id="963433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7729" cy="2704630"/>
                    </a:xfrm>
                    <a:prstGeom prst="rect">
                      <a:avLst/>
                    </a:prstGeom>
                    <a:noFill/>
                    <a:ln>
                      <a:solidFill>
                        <a:schemeClr val="accent1">
                          <a:lumMod val="20000"/>
                          <a:lumOff val="80000"/>
                        </a:schemeClr>
                      </a:solidFill>
                    </a:ln>
                  </pic:spPr>
                </pic:pic>
              </a:graphicData>
            </a:graphic>
          </wp:inline>
        </w:drawing>
      </w:r>
    </w:p>
    <w:p w14:paraId="4DE857F1" w14:textId="46CB5B3D" w:rsidR="00AC6B1D" w:rsidRDefault="00D337E4" w:rsidP="00D83791">
      <w:pPr>
        <w:pStyle w:val="Caption"/>
        <w:jc w:val="center"/>
        <w:rPr>
          <w:rFonts w:cs="Arial"/>
        </w:rPr>
      </w:pPr>
      <w:r>
        <w:t>Figure_</w:t>
      </w:r>
      <w:fldSimple w:instr=" SEQ Figure \* ARABIC ">
        <w:r w:rsidR="007366A9">
          <w:rPr>
            <w:noProof/>
          </w:rPr>
          <w:t>4</w:t>
        </w:r>
      </w:fldSimple>
      <w:r w:rsidR="00D83791">
        <w:t>: PCE distribution</w:t>
      </w:r>
    </w:p>
    <w:p w14:paraId="557228BD" w14:textId="7F900E94" w:rsidR="006F6C02" w:rsidRDefault="006F6C02" w:rsidP="00132F79">
      <w:pPr>
        <w:jc w:val="center"/>
        <w:rPr>
          <w:rFonts w:cs="Arial"/>
        </w:rPr>
      </w:pPr>
    </w:p>
    <w:p w14:paraId="2A7C61BB" w14:textId="50C01FE1" w:rsidR="0066623F" w:rsidRDefault="00B45458" w:rsidP="00E9030C">
      <w:pPr>
        <w:jc w:val="both"/>
        <w:rPr>
          <w:rFonts w:cs="Arial"/>
        </w:rPr>
      </w:pPr>
      <w:r>
        <w:rPr>
          <w:rFonts w:cs="Arial"/>
        </w:rPr>
        <w:t>By looking at the time series plot</w:t>
      </w:r>
      <w:r w:rsidR="00CA6E6F">
        <w:rPr>
          <w:rFonts w:cs="Arial"/>
        </w:rPr>
        <w:t xml:space="preserve"> in </w:t>
      </w:r>
      <w:r w:rsidR="00D337E4">
        <w:rPr>
          <w:rFonts w:cs="Arial"/>
        </w:rPr>
        <w:t>Figure_</w:t>
      </w:r>
      <w:r w:rsidR="00CA6E6F">
        <w:rPr>
          <w:rFonts w:cs="Arial"/>
        </w:rPr>
        <w:t>5</w:t>
      </w:r>
      <w:r>
        <w:rPr>
          <w:rFonts w:cs="Arial"/>
        </w:rPr>
        <w:t>, we can see that there is a linear upward trend over time which means that the PCE values have been steadily increasing over time.</w:t>
      </w:r>
      <w:r w:rsidR="008041D9">
        <w:rPr>
          <w:rFonts w:cs="Arial"/>
        </w:rPr>
        <w:t xml:space="preserve"> </w:t>
      </w:r>
    </w:p>
    <w:p w14:paraId="68123AD8" w14:textId="77777777" w:rsidR="00D83791" w:rsidRDefault="008933E9" w:rsidP="00D83791">
      <w:pPr>
        <w:keepNext/>
        <w:jc w:val="center"/>
      </w:pPr>
      <w:r w:rsidRPr="008933E9">
        <w:rPr>
          <w:rFonts w:cs="Arial"/>
          <w:noProof/>
        </w:rPr>
        <w:drawing>
          <wp:inline distT="0" distB="0" distL="0" distR="0" wp14:anchorId="322EFE52" wp14:editId="7A9C11FF">
            <wp:extent cx="3911600" cy="2637406"/>
            <wp:effectExtent l="19050" t="19050" r="12700" b="10795"/>
            <wp:docPr id="14942275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7097"/>
                    <a:stretch/>
                  </pic:blipFill>
                  <pic:spPr bwMode="auto">
                    <a:xfrm>
                      <a:off x="0" y="0"/>
                      <a:ext cx="3913872" cy="2638938"/>
                    </a:xfrm>
                    <a:prstGeom prst="rect">
                      <a:avLst/>
                    </a:prstGeom>
                    <a:noFill/>
                    <a:ln>
                      <a:solidFill>
                        <a:schemeClr val="accent1">
                          <a:lumMod val="20000"/>
                          <a:lumOff val="80000"/>
                        </a:schemeClr>
                      </a:solidFill>
                    </a:ln>
                    <a:extLst>
                      <a:ext uri="{53640926-AAD7-44D8-BBD7-CCE9431645EC}">
                        <a14:shadowObscured xmlns:a14="http://schemas.microsoft.com/office/drawing/2010/main"/>
                      </a:ext>
                    </a:extLst>
                  </pic:spPr>
                </pic:pic>
              </a:graphicData>
            </a:graphic>
          </wp:inline>
        </w:drawing>
      </w:r>
    </w:p>
    <w:p w14:paraId="758EA446" w14:textId="46CA3259" w:rsidR="00E9030C" w:rsidRPr="008933E9" w:rsidRDefault="00D337E4" w:rsidP="00D83791">
      <w:pPr>
        <w:pStyle w:val="Caption"/>
        <w:jc w:val="center"/>
        <w:rPr>
          <w:rFonts w:cs="Arial"/>
        </w:rPr>
      </w:pPr>
      <w:r>
        <w:t>Figure_</w:t>
      </w:r>
      <w:fldSimple w:instr=" SEQ Figure \* ARABIC ">
        <w:r w:rsidR="007366A9">
          <w:rPr>
            <w:noProof/>
          </w:rPr>
          <w:t>5</w:t>
        </w:r>
      </w:fldSimple>
      <w:r w:rsidR="00D83791">
        <w:t>: Time series plot</w:t>
      </w:r>
    </w:p>
    <w:p w14:paraId="678AA2CE" w14:textId="77777777" w:rsidR="00E9030C" w:rsidRDefault="00E9030C" w:rsidP="00206414">
      <w:pPr>
        <w:jc w:val="center"/>
        <w:rPr>
          <w:rFonts w:cs="Arial"/>
        </w:rPr>
      </w:pPr>
    </w:p>
    <w:p w14:paraId="2467913C" w14:textId="79F00D80" w:rsidR="0066623F" w:rsidRDefault="0066623F" w:rsidP="00E9030C">
      <w:pPr>
        <w:jc w:val="both"/>
        <w:rPr>
          <w:rFonts w:cs="Arial"/>
        </w:rPr>
      </w:pPr>
      <w:r>
        <w:rPr>
          <w:rFonts w:cs="Arial"/>
        </w:rPr>
        <w:t xml:space="preserve">We also check the seasonal distribution of the data </w:t>
      </w:r>
      <w:r w:rsidR="00CA6E6F">
        <w:rPr>
          <w:rFonts w:cs="Arial"/>
        </w:rPr>
        <w:t xml:space="preserve">in </w:t>
      </w:r>
      <w:r w:rsidR="00D337E4">
        <w:rPr>
          <w:rFonts w:cs="Arial"/>
        </w:rPr>
        <w:t>Figure_</w:t>
      </w:r>
      <w:r w:rsidR="00CA6E6F">
        <w:rPr>
          <w:rFonts w:cs="Arial"/>
        </w:rPr>
        <w:t xml:space="preserve">6 </w:t>
      </w:r>
      <w:r w:rsidR="001235B1">
        <w:rPr>
          <w:rFonts w:cs="Arial"/>
        </w:rPr>
        <w:t xml:space="preserve">and </w:t>
      </w:r>
      <w:r w:rsidR="00D337E4">
        <w:rPr>
          <w:rFonts w:cs="Arial"/>
        </w:rPr>
        <w:t>Figure_</w:t>
      </w:r>
      <w:r w:rsidR="001235B1">
        <w:rPr>
          <w:rFonts w:cs="Arial"/>
        </w:rPr>
        <w:t xml:space="preserve">7 </w:t>
      </w:r>
      <w:r>
        <w:rPr>
          <w:rFonts w:cs="Arial"/>
        </w:rPr>
        <w:t xml:space="preserve">to see that </w:t>
      </w:r>
      <w:r w:rsidR="001852EE">
        <w:rPr>
          <w:rFonts w:cs="Arial"/>
        </w:rPr>
        <w:t xml:space="preserve">the PCE value distribution remains the same for </w:t>
      </w:r>
      <w:r>
        <w:rPr>
          <w:rFonts w:cs="Arial"/>
        </w:rPr>
        <w:t>different months across all years</w:t>
      </w:r>
      <w:r w:rsidR="001852EE">
        <w:rPr>
          <w:rFonts w:cs="Arial"/>
        </w:rPr>
        <w:t xml:space="preserve"> showing no seasonality.</w:t>
      </w:r>
    </w:p>
    <w:p w14:paraId="7DD5AFB2" w14:textId="77777777" w:rsidR="005C2DFA" w:rsidRDefault="001235B1" w:rsidP="005C2DFA">
      <w:pPr>
        <w:keepNext/>
        <w:jc w:val="center"/>
      </w:pPr>
      <w:r>
        <w:rPr>
          <w:rFonts w:cs="Arial"/>
          <w:noProof/>
        </w:rPr>
        <w:lastRenderedPageBreak/>
        <w:drawing>
          <wp:inline distT="0" distB="0" distL="0" distR="0" wp14:anchorId="3BC81069" wp14:editId="5563A112">
            <wp:extent cx="4572000" cy="2408055"/>
            <wp:effectExtent l="19050" t="19050" r="19050" b="11430"/>
            <wp:docPr id="343306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5817"/>
                    <a:stretch/>
                  </pic:blipFill>
                  <pic:spPr bwMode="auto">
                    <a:xfrm>
                      <a:off x="0" y="0"/>
                      <a:ext cx="4572000" cy="2408055"/>
                    </a:xfrm>
                    <a:prstGeom prst="rect">
                      <a:avLst/>
                    </a:prstGeom>
                    <a:noFill/>
                    <a:ln>
                      <a:solidFill>
                        <a:schemeClr val="accent1">
                          <a:lumMod val="20000"/>
                          <a:lumOff val="80000"/>
                        </a:schemeClr>
                      </a:solidFill>
                    </a:ln>
                    <a:extLst>
                      <a:ext uri="{53640926-AAD7-44D8-BBD7-CCE9431645EC}">
                        <a14:shadowObscured xmlns:a14="http://schemas.microsoft.com/office/drawing/2010/main"/>
                      </a:ext>
                    </a:extLst>
                  </pic:spPr>
                </pic:pic>
              </a:graphicData>
            </a:graphic>
          </wp:inline>
        </w:drawing>
      </w:r>
    </w:p>
    <w:p w14:paraId="3BE513C4" w14:textId="6660DA7A" w:rsidR="00920D27" w:rsidRDefault="00D337E4" w:rsidP="005C2DFA">
      <w:pPr>
        <w:pStyle w:val="Caption"/>
        <w:jc w:val="center"/>
        <w:rPr>
          <w:rFonts w:cs="Arial"/>
        </w:rPr>
      </w:pPr>
      <w:r>
        <w:t>Figure_</w:t>
      </w:r>
      <w:fldSimple w:instr=" SEQ Figure \* ARABIC ">
        <w:r w:rsidR="007366A9">
          <w:rPr>
            <w:noProof/>
          </w:rPr>
          <w:t>6</w:t>
        </w:r>
      </w:fldSimple>
      <w:r w:rsidR="005C2DFA">
        <w:t>: Seasonal distribution</w:t>
      </w:r>
    </w:p>
    <w:p w14:paraId="6E3B7C84" w14:textId="77777777" w:rsidR="005C2DFA" w:rsidRDefault="00460F04" w:rsidP="005C2DFA">
      <w:pPr>
        <w:keepNext/>
        <w:jc w:val="center"/>
      </w:pPr>
      <w:r>
        <w:rPr>
          <w:rFonts w:cs="Arial"/>
          <w:noProof/>
        </w:rPr>
        <w:drawing>
          <wp:inline distT="0" distB="0" distL="0" distR="0" wp14:anchorId="5D9FC019" wp14:editId="32A6752F">
            <wp:extent cx="4572000" cy="2494429"/>
            <wp:effectExtent l="19050" t="19050" r="19050" b="20320"/>
            <wp:docPr id="13732015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r="5539"/>
                    <a:stretch/>
                  </pic:blipFill>
                  <pic:spPr bwMode="auto">
                    <a:xfrm>
                      <a:off x="0" y="0"/>
                      <a:ext cx="4572000" cy="2494429"/>
                    </a:xfrm>
                    <a:prstGeom prst="rect">
                      <a:avLst/>
                    </a:prstGeom>
                    <a:noFill/>
                    <a:ln>
                      <a:solidFill>
                        <a:schemeClr val="accent1">
                          <a:lumMod val="20000"/>
                          <a:lumOff val="80000"/>
                        </a:schemeClr>
                      </a:solidFill>
                    </a:ln>
                    <a:extLst>
                      <a:ext uri="{53640926-AAD7-44D8-BBD7-CCE9431645EC}">
                        <a14:shadowObscured xmlns:a14="http://schemas.microsoft.com/office/drawing/2010/main"/>
                      </a:ext>
                    </a:extLst>
                  </pic:spPr>
                </pic:pic>
              </a:graphicData>
            </a:graphic>
          </wp:inline>
        </w:drawing>
      </w:r>
    </w:p>
    <w:p w14:paraId="6AA9A787" w14:textId="2292DF35" w:rsidR="00E9030C" w:rsidRDefault="00D337E4" w:rsidP="005C2DFA">
      <w:pPr>
        <w:pStyle w:val="Caption"/>
        <w:jc w:val="center"/>
        <w:rPr>
          <w:rFonts w:cs="Arial"/>
        </w:rPr>
      </w:pPr>
      <w:r>
        <w:t>Figure_</w:t>
      </w:r>
      <w:fldSimple w:instr=" SEQ Figure \* ARABIC ">
        <w:r w:rsidR="007366A9">
          <w:rPr>
            <w:noProof/>
          </w:rPr>
          <w:t>7</w:t>
        </w:r>
      </w:fldSimple>
      <w:r w:rsidR="005C2DFA" w:rsidRPr="000A3437">
        <w:t xml:space="preserve">: Seasonal </w:t>
      </w:r>
      <w:r w:rsidR="005C2DFA">
        <w:t>plot</w:t>
      </w:r>
    </w:p>
    <w:p w14:paraId="1626E03A" w14:textId="062BCF7F" w:rsidR="00E9030C" w:rsidRDefault="00E9030C" w:rsidP="00460F04">
      <w:pPr>
        <w:jc w:val="center"/>
        <w:rPr>
          <w:rFonts w:cs="Arial"/>
        </w:rPr>
      </w:pPr>
    </w:p>
    <w:p w14:paraId="7BD0FC74" w14:textId="65AB0204" w:rsidR="00586B14" w:rsidRDefault="00BD4FC6" w:rsidP="00E9030C">
      <w:pPr>
        <w:jc w:val="both"/>
        <w:rPr>
          <w:rFonts w:cs="Arial"/>
        </w:rPr>
      </w:pPr>
      <w:r>
        <w:rPr>
          <w:rFonts w:cs="Arial"/>
        </w:rPr>
        <w:t>T</w:t>
      </w:r>
      <w:r w:rsidRPr="00BD4FC6">
        <w:rPr>
          <w:rFonts w:cs="Arial"/>
        </w:rPr>
        <w:t>he time series autocorrelation plot</w:t>
      </w:r>
      <w:r>
        <w:rPr>
          <w:rFonts w:cs="Arial"/>
        </w:rPr>
        <w:t xml:space="preserve"> </w:t>
      </w:r>
      <w:r w:rsidR="009A2649">
        <w:rPr>
          <w:rFonts w:cs="Arial"/>
        </w:rPr>
        <w:t xml:space="preserve">in </w:t>
      </w:r>
      <w:r w:rsidR="00D337E4">
        <w:rPr>
          <w:rFonts w:cs="Arial"/>
        </w:rPr>
        <w:t>Figure_</w:t>
      </w:r>
      <w:r w:rsidR="005C2DFA">
        <w:rPr>
          <w:rFonts w:cs="Arial"/>
        </w:rPr>
        <w:t>8</w:t>
      </w:r>
      <w:r w:rsidR="009A2649">
        <w:rPr>
          <w:rFonts w:cs="Arial"/>
        </w:rPr>
        <w:t xml:space="preserve"> </w:t>
      </w:r>
      <w:r>
        <w:rPr>
          <w:rFonts w:cs="Arial"/>
        </w:rPr>
        <w:t xml:space="preserve">gives us further insight into the data. We notice that the autocorrelation </w:t>
      </w:r>
      <w:r w:rsidR="00586B14">
        <w:rPr>
          <w:rFonts w:cs="Arial"/>
        </w:rPr>
        <w:t xml:space="preserve">slowly </w:t>
      </w:r>
      <w:r>
        <w:rPr>
          <w:rFonts w:cs="Arial"/>
        </w:rPr>
        <w:t>decreases as the lag increases, however there is significant autocorrelation at all lags</w:t>
      </w:r>
      <w:r w:rsidR="00586B14">
        <w:rPr>
          <w:rFonts w:cs="Arial"/>
        </w:rPr>
        <w:t xml:space="preserve"> which means that the data might not be </w:t>
      </w:r>
      <w:proofErr w:type="gramStart"/>
      <w:r w:rsidR="00586B14">
        <w:rPr>
          <w:rFonts w:cs="Arial"/>
        </w:rPr>
        <w:t>stationary</w:t>
      </w:r>
      <w:r w:rsidR="00F61070" w:rsidRPr="00F61070">
        <w:t xml:space="preserve"> </w:t>
      </w:r>
      <w:r>
        <w:rPr>
          <w:rFonts w:cs="Arial"/>
        </w:rPr>
        <w:t>.</w:t>
      </w:r>
      <w:proofErr w:type="gramEnd"/>
      <w:r>
        <w:rPr>
          <w:rFonts w:cs="Arial"/>
        </w:rPr>
        <w:t xml:space="preserve"> </w:t>
      </w:r>
    </w:p>
    <w:p w14:paraId="5D641BD7" w14:textId="77777777" w:rsidR="005C2DFA" w:rsidRDefault="00980ECD" w:rsidP="005C2DFA">
      <w:pPr>
        <w:keepNext/>
        <w:jc w:val="center"/>
      </w:pPr>
      <w:r>
        <w:rPr>
          <w:rFonts w:cs="Arial"/>
          <w:noProof/>
        </w:rPr>
        <w:lastRenderedPageBreak/>
        <w:drawing>
          <wp:inline distT="0" distB="0" distL="0" distR="0" wp14:anchorId="41C01B66" wp14:editId="362D52D1">
            <wp:extent cx="4953000" cy="2063750"/>
            <wp:effectExtent l="19050" t="19050" r="19050" b="12700"/>
            <wp:docPr id="6342426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2063750"/>
                    </a:xfrm>
                    <a:prstGeom prst="rect">
                      <a:avLst/>
                    </a:prstGeom>
                    <a:noFill/>
                    <a:ln>
                      <a:solidFill>
                        <a:schemeClr val="accent1">
                          <a:lumMod val="20000"/>
                          <a:lumOff val="80000"/>
                        </a:schemeClr>
                      </a:solidFill>
                    </a:ln>
                  </pic:spPr>
                </pic:pic>
              </a:graphicData>
            </a:graphic>
          </wp:inline>
        </w:drawing>
      </w:r>
    </w:p>
    <w:p w14:paraId="1A9AAC27" w14:textId="3914D0F7" w:rsidR="00980ECD" w:rsidRDefault="00D337E4" w:rsidP="005C2DFA">
      <w:pPr>
        <w:pStyle w:val="Caption"/>
        <w:jc w:val="center"/>
        <w:rPr>
          <w:rFonts w:cs="Arial"/>
        </w:rPr>
      </w:pPr>
      <w:r>
        <w:t>Figure_</w:t>
      </w:r>
      <w:fldSimple w:instr=" SEQ Figure \* ARABIC ">
        <w:r w:rsidR="007366A9">
          <w:rPr>
            <w:noProof/>
          </w:rPr>
          <w:t>8</w:t>
        </w:r>
      </w:fldSimple>
      <w:r w:rsidR="005C2DFA">
        <w:t>: Autocorrelation plot</w:t>
      </w:r>
    </w:p>
    <w:p w14:paraId="6FD36832" w14:textId="7FE4149A" w:rsidR="006855F7" w:rsidRDefault="006855F7" w:rsidP="00664DEC">
      <w:pPr>
        <w:jc w:val="center"/>
        <w:rPr>
          <w:rFonts w:cs="Arial"/>
        </w:rPr>
      </w:pPr>
    </w:p>
    <w:p w14:paraId="3F7097D8" w14:textId="50D28E72" w:rsidR="00B45458" w:rsidRDefault="00BD4FC6" w:rsidP="00E9030C">
      <w:pPr>
        <w:jc w:val="both"/>
        <w:rPr>
          <w:rFonts w:cs="Arial"/>
        </w:rPr>
      </w:pPr>
      <w:r>
        <w:rPr>
          <w:rFonts w:cs="Arial"/>
        </w:rPr>
        <w:t xml:space="preserve">We </w:t>
      </w:r>
      <w:r w:rsidR="00CF6256">
        <w:rPr>
          <w:rFonts w:cs="Arial"/>
        </w:rPr>
        <w:t>apply</w:t>
      </w:r>
      <w:r w:rsidR="008041D9">
        <w:rPr>
          <w:rFonts w:cs="Arial"/>
        </w:rPr>
        <w:t xml:space="preserve"> </w:t>
      </w:r>
      <w:r w:rsidR="00CF6256">
        <w:rPr>
          <w:rFonts w:cs="Arial"/>
        </w:rPr>
        <w:t xml:space="preserve">both </w:t>
      </w:r>
      <w:r w:rsidR="00CF6256" w:rsidRPr="003617C4">
        <w:rPr>
          <w:rFonts w:cs="Arial"/>
        </w:rPr>
        <w:t xml:space="preserve">Augmented Dickey-Fuller (ADF) and Kwiatkowski-Phillips-Schmidt-Shin (KPSS) </w:t>
      </w:r>
      <w:r w:rsidR="008041D9">
        <w:rPr>
          <w:rFonts w:cs="Arial"/>
        </w:rPr>
        <w:t>test</w:t>
      </w:r>
      <w:r w:rsidR="00CF6256">
        <w:rPr>
          <w:rFonts w:cs="Arial"/>
        </w:rPr>
        <w:t>s</w:t>
      </w:r>
      <w:r w:rsidR="00236700">
        <w:rPr>
          <w:rFonts w:cs="Arial"/>
        </w:rPr>
        <w:t xml:space="preserve"> </w:t>
      </w:r>
      <w:r>
        <w:rPr>
          <w:rFonts w:cs="Arial"/>
        </w:rPr>
        <w:t>and</w:t>
      </w:r>
      <w:r w:rsidR="008041D9">
        <w:rPr>
          <w:rFonts w:cs="Arial"/>
        </w:rPr>
        <w:t xml:space="preserve"> </w:t>
      </w:r>
      <w:r w:rsidR="00D337E4">
        <w:rPr>
          <w:rFonts w:cs="Arial"/>
        </w:rPr>
        <w:t>Figure_</w:t>
      </w:r>
      <w:r w:rsidR="004571E8">
        <w:rPr>
          <w:rFonts w:cs="Arial"/>
        </w:rPr>
        <w:t>9 shows</w:t>
      </w:r>
      <w:r w:rsidR="008041D9">
        <w:rPr>
          <w:rFonts w:cs="Arial"/>
        </w:rPr>
        <w:t xml:space="preserve"> that the original data is not stationary</w:t>
      </w:r>
      <w:r w:rsidR="009A2649">
        <w:rPr>
          <w:rFonts w:cs="Arial"/>
        </w:rPr>
        <w:t>.</w:t>
      </w:r>
      <w:r w:rsidR="008041D9">
        <w:rPr>
          <w:rFonts w:cs="Arial"/>
        </w:rPr>
        <w:t xml:space="preserve"> </w:t>
      </w:r>
    </w:p>
    <w:p w14:paraId="1B558236" w14:textId="77777777" w:rsidR="005C2DFA" w:rsidRDefault="004C7049" w:rsidP="005C2DFA">
      <w:pPr>
        <w:keepNext/>
        <w:jc w:val="center"/>
      </w:pPr>
      <w:r>
        <w:rPr>
          <w:noProof/>
        </w:rPr>
        <w:drawing>
          <wp:inline distT="0" distB="0" distL="0" distR="0" wp14:anchorId="6B4B41E1" wp14:editId="1406866A">
            <wp:extent cx="5212080" cy="2550526"/>
            <wp:effectExtent l="19050" t="19050" r="26670" b="21590"/>
            <wp:docPr id="10105676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6769" name="Picture 1" descr="A computer screen shot of a program&#10;&#10;Description automatically generated"/>
                    <pic:cNvPicPr/>
                  </pic:nvPicPr>
                  <pic:blipFill>
                    <a:blip r:embed="rId17"/>
                    <a:stretch>
                      <a:fillRect/>
                    </a:stretch>
                  </pic:blipFill>
                  <pic:spPr>
                    <a:xfrm>
                      <a:off x="0" y="0"/>
                      <a:ext cx="5212080" cy="2550526"/>
                    </a:xfrm>
                    <a:prstGeom prst="rect">
                      <a:avLst/>
                    </a:prstGeom>
                    <a:ln>
                      <a:solidFill>
                        <a:schemeClr val="accent1">
                          <a:lumMod val="20000"/>
                          <a:lumOff val="80000"/>
                        </a:schemeClr>
                      </a:solidFill>
                    </a:ln>
                  </pic:spPr>
                </pic:pic>
              </a:graphicData>
            </a:graphic>
          </wp:inline>
        </w:drawing>
      </w:r>
    </w:p>
    <w:p w14:paraId="4EE2F972" w14:textId="1A358D22" w:rsidR="004C7049" w:rsidRDefault="00D337E4" w:rsidP="005C2DFA">
      <w:pPr>
        <w:pStyle w:val="Caption"/>
        <w:jc w:val="center"/>
        <w:rPr>
          <w:rFonts w:cs="Arial"/>
        </w:rPr>
      </w:pPr>
      <w:r>
        <w:t>Figure_</w:t>
      </w:r>
      <w:fldSimple w:instr=" SEQ Figure \* ARABIC ">
        <w:r w:rsidR="007366A9">
          <w:rPr>
            <w:noProof/>
          </w:rPr>
          <w:t>9</w:t>
        </w:r>
      </w:fldSimple>
      <w:r w:rsidR="005C2DFA">
        <w:t xml:space="preserve">: </w:t>
      </w:r>
      <w:r w:rsidR="008939C4">
        <w:t>Non-</w:t>
      </w:r>
      <w:r w:rsidR="005C2DFA">
        <w:t>Stationarity</w:t>
      </w:r>
    </w:p>
    <w:p w14:paraId="6E95D0C6" w14:textId="77777777" w:rsidR="009A2649" w:rsidRDefault="009A2649" w:rsidP="004C7049">
      <w:pPr>
        <w:jc w:val="center"/>
        <w:rPr>
          <w:rFonts w:cs="Arial"/>
        </w:rPr>
      </w:pPr>
    </w:p>
    <w:p w14:paraId="6DDA6FA1" w14:textId="63FE554A" w:rsidR="009A2649" w:rsidRDefault="009A2649" w:rsidP="009A2649">
      <w:pPr>
        <w:jc w:val="both"/>
        <w:rPr>
          <w:rFonts w:cs="Arial"/>
        </w:rPr>
      </w:pPr>
      <w:r>
        <w:rPr>
          <w:rFonts w:cs="Arial"/>
        </w:rPr>
        <w:t xml:space="preserve">However, the data becomes stationary after taking the second difference which is depicted in </w:t>
      </w:r>
      <w:r w:rsidR="00D337E4">
        <w:rPr>
          <w:rFonts w:cs="Arial"/>
        </w:rPr>
        <w:t>Figure_</w:t>
      </w:r>
      <w:r w:rsidR="005C2DFA">
        <w:rPr>
          <w:rFonts w:cs="Arial"/>
        </w:rPr>
        <w:t>10</w:t>
      </w:r>
      <w:r>
        <w:rPr>
          <w:rFonts w:cs="Arial"/>
        </w:rPr>
        <w:t>.</w:t>
      </w:r>
      <w:r w:rsidR="00836312">
        <w:rPr>
          <w:rFonts w:cs="Arial"/>
        </w:rPr>
        <w:t xml:space="preserve"> This essentially means that </w:t>
      </w:r>
      <w:r w:rsidR="00836312" w:rsidRPr="00836312">
        <w:rPr>
          <w:rFonts w:cs="Arial"/>
        </w:rPr>
        <w:t>the degree of differencing</w:t>
      </w:r>
      <w:r w:rsidR="00836312">
        <w:rPr>
          <w:rFonts w:cs="Arial"/>
        </w:rPr>
        <w:t xml:space="preserve"> (d) is 2.</w:t>
      </w:r>
    </w:p>
    <w:p w14:paraId="4D15C81C" w14:textId="77777777" w:rsidR="005C2DFA" w:rsidRDefault="004C7049" w:rsidP="005C2DFA">
      <w:pPr>
        <w:keepNext/>
        <w:jc w:val="center"/>
      </w:pPr>
      <w:r>
        <w:rPr>
          <w:noProof/>
        </w:rPr>
        <w:lastRenderedPageBreak/>
        <w:drawing>
          <wp:inline distT="0" distB="0" distL="0" distR="0" wp14:anchorId="222E45BB" wp14:editId="3704B5CA">
            <wp:extent cx="5212080" cy="3007587"/>
            <wp:effectExtent l="19050" t="19050" r="26670" b="21590"/>
            <wp:docPr id="54582089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20892" name="Picture 1" descr="A computer screen shot of a program&#10;&#10;Description automatically generated"/>
                    <pic:cNvPicPr/>
                  </pic:nvPicPr>
                  <pic:blipFill>
                    <a:blip r:embed="rId18"/>
                    <a:stretch>
                      <a:fillRect/>
                    </a:stretch>
                  </pic:blipFill>
                  <pic:spPr>
                    <a:xfrm>
                      <a:off x="0" y="0"/>
                      <a:ext cx="5212080" cy="3007587"/>
                    </a:xfrm>
                    <a:prstGeom prst="rect">
                      <a:avLst/>
                    </a:prstGeom>
                    <a:ln>
                      <a:solidFill>
                        <a:schemeClr val="accent1">
                          <a:lumMod val="20000"/>
                          <a:lumOff val="80000"/>
                        </a:schemeClr>
                      </a:solidFill>
                    </a:ln>
                  </pic:spPr>
                </pic:pic>
              </a:graphicData>
            </a:graphic>
          </wp:inline>
        </w:drawing>
      </w:r>
    </w:p>
    <w:p w14:paraId="19BA1F15" w14:textId="3781431D" w:rsidR="004C7049" w:rsidRDefault="00D337E4" w:rsidP="005C2DFA">
      <w:pPr>
        <w:pStyle w:val="Caption"/>
        <w:jc w:val="center"/>
        <w:rPr>
          <w:rFonts w:cs="Arial"/>
        </w:rPr>
      </w:pPr>
      <w:r>
        <w:t>Figure_</w:t>
      </w:r>
      <w:fldSimple w:instr=" SEQ Figure \* ARABIC ">
        <w:r w:rsidR="007366A9">
          <w:rPr>
            <w:noProof/>
          </w:rPr>
          <w:t>10</w:t>
        </w:r>
      </w:fldSimple>
      <w:r w:rsidR="005C2DFA" w:rsidRPr="006746C0">
        <w:t>: Stationarity</w:t>
      </w:r>
    </w:p>
    <w:p w14:paraId="12B7BC17" w14:textId="77777777" w:rsidR="009A2649" w:rsidRDefault="009A2649" w:rsidP="004C7049">
      <w:pPr>
        <w:jc w:val="center"/>
        <w:rPr>
          <w:rFonts w:cs="Arial"/>
        </w:rPr>
      </w:pPr>
    </w:p>
    <w:p w14:paraId="3DE3E4D4" w14:textId="7EA6AEF0" w:rsidR="009A2649" w:rsidRDefault="004571E8" w:rsidP="00062DF7">
      <w:pPr>
        <w:jc w:val="both"/>
        <w:rPr>
          <w:rFonts w:cs="Arial"/>
        </w:rPr>
      </w:pPr>
      <w:r>
        <w:rPr>
          <w:rFonts w:cs="Arial"/>
        </w:rPr>
        <w:t xml:space="preserve">In </w:t>
      </w:r>
      <w:r w:rsidR="00D337E4">
        <w:rPr>
          <w:rFonts w:cs="Arial"/>
        </w:rPr>
        <w:t>Figure_</w:t>
      </w:r>
      <w:r>
        <w:rPr>
          <w:rFonts w:cs="Arial"/>
        </w:rPr>
        <w:t>11, w</w:t>
      </w:r>
      <w:r w:rsidR="009A2649">
        <w:rPr>
          <w:rFonts w:cs="Arial"/>
        </w:rPr>
        <w:t xml:space="preserve">e look at </w:t>
      </w:r>
      <w:r w:rsidR="009A2649" w:rsidRPr="00F61070">
        <w:rPr>
          <w:rFonts w:cs="Arial"/>
        </w:rPr>
        <w:t xml:space="preserve">the autocorrelation plot of the </w:t>
      </w:r>
      <w:r w:rsidRPr="00F61070">
        <w:rPr>
          <w:rFonts w:cs="Arial"/>
        </w:rPr>
        <w:t xml:space="preserve">differenced </w:t>
      </w:r>
      <w:r w:rsidR="009A2649" w:rsidRPr="00F61070">
        <w:rPr>
          <w:rFonts w:cs="Arial"/>
        </w:rPr>
        <w:t xml:space="preserve">time series. </w:t>
      </w:r>
      <w:r w:rsidR="00062DF7" w:rsidRPr="00F61070">
        <w:rPr>
          <w:rFonts w:cs="Arial"/>
        </w:rPr>
        <w:t>We</w:t>
      </w:r>
      <w:r w:rsidR="00D44ED7" w:rsidRPr="00F61070">
        <w:rPr>
          <w:rFonts w:cs="Arial"/>
        </w:rPr>
        <w:t xml:space="preserve"> can see </w:t>
      </w:r>
      <w:r w:rsidR="00062DF7" w:rsidRPr="00F61070">
        <w:rPr>
          <w:rFonts w:cs="Arial"/>
        </w:rPr>
        <w:t>from</w:t>
      </w:r>
      <w:r w:rsidR="00D44ED7" w:rsidRPr="00F61070">
        <w:rPr>
          <w:rFonts w:cs="Arial"/>
        </w:rPr>
        <w:t xml:space="preserve"> the ACF</w:t>
      </w:r>
      <w:r w:rsidR="00D337E4">
        <w:rPr>
          <w:rFonts w:cs="Arial"/>
        </w:rPr>
        <w:t>/</w:t>
      </w:r>
      <w:r w:rsidR="00D44ED7" w:rsidRPr="00F61070">
        <w:rPr>
          <w:rFonts w:cs="Arial"/>
        </w:rPr>
        <w:t>PACF plots</w:t>
      </w:r>
      <w:r w:rsidR="00D44ED7">
        <w:rPr>
          <w:rFonts w:cs="Arial"/>
        </w:rPr>
        <w:t xml:space="preserve"> </w:t>
      </w:r>
      <w:r w:rsidR="00062DF7">
        <w:rPr>
          <w:rFonts w:cs="Arial"/>
        </w:rPr>
        <w:t>that there are moving average and autoregressive components to the time series.</w:t>
      </w:r>
      <w:r w:rsidR="00D44ED7">
        <w:rPr>
          <w:rFonts w:cs="Arial"/>
        </w:rPr>
        <w:t xml:space="preserve"> </w:t>
      </w:r>
      <w:r w:rsidR="00062DF7">
        <w:rPr>
          <w:rFonts w:cs="Arial"/>
        </w:rPr>
        <w:t xml:space="preserve">Additionally, there are </w:t>
      </w:r>
      <w:r w:rsidR="00D44ED7">
        <w:rPr>
          <w:rFonts w:cs="Arial"/>
        </w:rPr>
        <w:t>some lags that lie outside the confidence interval</w:t>
      </w:r>
      <w:r w:rsidR="00062DF7">
        <w:rPr>
          <w:rFonts w:cs="Arial"/>
        </w:rPr>
        <w:t xml:space="preserve"> in both plots. By visually inspecting the PACF plot, we can consider the </w:t>
      </w:r>
      <w:r w:rsidR="00062DF7" w:rsidRPr="00062DF7">
        <w:rPr>
          <w:rFonts w:cs="Arial"/>
        </w:rPr>
        <w:t>order of autoregressive model</w:t>
      </w:r>
      <w:r w:rsidR="00062DF7">
        <w:rPr>
          <w:rFonts w:cs="Arial"/>
        </w:rPr>
        <w:t xml:space="preserve"> (p) as 2. Similarly, by looking at the ACF plot, we can consider the </w:t>
      </w:r>
      <w:r w:rsidR="00062DF7" w:rsidRPr="00062DF7">
        <w:rPr>
          <w:rFonts w:cs="Arial"/>
        </w:rPr>
        <w:t xml:space="preserve">order of moving-average model </w:t>
      </w:r>
      <w:r w:rsidR="00062DF7">
        <w:rPr>
          <w:rFonts w:cs="Arial"/>
        </w:rPr>
        <w:t>(q) as 2.</w:t>
      </w:r>
    </w:p>
    <w:p w14:paraId="53FD81D1" w14:textId="77777777" w:rsidR="00BA6B2B" w:rsidRDefault="00980ECD" w:rsidP="00BA6B2B">
      <w:pPr>
        <w:keepNext/>
        <w:jc w:val="center"/>
      </w:pPr>
      <w:r>
        <w:rPr>
          <w:rFonts w:cs="Arial"/>
          <w:noProof/>
        </w:rPr>
        <w:drawing>
          <wp:inline distT="0" distB="0" distL="0" distR="0" wp14:anchorId="52EC3EF5" wp14:editId="1F899F73">
            <wp:extent cx="4914900" cy="2127250"/>
            <wp:effectExtent l="19050" t="19050" r="19050" b="25400"/>
            <wp:docPr id="12752113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2127250"/>
                    </a:xfrm>
                    <a:prstGeom prst="rect">
                      <a:avLst/>
                    </a:prstGeom>
                    <a:noFill/>
                    <a:ln>
                      <a:solidFill>
                        <a:schemeClr val="accent1">
                          <a:lumMod val="20000"/>
                          <a:lumOff val="80000"/>
                        </a:schemeClr>
                      </a:solidFill>
                    </a:ln>
                  </pic:spPr>
                </pic:pic>
              </a:graphicData>
            </a:graphic>
          </wp:inline>
        </w:drawing>
      </w:r>
    </w:p>
    <w:p w14:paraId="0A09269F" w14:textId="12EC9B2E" w:rsidR="00980ECD" w:rsidRPr="008939C4" w:rsidRDefault="00D337E4" w:rsidP="008939C4">
      <w:pPr>
        <w:pStyle w:val="Caption"/>
        <w:jc w:val="center"/>
      </w:pPr>
      <w:r>
        <w:t>Figure_</w:t>
      </w:r>
      <w:fldSimple w:instr=" SEQ Figure \* ARABIC ">
        <w:r w:rsidR="007366A9">
          <w:rPr>
            <w:noProof/>
          </w:rPr>
          <w:t>11</w:t>
        </w:r>
      </w:fldSimple>
      <w:r w:rsidR="00BA6B2B">
        <w:t xml:space="preserve">: </w:t>
      </w:r>
      <w:r w:rsidR="00BA6B2B" w:rsidRPr="007606DA">
        <w:t xml:space="preserve">Autocorrelation </w:t>
      </w:r>
      <w:r w:rsidR="00BA6B2B">
        <w:t>plo</w:t>
      </w:r>
      <w:r w:rsidR="008939C4">
        <w:t xml:space="preserve">t – </w:t>
      </w:r>
      <w:r w:rsidR="00BA6B2B">
        <w:t>differenced</w:t>
      </w:r>
      <w:r w:rsidR="008939C4">
        <w:t xml:space="preserve"> series</w:t>
      </w:r>
    </w:p>
    <w:p w14:paraId="0CF75FD7" w14:textId="5B1A5168" w:rsidR="006855F7" w:rsidRDefault="006855F7" w:rsidP="004C7049">
      <w:pPr>
        <w:jc w:val="center"/>
        <w:rPr>
          <w:rFonts w:cs="Arial"/>
        </w:rPr>
      </w:pPr>
    </w:p>
    <w:p w14:paraId="53D9F615" w14:textId="1AC74A1B" w:rsidR="00664DEC" w:rsidRDefault="00664DEC" w:rsidP="004C7049">
      <w:pPr>
        <w:jc w:val="center"/>
        <w:rPr>
          <w:rFonts w:cs="Arial"/>
        </w:rPr>
      </w:pPr>
    </w:p>
    <w:p w14:paraId="42418E0E" w14:textId="0A9D7B1A" w:rsidR="007B6944" w:rsidRDefault="007B6944" w:rsidP="00E9030C">
      <w:pPr>
        <w:jc w:val="both"/>
        <w:rPr>
          <w:rFonts w:cs="Arial"/>
        </w:rPr>
      </w:pPr>
      <w:r>
        <w:rPr>
          <w:rFonts w:cs="Arial"/>
        </w:rPr>
        <w:lastRenderedPageBreak/>
        <w:t>To reduce noise and highlight the trends properly, we smoothen the data and plot the same to showcase the smoother version of the data</w:t>
      </w:r>
      <w:r w:rsidR="000B5F0E">
        <w:rPr>
          <w:rFonts w:cs="Arial"/>
        </w:rPr>
        <w:t xml:space="preserve"> as seen in </w:t>
      </w:r>
      <w:r w:rsidR="00D337E4">
        <w:rPr>
          <w:rFonts w:cs="Arial"/>
        </w:rPr>
        <w:t>Figure_</w:t>
      </w:r>
      <w:r w:rsidR="000B5F0E">
        <w:rPr>
          <w:rFonts w:cs="Arial"/>
        </w:rPr>
        <w:t>1</w:t>
      </w:r>
      <w:r w:rsidR="00BA6B2B">
        <w:rPr>
          <w:rFonts w:cs="Arial"/>
        </w:rPr>
        <w:t>2</w:t>
      </w:r>
      <w:r w:rsidR="000B5F0E">
        <w:rPr>
          <w:rFonts w:cs="Arial"/>
        </w:rPr>
        <w:t>.</w:t>
      </w:r>
    </w:p>
    <w:p w14:paraId="147DD24F" w14:textId="3D94AED6" w:rsidR="00BA6B2B" w:rsidRDefault="00225DA6" w:rsidP="00BA6B2B">
      <w:pPr>
        <w:keepNext/>
        <w:jc w:val="center"/>
      </w:pPr>
      <w:r>
        <w:rPr>
          <w:noProof/>
        </w:rPr>
        <w:drawing>
          <wp:inline distT="0" distB="0" distL="0" distR="0" wp14:anchorId="3D77D145" wp14:editId="692B47E1">
            <wp:extent cx="5212080" cy="2896464"/>
            <wp:effectExtent l="19050" t="19050" r="26670" b="18415"/>
            <wp:docPr id="312823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3731"/>
                    <a:stretch/>
                  </pic:blipFill>
                  <pic:spPr bwMode="auto">
                    <a:xfrm>
                      <a:off x="0" y="0"/>
                      <a:ext cx="5212080" cy="2896464"/>
                    </a:xfrm>
                    <a:prstGeom prst="rect">
                      <a:avLst/>
                    </a:prstGeom>
                    <a:noFill/>
                    <a:ln>
                      <a:solidFill>
                        <a:schemeClr val="accent1">
                          <a:lumMod val="20000"/>
                          <a:lumOff val="80000"/>
                        </a:schemeClr>
                      </a:solidFill>
                    </a:ln>
                    <a:extLst>
                      <a:ext uri="{53640926-AAD7-44D8-BBD7-CCE9431645EC}">
                        <a14:shadowObscured xmlns:a14="http://schemas.microsoft.com/office/drawing/2010/main"/>
                      </a:ext>
                    </a:extLst>
                  </pic:spPr>
                </pic:pic>
              </a:graphicData>
            </a:graphic>
          </wp:inline>
        </w:drawing>
      </w:r>
    </w:p>
    <w:p w14:paraId="217CF632" w14:textId="465E4D58" w:rsidR="00121177" w:rsidRDefault="00D337E4" w:rsidP="00BA6B2B">
      <w:pPr>
        <w:pStyle w:val="Caption"/>
        <w:jc w:val="center"/>
      </w:pPr>
      <w:r>
        <w:t>Figure_</w:t>
      </w:r>
      <w:fldSimple w:instr=" SEQ Figure \* ARABIC ">
        <w:r w:rsidR="007366A9">
          <w:rPr>
            <w:noProof/>
          </w:rPr>
          <w:t>12</w:t>
        </w:r>
      </w:fldSimple>
      <w:r w:rsidR="00BA6B2B">
        <w:t>: Smoothen</w:t>
      </w:r>
      <w:r w:rsidR="006B619F">
        <w:t>ing</w:t>
      </w:r>
    </w:p>
    <w:p w14:paraId="107B792A" w14:textId="08342BC3" w:rsidR="0011443D" w:rsidRDefault="0011443D" w:rsidP="0011443D">
      <w:pPr>
        <w:jc w:val="center"/>
      </w:pPr>
    </w:p>
    <w:p w14:paraId="4E57CC53" w14:textId="77777777" w:rsidR="00B11A6D" w:rsidRDefault="00B11A6D" w:rsidP="00E9030C">
      <w:pPr>
        <w:jc w:val="both"/>
      </w:pPr>
    </w:p>
    <w:p w14:paraId="04A4FE5D" w14:textId="68415182" w:rsidR="00517ED7" w:rsidRPr="00BE046E" w:rsidRDefault="00517ED7" w:rsidP="00E9030C">
      <w:pPr>
        <w:pStyle w:val="Heading2"/>
        <w:jc w:val="both"/>
        <w:rPr>
          <w:rFonts w:ascii="Arial" w:hAnsi="Arial" w:cs="Arial"/>
          <w:sz w:val="22"/>
          <w:szCs w:val="22"/>
        </w:rPr>
      </w:pPr>
      <w:r w:rsidRPr="00BE046E">
        <w:rPr>
          <w:rFonts w:ascii="Arial" w:hAnsi="Arial" w:cs="Arial"/>
          <w:sz w:val="22"/>
          <w:szCs w:val="22"/>
        </w:rPr>
        <w:t>Modelling</w:t>
      </w:r>
    </w:p>
    <w:p w14:paraId="0FD7095C" w14:textId="6F2BE6DE" w:rsidR="00392920" w:rsidRPr="00392920" w:rsidRDefault="00CB5117" w:rsidP="00E9030C">
      <w:pPr>
        <w:jc w:val="both"/>
        <w:rPr>
          <w:rFonts w:cs="Arial"/>
        </w:rPr>
      </w:pPr>
      <w:r>
        <w:rPr>
          <w:rFonts w:cs="Arial"/>
        </w:rPr>
        <w:t xml:space="preserve">We split the data into 2 parts and allocate around </w:t>
      </w:r>
      <w:r w:rsidR="00DF10AC" w:rsidRPr="00D322F1">
        <w:rPr>
          <w:rFonts w:cs="Arial"/>
        </w:rPr>
        <w:t>8</w:t>
      </w:r>
      <w:r w:rsidRPr="00D322F1">
        <w:rPr>
          <w:rFonts w:cs="Arial"/>
        </w:rPr>
        <w:t>0%</w:t>
      </w:r>
      <w:r>
        <w:rPr>
          <w:rFonts w:cs="Arial"/>
        </w:rPr>
        <w:t xml:space="preserve"> of the data </w:t>
      </w:r>
      <w:r w:rsidR="003D2FB3">
        <w:rPr>
          <w:rFonts w:cs="Arial"/>
        </w:rPr>
        <w:t>for</w:t>
      </w:r>
      <w:r>
        <w:rPr>
          <w:rFonts w:cs="Arial"/>
        </w:rPr>
        <w:t xml:space="preserve"> training and </w:t>
      </w:r>
      <w:r w:rsidRPr="00D322F1">
        <w:rPr>
          <w:rFonts w:cs="Arial"/>
        </w:rPr>
        <w:t xml:space="preserve">remaining </w:t>
      </w:r>
      <w:r w:rsidR="00DF10AC" w:rsidRPr="00D322F1">
        <w:rPr>
          <w:rFonts w:cs="Arial"/>
        </w:rPr>
        <w:t>2</w:t>
      </w:r>
      <w:r w:rsidRPr="00D322F1">
        <w:rPr>
          <w:rFonts w:cs="Arial"/>
        </w:rPr>
        <w:t>0% for</w:t>
      </w:r>
      <w:r>
        <w:rPr>
          <w:rFonts w:cs="Arial"/>
        </w:rPr>
        <w:t xml:space="preserve"> testing. </w:t>
      </w:r>
      <w:r w:rsidR="00392920" w:rsidRPr="00392920">
        <w:rPr>
          <w:rFonts w:cs="Arial"/>
        </w:rPr>
        <w:t>The training set</w:t>
      </w:r>
      <w:r w:rsidR="00ED737E">
        <w:rPr>
          <w:rFonts w:cs="Arial"/>
        </w:rPr>
        <w:t xml:space="preserve"> contains</w:t>
      </w:r>
      <w:r w:rsidR="003D2FB3">
        <w:rPr>
          <w:rFonts w:cs="Arial"/>
        </w:rPr>
        <w:t xml:space="preserve"> </w:t>
      </w:r>
      <w:r w:rsidR="00392920" w:rsidRPr="00392920">
        <w:rPr>
          <w:rFonts w:cs="Arial"/>
        </w:rPr>
        <w:t>data</w:t>
      </w:r>
      <w:r w:rsidR="00ED737E">
        <w:rPr>
          <w:rFonts w:cs="Arial"/>
        </w:rPr>
        <w:t xml:space="preserve"> till</w:t>
      </w:r>
      <w:r w:rsidR="00392920" w:rsidRPr="00392920">
        <w:rPr>
          <w:rFonts w:cs="Arial"/>
        </w:rPr>
        <w:t xml:space="preserve"> end </w:t>
      </w:r>
      <w:r w:rsidR="00392920" w:rsidRPr="00D322F1">
        <w:rPr>
          <w:rFonts w:cs="Arial"/>
        </w:rPr>
        <w:t>of 20</w:t>
      </w:r>
      <w:r w:rsidR="008F43AC" w:rsidRPr="00D322F1">
        <w:rPr>
          <w:rFonts w:cs="Arial"/>
        </w:rPr>
        <w:t>1</w:t>
      </w:r>
      <w:r w:rsidR="00392920" w:rsidRPr="00D322F1">
        <w:rPr>
          <w:rFonts w:cs="Arial"/>
        </w:rPr>
        <w:t>0,</w:t>
      </w:r>
      <w:r w:rsidR="00392920" w:rsidRPr="00392920">
        <w:rPr>
          <w:rFonts w:cs="Arial"/>
        </w:rPr>
        <w:t xml:space="preserve"> </w:t>
      </w:r>
      <w:r w:rsidR="00ED737E">
        <w:rPr>
          <w:rFonts w:cs="Arial"/>
        </w:rPr>
        <w:t xml:space="preserve">whereas </w:t>
      </w:r>
      <w:r w:rsidR="00392920" w:rsidRPr="00392920">
        <w:rPr>
          <w:rFonts w:cs="Arial"/>
        </w:rPr>
        <w:t xml:space="preserve">the test set contains data </w:t>
      </w:r>
      <w:r w:rsidR="00392920" w:rsidRPr="00D322F1">
        <w:rPr>
          <w:rFonts w:cs="Arial"/>
        </w:rPr>
        <w:t>from January 20</w:t>
      </w:r>
      <w:r w:rsidR="008F43AC" w:rsidRPr="00D322F1">
        <w:rPr>
          <w:rFonts w:cs="Arial"/>
        </w:rPr>
        <w:t>11</w:t>
      </w:r>
      <w:r w:rsidR="00392920" w:rsidRPr="00D322F1">
        <w:rPr>
          <w:rFonts w:cs="Arial"/>
        </w:rPr>
        <w:t xml:space="preserve"> onwards</w:t>
      </w:r>
      <w:r w:rsidR="00392920" w:rsidRPr="00392920">
        <w:rPr>
          <w:rFonts w:cs="Arial"/>
        </w:rPr>
        <w:t>. Th</w:t>
      </w:r>
      <w:r w:rsidR="00ED737E">
        <w:rPr>
          <w:rFonts w:cs="Arial"/>
        </w:rPr>
        <w:t xml:space="preserve">e test </w:t>
      </w:r>
      <w:r w:rsidR="00392920" w:rsidRPr="00392920">
        <w:rPr>
          <w:rFonts w:cs="Arial"/>
        </w:rPr>
        <w:t>data is reserved for evaluating the performance of the trained models, providing an unbiased assessment of their predictive capabilities on new observations.</w:t>
      </w:r>
    </w:p>
    <w:p w14:paraId="478ED1B5" w14:textId="77777777" w:rsidR="00392920" w:rsidRPr="00392920" w:rsidRDefault="00392920" w:rsidP="00E9030C">
      <w:pPr>
        <w:jc w:val="both"/>
        <w:rPr>
          <w:rFonts w:cs="Arial"/>
        </w:rPr>
      </w:pPr>
    </w:p>
    <w:p w14:paraId="205068CB" w14:textId="23EEE865" w:rsidR="00517ED7" w:rsidRPr="00BE046E" w:rsidRDefault="00517ED7" w:rsidP="00E9030C">
      <w:pPr>
        <w:pStyle w:val="Heading2"/>
        <w:jc w:val="both"/>
        <w:rPr>
          <w:rFonts w:ascii="Arial" w:hAnsi="Arial" w:cs="Arial"/>
          <w:sz w:val="22"/>
          <w:szCs w:val="22"/>
        </w:rPr>
      </w:pPr>
      <w:r w:rsidRPr="00BE046E">
        <w:rPr>
          <w:rFonts w:ascii="Arial" w:hAnsi="Arial" w:cs="Arial"/>
          <w:sz w:val="22"/>
          <w:szCs w:val="22"/>
        </w:rPr>
        <w:t>Evaluation</w:t>
      </w:r>
    </w:p>
    <w:p w14:paraId="5CE97C9B" w14:textId="77777777" w:rsidR="0069509A" w:rsidRDefault="00C22D70" w:rsidP="00E9030C">
      <w:pPr>
        <w:jc w:val="both"/>
        <w:rPr>
          <w:rFonts w:cs="Arial"/>
        </w:rPr>
      </w:pPr>
      <w:r>
        <w:rPr>
          <w:rFonts w:cs="Arial"/>
        </w:rPr>
        <w:t xml:space="preserve">Once the training and </w:t>
      </w:r>
      <w:r w:rsidR="00E173DF">
        <w:rPr>
          <w:rFonts w:cs="Arial"/>
        </w:rPr>
        <w:t>testing</w:t>
      </w:r>
      <w:r>
        <w:rPr>
          <w:rFonts w:cs="Arial"/>
        </w:rPr>
        <w:t xml:space="preserve"> dataset is prepared, we now apply different forecasting models on the training dataset and use that model to predict future values </w:t>
      </w:r>
      <w:r w:rsidR="00951736">
        <w:rPr>
          <w:rFonts w:cs="Arial"/>
        </w:rPr>
        <w:t xml:space="preserve">for the test dataset </w:t>
      </w:r>
      <w:r>
        <w:rPr>
          <w:rFonts w:cs="Arial"/>
        </w:rPr>
        <w:t>and then calculate the model’s accuracy by comparing the predicated values to the real values in the testing dataset.</w:t>
      </w:r>
      <w:r w:rsidR="000F5644">
        <w:rPr>
          <w:rFonts w:cs="Arial"/>
        </w:rPr>
        <w:t xml:space="preserve"> </w:t>
      </w:r>
      <w:r w:rsidR="000F5644" w:rsidRPr="00985495">
        <w:rPr>
          <w:rFonts w:cs="Arial"/>
        </w:rPr>
        <w:t>The models considered are</w:t>
      </w:r>
      <w:r w:rsidR="00740E22">
        <w:rPr>
          <w:rFonts w:cs="Arial"/>
        </w:rPr>
        <w:t>:</w:t>
      </w:r>
    </w:p>
    <w:p w14:paraId="2A715E90" w14:textId="432D028A" w:rsidR="0069509A" w:rsidRDefault="0069509A" w:rsidP="0069509A">
      <w:pPr>
        <w:pStyle w:val="ListParagraph"/>
        <w:numPr>
          <w:ilvl w:val="0"/>
          <w:numId w:val="9"/>
        </w:numPr>
        <w:jc w:val="both"/>
        <w:rPr>
          <w:rFonts w:cs="Arial"/>
        </w:rPr>
      </w:pPr>
      <w:r w:rsidRPr="007366A9">
        <w:rPr>
          <w:rFonts w:cs="Arial"/>
          <w:b/>
          <w:bCs/>
        </w:rPr>
        <w:t>Drift:</w:t>
      </w:r>
      <w:r w:rsidRPr="007366A9">
        <w:rPr>
          <w:rFonts w:cs="Arial"/>
        </w:rPr>
        <w:t xml:space="preserve"> Among</w:t>
      </w:r>
      <w:r>
        <w:rPr>
          <w:rFonts w:cs="Arial"/>
        </w:rPr>
        <w:t xml:space="preserve"> the simple forecasting techniques (Average, Naïve, Seasonal Naïve, and Drift), </w:t>
      </w:r>
      <w:r w:rsidR="00E03F34">
        <w:rPr>
          <w:rFonts w:cs="Arial"/>
        </w:rPr>
        <w:t xml:space="preserve">we selected the </w:t>
      </w:r>
      <w:r>
        <w:rPr>
          <w:rFonts w:cs="Arial"/>
        </w:rPr>
        <w:t>drift method</w:t>
      </w:r>
      <w:r w:rsidR="00236700">
        <w:rPr>
          <w:rFonts w:cs="Arial"/>
        </w:rPr>
        <w:t xml:space="preserve"> </w:t>
      </w:r>
      <w:r>
        <w:rPr>
          <w:rFonts w:cs="Arial"/>
        </w:rPr>
        <w:t xml:space="preserve">as there is an upward linear trend in the data but no seasonality </w:t>
      </w:r>
      <w:r w:rsidR="00E03F34">
        <w:rPr>
          <w:rFonts w:cs="Arial"/>
        </w:rPr>
        <w:t>since</w:t>
      </w:r>
      <w:r>
        <w:rPr>
          <w:rFonts w:cs="Arial"/>
        </w:rPr>
        <w:t xml:space="preserve"> the time series is already seasonally-adjusted. The forecast generated in this method </w:t>
      </w:r>
      <w:r w:rsidR="00E03F34">
        <w:rPr>
          <w:rFonts w:cs="Arial"/>
        </w:rPr>
        <w:t xml:space="preserve">is </w:t>
      </w:r>
      <w:r w:rsidR="00970332">
        <w:rPr>
          <w:rFonts w:cs="Arial"/>
        </w:rPr>
        <w:t xml:space="preserve">by assuming that the next </w:t>
      </w:r>
      <w:r w:rsidR="00970332">
        <w:rPr>
          <w:rFonts w:cs="Arial"/>
        </w:rPr>
        <w:lastRenderedPageBreak/>
        <w:t>value will be equal to the last observed value along with a drift constant added to it which is the average amount of change over time seen in the historical data.</w:t>
      </w:r>
    </w:p>
    <w:p w14:paraId="24A32E59" w14:textId="68D8AC81" w:rsidR="00721ECA" w:rsidRDefault="00970332" w:rsidP="00E9030C">
      <w:pPr>
        <w:pStyle w:val="ListParagraph"/>
        <w:numPr>
          <w:ilvl w:val="0"/>
          <w:numId w:val="9"/>
        </w:numPr>
        <w:jc w:val="both"/>
        <w:rPr>
          <w:rFonts w:cs="Arial"/>
        </w:rPr>
      </w:pPr>
      <w:r w:rsidRPr="007366A9">
        <w:rPr>
          <w:rFonts w:cs="Arial"/>
          <w:b/>
          <w:bCs/>
        </w:rPr>
        <w:t>Holt:</w:t>
      </w:r>
      <w:r w:rsidRPr="007366A9">
        <w:rPr>
          <w:rFonts w:cs="Arial"/>
        </w:rPr>
        <w:t xml:space="preserve"> Amont</w:t>
      </w:r>
      <w:r>
        <w:rPr>
          <w:rFonts w:cs="Arial"/>
        </w:rPr>
        <w:t xml:space="preserve"> the exponential smoothing models (Simple exponential smoothing, Holt, Additive Holt-Winters, Multiplicative Holt-Winters</w:t>
      </w:r>
      <w:r w:rsidR="00721ECA">
        <w:rPr>
          <w:rFonts w:cs="Arial"/>
        </w:rPr>
        <w:t>), Holt’s linear method</w:t>
      </w:r>
      <w:r w:rsidR="00236700">
        <w:rPr>
          <w:rFonts w:cs="Arial"/>
        </w:rPr>
        <w:t xml:space="preserve"> </w:t>
      </w:r>
      <w:r w:rsidR="00721ECA">
        <w:rPr>
          <w:rFonts w:cs="Arial"/>
        </w:rPr>
        <w:t xml:space="preserve">was selected as the data shows an additive trend component and no seasonal component. </w:t>
      </w:r>
      <w:r w:rsidR="00721ECA" w:rsidRPr="00721ECA">
        <w:rPr>
          <w:rFonts w:cs="Arial"/>
        </w:rPr>
        <w:t>Holt's Linear Model incorporates both level and trend components to capture linear trends in the data</w:t>
      </w:r>
      <w:r w:rsidR="00721ECA">
        <w:rPr>
          <w:rFonts w:cs="Arial"/>
        </w:rPr>
        <w:t xml:space="preserve"> and provides forecast by accounting both the current level and the trend’s rate of change.</w:t>
      </w:r>
    </w:p>
    <w:p w14:paraId="28694AEE" w14:textId="544ACAF9" w:rsidR="00BA6B2B" w:rsidRDefault="00985495" w:rsidP="00E9030C">
      <w:pPr>
        <w:pStyle w:val="ListParagraph"/>
        <w:numPr>
          <w:ilvl w:val="0"/>
          <w:numId w:val="9"/>
        </w:numPr>
        <w:jc w:val="both"/>
        <w:rPr>
          <w:rFonts w:cs="Arial"/>
        </w:rPr>
      </w:pPr>
      <w:r w:rsidRPr="00721ECA">
        <w:rPr>
          <w:rFonts w:cs="Arial"/>
        </w:rPr>
        <w:t xml:space="preserve">For the </w:t>
      </w:r>
      <w:r w:rsidR="00D44ED7" w:rsidRPr="007366A9">
        <w:rPr>
          <w:rFonts w:cs="Arial"/>
          <w:b/>
          <w:bCs/>
        </w:rPr>
        <w:t>Autoregressive integrated moving average (</w:t>
      </w:r>
      <w:r w:rsidRPr="007366A9">
        <w:rPr>
          <w:rFonts w:cs="Arial"/>
          <w:b/>
          <w:bCs/>
        </w:rPr>
        <w:t>ARIMA</w:t>
      </w:r>
      <w:r w:rsidR="00D44ED7" w:rsidRPr="007366A9">
        <w:rPr>
          <w:rFonts w:cs="Arial"/>
          <w:b/>
          <w:bCs/>
        </w:rPr>
        <w:t>)</w:t>
      </w:r>
      <w:r w:rsidRPr="007366A9">
        <w:rPr>
          <w:rFonts w:cs="Arial"/>
        </w:rPr>
        <w:t xml:space="preserve"> Model</w:t>
      </w:r>
      <w:r w:rsidR="00236700">
        <w:t>,</w:t>
      </w:r>
      <w:r w:rsidRPr="00721ECA">
        <w:rPr>
          <w:rFonts w:cs="Arial"/>
        </w:rPr>
        <w:t xml:space="preserve"> </w:t>
      </w:r>
      <w:r w:rsidR="007D604C" w:rsidRPr="00721ECA">
        <w:rPr>
          <w:rFonts w:cs="Arial"/>
        </w:rPr>
        <w:t xml:space="preserve">we fit the model using </w:t>
      </w:r>
      <w:r w:rsidR="0075434F">
        <w:rPr>
          <w:rFonts w:cs="Arial"/>
        </w:rPr>
        <w:t xml:space="preserve">the </w:t>
      </w:r>
      <w:r w:rsidR="00A637D3" w:rsidRPr="00721ECA">
        <w:rPr>
          <w:rFonts w:cs="Arial"/>
        </w:rPr>
        <w:t xml:space="preserve">trend </w:t>
      </w:r>
      <w:r w:rsidR="007D604C" w:rsidRPr="00721ECA">
        <w:rPr>
          <w:rFonts w:cs="Arial"/>
        </w:rPr>
        <w:t>parameters (</w:t>
      </w:r>
      <w:proofErr w:type="spellStart"/>
      <w:proofErr w:type="gramStart"/>
      <w:r w:rsidR="0075434F">
        <w:rPr>
          <w:rFonts w:cs="Arial"/>
        </w:rPr>
        <w:t>p</w:t>
      </w:r>
      <w:r w:rsidR="007D604C" w:rsidRPr="00721ECA">
        <w:rPr>
          <w:rFonts w:cs="Arial"/>
        </w:rPr>
        <w:t>,</w:t>
      </w:r>
      <w:r w:rsidR="0075434F">
        <w:rPr>
          <w:rFonts w:cs="Arial"/>
        </w:rPr>
        <w:t>d</w:t>
      </w:r>
      <w:proofErr w:type="gramEnd"/>
      <w:r w:rsidR="007D604C" w:rsidRPr="00721ECA">
        <w:rPr>
          <w:rFonts w:cs="Arial"/>
        </w:rPr>
        <w:t>,</w:t>
      </w:r>
      <w:r w:rsidR="0075434F">
        <w:rPr>
          <w:rFonts w:cs="Arial"/>
        </w:rPr>
        <w:t>q</w:t>
      </w:r>
      <w:proofErr w:type="spellEnd"/>
      <w:r w:rsidR="007D604C" w:rsidRPr="00721ECA">
        <w:rPr>
          <w:rFonts w:cs="Arial"/>
        </w:rPr>
        <w:t xml:space="preserve">) </w:t>
      </w:r>
      <w:r w:rsidR="0075434F">
        <w:rPr>
          <w:rFonts w:cs="Arial"/>
        </w:rPr>
        <w:t>as (2,2,2) which we got while exploring the time series data earlier. This essentially</w:t>
      </w:r>
      <w:r w:rsidR="007D604C" w:rsidRPr="00721ECA">
        <w:rPr>
          <w:rFonts w:cs="Arial"/>
        </w:rPr>
        <w:t xml:space="preserve"> means </w:t>
      </w:r>
      <w:r w:rsidR="0075434F">
        <w:rPr>
          <w:rFonts w:cs="Arial"/>
        </w:rPr>
        <w:t xml:space="preserve">that </w:t>
      </w:r>
      <w:r w:rsidR="007D604C" w:rsidRPr="00721ECA">
        <w:rPr>
          <w:rFonts w:cs="Arial"/>
        </w:rPr>
        <w:t xml:space="preserve">the model has autoregressive and moving average components </w:t>
      </w:r>
      <w:r w:rsidR="00D03FFB">
        <w:rPr>
          <w:rFonts w:cs="Arial"/>
        </w:rPr>
        <w:t>of the second order while</w:t>
      </w:r>
      <w:r w:rsidR="007D604C" w:rsidRPr="00721ECA">
        <w:rPr>
          <w:rFonts w:cs="Arial"/>
        </w:rPr>
        <w:t xml:space="preserve"> taking the second difference </w:t>
      </w:r>
      <w:r w:rsidR="00D03FFB">
        <w:rPr>
          <w:rFonts w:cs="Arial"/>
        </w:rPr>
        <w:t>of the original time series</w:t>
      </w:r>
      <w:r w:rsidR="007D604C" w:rsidRPr="00721ECA">
        <w:rPr>
          <w:rFonts w:cs="Arial"/>
        </w:rPr>
        <w:t>. The selected ARIMA model is then used to generate forecasts for the test period. As we used the ACF and PACF plots to understand the components of the model before applying, this model might not be the best model when it comes to deciding the parameters. Using the ‘</w:t>
      </w:r>
      <w:proofErr w:type="spellStart"/>
      <w:proofErr w:type="gramStart"/>
      <w:r w:rsidR="007D604C" w:rsidRPr="00721ECA">
        <w:rPr>
          <w:rFonts w:cs="Arial"/>
        </w:rPr>
        <w:t>auto.arima</w:t>
      </w:r>
      <w:proofErr w:type="spellEnd"/>
      <w:proofErr w:type="gramEnd"/>
      <w:r w:rsidR="007D604C" w:rsidRPr="00721ECA">
        <w:rPr>
          <w:rFonts w:cs="Arial"/>
        </w:rPr>
        <w:t xml:space="preserve">()’ function, we now </w:t>
      </w:r>
      <w:r w:rsidR="00A637D3" w:rsidRPr="00721ECA">
        <w:rPr>
          <w:rFonts w:cs="Arial"/>
        </w:rPr>
        <w:t>re-</w:t>
      </w:r>
      <w:r w:rsidR="007D604C" w:rsidRPr="00721ECA">
        <w:rPr>
          <w:rFonts w:cs="Arial"/>
        </w:rPr>
        <w:t>generate the best model</w:t>
      </w:r>
      <w:r w:rsidR="00A637D3" w:rsidRPr="00721ECA">
        <w:rPr>
          <w:rFonts w:cs="Arial"/>
        </w:rPr>
        <w:t>. By looking at the summary, we notice that the best model has parameters (</w:t>
      </w:r>
      <w:r w:rsidR="00BE3F9B">
        <w:rPr>
          <w:rFonts w:cs="Arial"/>
        </w:rPr>
        <w:t>3</w:t>
      </w:r>
      <w:r w:rsidR="00A637D3" w:rsidRPr="00721ECA">
        <w:rPr>
          <w:rFonts w:cs="Arial"/>
        </w:rPr>
        <w:t>,2,2</w:t>
      </w:r>
      <w:r w:rsidR="00BE3F9B">
        <w:rPr>
          <w:rFonts w:cs="Arial"/>
        </w:rPr>
        <w:t>) which</w:t>
      </w:r>
      <w:r w:rsidR="00A637D3" w:rsidRPr="00721ECA">
        <w:rPr>
          <w:rFonts w:cs="Arial"/>
        </w:rPr>
        <w:t xml:space="preserve"> means that this is essentially a model with </w:t>
      </w:r>
      <w:r w:rsidR="00BE3F9B">
        <w:rPr>
          <w:rFonts w:cs="Arial"/>
        </w:rPr>
        <w:t xml:space="preserve">only a </w:t>
      </w:r>
      <w:r w:rsidR="00A637D3" w:rsidRPr="00721ECA">
        <w:rPr>
          <w:rFonts w:cs="Arial"/>
        </w:rPr>
        <w:t>trend component.</w:t>
      </w:r>
    </w:p>
    <w:p w14:paraId="159ABBDB" w14:textId="23A6A7B1" w:rsidR="007D604C" w:rsidRPr="00BA6B2B" w:rsidRDefault="007D604C" w:rsidP="00BA6B2B">
      <w:pPr>
        <w:ind w:left="360"/>
        <w:jc w:val="both"/>
        <w:rPr>
          <w:rFonts w:cs="Arial"/>
        </w:rPr>
      </w:pPr>
      <w:r w:rsidRPr="00BA6B2B">
        <w:rPr>
          <w:rFonts w:cs="Arial"/>
        </w:rPr>
        <w:t>The forecast</w:t>
      </w:r>
      <w:r w:rsidR="00BA6B2B">
        <w:rPr>
          <w:rFonts w:cs="Arial"/>
        </w:rPr>
        <w:t>s</w:t>
      </w:r>
      <w:r w:rsidRPr="00BA6B2B">
        <w:rPr>
          <w:rFonts w:cs="Arial"/>
        </w:rPr>
        <w:t xml:space="preserve"> generated by </w:t>
      </w:r>
      <w:r w:rsidR="00BA6B2B">
        <w:rPr>
          <w:rFonts w:cs="Arial"/>
        </w:rPr>
        <w:t>all these</w:t>
      </w:r>
      <w:r w:rsidRPr="00BA6B2B">
        <w:rPr>
          <w:rFonts w:cs="Arial"/>
        </w:rPr>
        <w:t xml:space="preserve"> </w:t>
      </w:r>
      <w:r w:rsidR="00A637D3" w:rsidRPr="00BA6B2B">
        <w:rPr>
          <w:rFonts w:cs="Arial"/>
        </w:rPr>
        <w:t>m</w:t>
      </w:r>
      <w:r w:rsidRPr="00BA6B2B">
        <w:rPr>
          <w:rFonts w:cs="Arial"/>
        </w:rPr>
        <w:t>odel</w:t>
      </w:r>
      <w:r w:rsidR="00BA6B2B">
        <w:rPr>
          <w:rFonts w:cs="Arial"/>
        </w:rPr>
        <w:t>s are</w:t>
      </w:r>
      <w:r w:rsidR="00A637D3" w:rsidRPr="00BA6B2B">
        <w:rPr>
          <w:rFonts w:cs="Arial"/>
        </w:rPr>
        <w:t xml:space="preserve"> </w:t>
      </w:r>
      <w:r w:rsidRPr="00BA6B2B">
        <w:rPr>
          <w:rFonts w:cs="Arial"/>
        </w:rPr>
        <w:t>presented</w:t>
      </w:r>
      <w:r w:rsidR="005070B6" w:rsidRPr="00BA6B2B">
        <w:rPr>
          <w:rFonts w:cs="Arial"/>
        </w:rPr>
        <w:t xml:space="preserve"> below</w:t>
      </w:r>
      <w:r w:rsidR="00924C29" w:rsidRPr="00BA6B2B">
        <w:rPr>
          <w:rFonts w:cs="Arial"/>
        </w:rPr>
        <w:t xml:space="preserve"> in </w:t>
      </w:r>
      <w:r w:rsidR="00D337E4">
        <w:rPr>
          <w:rFonts w:cs="Arial"/>
        </w:rPr>
        <w:t>Figure_</w:t>
      </w:r>
      <w:r w:rsidR="00924C29" w:rsidRPr="00BA6B2B">
        <w:rPr>
          <w:rFonts w:cs="Arial"/>
        </w:rPr>
        <w:t>1</w:t>
      </w:r>
      <w:r w:rsidR="00BA6B2B" w:rsidRPr="00BA6B2B">
        <w:rPr>
          <w:rFonts w:cs="Arial"/>
        </w:rPr>
        <w:t>3</w:t>
      </w:r>
      <w:r w:rsidRPr="00BA6B2B">
        <w:rPr>
          <w:rFonts w:cs="Arial"/>
        </w:rPr>
        <w:t>.</w:t>
      </w:r>
    </w:p>
    <w:p w14:paraId="09083ABB" w14:textId="0202AC66" w:rsidR="00BA6B2B" w:rsidRDefault="00AA7CCA" w:rsidP="00BA6B2B">
      <w:pPr>
        <w:keepNext/>
        <w:jc w:val="center"/>
      </w:pPr>
      <w:r>
        <w:rPr>
          <w:noProof/>
        </w:rPr>
        <w:drawing>
          <wp:inline distT="0" distB="0" distL="0" distR="0" wp14:anchorId="252B0576" wp14:editId="6B01392C">
            <wp:extent cx="5303520" cy="2726419"/>
            <wp:effectExtent l="19050" t="19050" r="11430" b="17145"/>
            <wp:docPr id="1200091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03520" cy="2726419"/>
                    </a:xfrm>
                    <a:prstGeom prst="rect">
                      <a:avLst/>
                    </a:prstGeom>
                    <a:noFill/>
                    <a:ln>
                      <a:solidFill>
                        <a:schemeClr val="accent1">
                          <a:lumMod val="20000"/>
                          <a:lumOff val="80000"/>
                        </a:schemeClr>
                      </a:solidFill>
                    </a:ln>
                  </pic:spPr>
                </pic:pic>
              </a:graphicData>
            </a:graphic>
          </wp:inline>
        </w:drawing>
      </w:r>
    </w:p>
    <w:p w14:paraId="181B39F8" w14:textId="6D184009" w:rsidR="000652B1" w:rsidRDefault="00D337E4" w:rsidP="00BA6B2B">
      <w:pPr>
        <w:pStyle w:val="Caption"/>
        <w:jc w:val="center"/>
        <w:rPr>
          <w:rFonts w:cs="Arial"/>
        </w:rPr>
      </w:pPr>
      <w:r>
        <w:t>Figure_</w:t>
      </w:r>
      <w:fldSimple w:instr=" SEQ Figure \* ARABIC ">
        <w:r w:rsidR="007366A9">
          <w:rPr>
            <w:noProof/>
          </w:rPr>
          <w:t>13</w:t>
        </w:r>
      </w:fldSimple>
      <w:r w:rsidR="00BA6B2B">
        <w:t xml:space="preserve">: </w:t>
      </w:r>
      <w:r w:rsidR="006B619F">
        <w:t>Model f</w:t>
      </w:r>
      <w:r w:rsidR="00BA6B2B">
        <w:t>orecasts</w:t>
      </w:r>
    </w:p>
    <w:p w14:paraId="1CAC9C2F" w14:textId="77777777" w:rsidR="000652B1" w:rsidRDefault="000652B1" w:rsidP="004362CB">
      <w:pPr>
        <w:jc w:val="center"/>
        <w:rPr>
          <w:rFonts w:cs="Arial"/>
        </w:rPr>
      </w:pPr>
    </w:p>
    <w:p w14:paraId="3E977181" w14:textId="607F2126" w:rsidR="004B4B74" w:rsidRDefault="00B7076B" w:rsidP="00E9030C">
      <w:pPr>
        <w:jc w:val="both"/>
        <w:rPr>
          <w:rFonts w:cs="Arial"/>
        </w:rPr>
      </w:pPr>
      <w:r>
        <w:rPr>
          <w:rFonts w:cs="Arial"/>
        </w:rPr>
        <w:lastRenderedPageBreak/>
        <w:t xml:space="preserve">As seen </w:t>
      </w:r>
      <w:r w:rsidRPr="007366A9">
        <w:rPr>
          <w:rFonts w:cs="Arial"/>
        </w:rPr>
        <w:t xml:space="preserve">in </w:t>
      </w:r>
      <w:r w:rsidR="00D337E4">
        <w:rPr>
          <w:rFonts w:cs="Arial"/>
        </w:rPr>
        <w:t>Figure_</w:t>
      </w:r>
      <w:r w:rsidRPr="007366A9">
        <w:rPr>
          <w:rFonts w:cs="Arial"/>
        </w:rPr>
        <w:t>14,</w:t>
      </w:r>
      <w:r>
        <w:rPr>
          <w:rFonts w:cs="Arial"/>
        </w:rPr>
        <w:t xml:space="preserve"> we can say from the </w:t>
      </w:r>
      <w:r w:rsidRPr="00B7076B">
        <w:rPr>
          <w:rFonts w:cs="Arial"/>
        </w:rPr>
        <w:t xml:space="preserve">Ljung-Box test </w:t>
      </w:r>
      <w:r>
        <w:rPr>
          <w:rFonts w:cs="Arial"/>
        </w:rPr>
        <w:t>that Drift and Holt showed significant correlation in the residuals as p-value was lower than 0.05, whereas ARIMA showed no significant correlation in the residuals.</w:t>
      </w:r>
    </w:p>
    <w:p w14:paraId="7946306D" w14:textId="77777777" w:rsidR="007366A9" w:rsidRDefault="00C35D8C" w:rsidP="007366A9">
      <w:pPr>
        <w:keepNext/>
        <w:jc w:val="both"/>
      </w:pPr>
      <w:r>
        <w:rPr>
          <w:rFonts w:cs="Arial"/>
          <w:noProof/>
        </w:rPr>
        <w:drawing>
          <wp:inline distT="0" distB="0" distL="0" distR="0" wp14:anchorId="57967796" wp14:editId="10F79364">
            <wp:extent cx="5358765" cy="5874385"/>
            <wp:effectExtent l="19050" t="19050" r="13335" b="12065"/>
            <wp:docPr id="1127073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58765" cy="5874385"/>
                    </a:xfrm>
                    <a:prstGeom prst="rect">
                      <a:avLst/>
                    </a:prstGeom>
                    <a:noFill/>
                    <a:ln>
                      <a:solidFill>
                        <a:schemeClr val="accent1">
                          <a:lumMod val="20000"/>
                          <a:lumOff val="80000"/>
                        </a:schemeClr>
                      </a:solidFill>
                    </a:ln>
                  </pic:spPr>
                </pic:pic>
              </a:graphicData>
            </a:graphic>
          </wp:inline>
        </w:drawing>
      </w:r>
    </w:p>
    <w:p w14:paraId="7FA228C2" w14:textId="6FC612B5" w:rsidR="00C35D8C" w:rsidRDefault="00D337E4" w:rsidP="007366A9">
      <w:pPr>
        <w:pStyle w:val="Caption"/>
        <w:jc w:val="center"/>
        <w:rPr>
          <w:rFonts w:cs="Arial"/>
        </w:rPr>
      </w:pPr>
      <w:r>
        <w:t>Figure_</w:t>
      </w:r>
      <w:fldSimple w:instr=" SEQ Figure \* ARABIC ">
        <w:r w:rsidR="007366A9">
          <w:rPr>
            <w:noProof/>
          </w:rPr>
          <w:t>14</w:t>
        </w:r>
      </w:fldSimple>
      <w:r w:rsidR="007366A9">
        <w:t>: Model residuals</w:t>
      </w:r>
    </w:p>
    <w:p w14:paraId="2102EBC7" w14:textId="77777777" w:rsidR="007366A9" w:rsidRDefault="007366A9" w:rsidP="00E9030C">
      <w:pPr>
        <w:jc w:val="both"/>
        <w:rPr>
          <w:rFonts w:cs="Arial"/>
        </w:rPr>
      </w:pPr>
    </w:p>
    <w:p w14:paraId="56D0412B" w14:textId="54C9003E" w:rsidR="00985495" w:rsidRPr="00985495" w:rsidRDefault="00985495" w:rsidP="00E9030C">
      <w:pPr>
        <w:jc w:val="both"/>
        <w:rPr>
          <w:rFonts w:cs="Arial"/>
        </w:rPr>
      </w:pPr>
      <w:r w:rsidRPr="00985495">
        <w:rPr>
          <w:rFonts w:cs="Arial"/>
        </w:rPr>
        <w:t>To compare the performance of the three models, a plot is created to visualize the original PCE data alongside the forecasts generated by each model. This allows for a visual comparison of the models' predictive accuracy</w:t>
      </w:r>
      <w:r w:rsidR="00B74182">
        <w:rPr>
          <w:rFonts w:cs="Arial"/>
        </w:rPr>
        <w:t xml:space="preserve"> as shown in </w:t>
      </w:r>
      <w:r w:rsidR="00D337E4">
        <w:rPr>
          <w:rFonts w:cs="Arial"/>
        </w:rPr>
        <w:t>Figure_</w:t>
      </w:r>
      <w:r w:rsidR="00B74182">
        <w:rPr>
          <w:rFonts w:cs="Arial"/>
        </w:rPr>
        <w:t>1</w:t>
      </w:r>
      <w:r w:rsidR="00000C30">
        <w:rPr>
          <w:rFonts w:cs="Arial"/>
        </w:rPr>
        <w:t>5</w:t>
      </w:r>
      <w:r w:rsidRPr="00985495">
        <w:rPr>
          <w:rFonts w:cs="Arial"/>
        </w:rPr>
        <w:t>.</w:t>
      </w:r>
    </w:p>
    <w:p w14:paraId="458D67C5" w14:textId="37C40919" w:rsidR="00B572FA" w:rsidRDefault="00304CE4" w:rsidP="00B572FA">
      <w:pPr>
        <w:keepNext/>
        <w:jc w:val="center"/>
      </w:pPr>
      <w:r>
        <w:rPr>
          <w:noProof/>
        </w:rPr>
        <w:lastRenderedPageBreak/>
        <w:drawing>
          <wp:inline distT="0" distB="0" distL="0" distR="0" wp14:anchorId="6C1AB454" wp14:editId="743AFB98">
            <wp:extent cx="5212080" cy="3439973"/>
            <wp:effectExtent l="19050" t="19050" r="26670" b="27305"/>
            <wp:docPr id="20627643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2080" cy="3439973"/>
                    </a:xfrm>
                    <a:prstGeom prst="rect">
                      <a:avLst/>
                    </a:prstGeom>
                    <a:noFill/>
                    <a:ln>
                      <a:solidFill>
                        <a:schemeClr val="accent1">
                          <a:lumMod val="20000"/>
                          <a:lumOff val="80000"/>
                        </a:schemeClr>
                      </a:solidFill>
                    </a:ln>
                  </pic:spPr>
                </pic:pic>
              </a:graphicData>
            </a:graphic>
          </wp:inline>
        </w:drawing>
      </w:r>
    </w:p>
    <w:p w14:paraId="0E610516" w14:textId="3240761B" w:rsidR="00985495" w:rsidRPr="00985495" w:rsidRDefault="00D337E4" w:rsidP="00B572FA">
      <w:pPr>
        <w:pStyle w:val="Caption"/>
        <w:jc w:val="center"/>
        <w:rPr>
          <w:rFonts w:cs="Arial"/>
        </w:rPr>
      </w:pPr>
      <w:r>
        <w:t>Figure_</w:t>
      </w:r>
      <w:fldSimple w:instr=" SEQ Figure \* ARABIC ">
        <w:r w:rsidR="007366A9">
          <w:rPr>
            <w:noProof/>
          </w:rPr>
          <w:t>15</w:t>
        </w:r>
      </w:fldSimple>
      <w:r w:rsidR="00B572FA">
        <w:t xml:space="preserve">: Real vs Static </w:t>
      </w:r>
      <w:r w:rsidR="006B619F">
        <w:t>f</w:t>
      </w:r>
      <w:r w:rsidR="00B572FA">
        <w:t>orecast</w:t>
      </w:r>
    </w:p>
    <w:p w14:paraId="5313ED7C" w14:textId="77777777" w:rsidR="009E1E22" w:rsidRDefault="009E1E22" w:rsidP="00221FFF">
      <w:pPr>
        <w:jc w:val="center"/>
        <w:rPr>
          <w:rFonts w:cs="Arial"/>
        </w:rPr>
      </w:pPr>
    </w:p>
    <w:p w14:paraId="58557A4B" w14:textId="0DB52B43" w:rsidR="009E1E22" w:rsidRDefault="009E1E22" w:rsidP="00E9030C">
      <w:pPr>
        <w:jc w:val="both"/>
        <w:rPr>
          <w:rFonts w:cs="Arial"/>
        </w:rPr>
      </w:pPr>
      <w:r>
        <w:rPr>
          <w:rFonts w:cs="Arial"/>
        </w:rPr>
        <w:t xml:space="preserve">To analyse and compare </w:t>
      </w:r>
      <w:r w:rsidR="00842B99">
        <w:rPr>
          <w:rFonts w:cs="Arial"/>
        </w:rPr>
        <w:t>each model</w:t>
      </w:r>
      <w:r>
        <w:rPr>
          <w:rFonts w:cs="Arial"/>
        </w:rPr>
        <w:t xml:space="preserve">, we look at </w:t>
      </w:r>
      <w:r w:rsidR="00985495" w:rsidRPr="00985495">
        <w:rPr>
          <w:rFonts w:cs="Arial"/>
        </w:rPr>
        <w:t xml:space="preserve">accuracy metrics </w:t>
      </w:r>
      <w:r w:rsidR="00EB20F4">
        <w:rPr>
          <w:rFonts w:cs="Arial"/>
        </w:rPr>
        <w:t>which are robust, widely-popular, and easy to interpret for a seasonally-adjusted time series</w:t>
      </w:r>
      <w:r w:rsidR="00236700">
        <w:rPr>
          <w:rFonts w:cs="Arial"/>
        </w:rPr>
        <w:t>,</w:t>
      </w:r>
      <w:r w:rsidR="00EB20F4">
        <w:rPr>
          <w:rFonts w:cs="Arial"/>
        </w:rPr>
        <w:t xml:space="preserve"> </w:t>
      </w:r>
      <w:r w:rsidR="00985495" w:rsidRPr="00985495">
        <w:rPr>
          <w:rFonts w:cs="Arial"/>
        </w:rPr>
        <w:t xml:space="preserve">such as Mean Absolute </w:t>
      </w:r>
      <w:r w:rsidR="00985495" w:rsidRPr="004E74C9">
        <w:rPr>
          <w:rFonts w:cs="Arial"/>
        </w:rPr>
        <w:t>Error (MAE), Root Mean Squared Error (RMSE</w:t>
      </w:r>
      <w:proofErr w:type="gramStart"/>
      <w:r w:rsidR="00985495" w:rsidRPr="004E74C9">
        <w:rPr>
          <w:rFonts w:cs="Arial"/>
        </w:rPr>
        <w:t>),</w:t>
      </w:r>
      <w:r w:rsidR="007266B1" w:rsidRPr="004E74C9">
        <w:rPr>
          <w:rFonts w:cs="Arial"/>
        </w:rPr>
        <w:t xml:space="preserve"> and</w:t>
      </w:r>
      <w:proofErr w:type="gramEnd"/>
      <w:r w:rsidR="00985495" w:rsidRPr="004E74C9">
        <w:rPr>
          <w:rFonts w:cs="Arial"/>
        </w:rPr>
        <w:t xml:space="preserve"> Mean Absolute Percentage Error (MAPE) for each</w:t>
      </w:r>
      <w:r w:rsidR="00985495" w:rsidRPr="00985495">
        <w:rPr>
          <w:rFonts w:cs="Arial"/>
        </w:rPr>
        <w:t xml:space="preserve"> model. The</w:t>
      </w:r>
      <w:r w:rsidR="00EB20F4">
        <w:rPr>
          <w:rFonts w:cs="Arial"/>
        </w:rPr>
        <w:t>se</w:t>
      </w:r>
      <w:r w:rsidR="00985495" w:rsidRPr="00985495">
        <w:rPr>
          <w:rFonts w:cs="Arial"/>
        </w:rPr>
        <w:t xml:space="preserve"> metrics are summarized and presented in </w:t>
      </w:r>
      <w:r w:rsidR="00D337E4">
        <w:rPr>
          <w:rFonts w:cs="Arial"/>
        </w:rPr>
        <w:t>Figure_</w:t>
      </w:r>
      <w:r w:rsidR="001A6F85">
        <w:rPr>
          <w:rFonts w:cs="Arial"/>
        </w:rPr>
        <w:t>1</w:t>
      </w:r>
      <w:r w:rsidR="00000C30">
        <w:rPr>
          <w:rFonts w:cs="Arial"/>
        </w:rPr>
        <w:t>6</w:t>
      </w:r>
      <w:r>
        <w:rPr>
          <w:rFonts w:cs="Arial"/>
        </w:rPr>
        <w:t xml:space="preserve"> below where we notice that the RMSE, MAE, and MAPE values for </w:t>
      </w:r>
      <w:r w:rsidR="00221FFF">
        <w:rPr>
          <w:rFonts w:cs="Arial"/>
        </w:rPr>
        <w:t>the Holt’s Linear model</w:t>
      </w:r>
      <w:r>
        <w:rPr>
          <w:rFonts w:cs="Arial"/>
        </w:rPr>
        <w:t xml:space="preserve"> are the lowest </w:t>
      </w:r>
      <w:r w:rsidR="00842B99">
        <w:rPr>
          <w:rFonts w:cs="Arial"/>
        </w:rPr>
        <w:t>suggesting</w:t>
      </w:r>
      <w:r>
        <w:rPr>
          <w:rFonts w:cs="Arial"/>
        </w:rPr>
        <w:t xml:space="preserve"> that </w:t>
      </w:r>
      <w:r w:rsidR="00221FFF">
        <w:rPr>
          <w:rFonts w:cs="Arial"/>
        </w:rPr>
        <w:t>it</w:t>
      </w:r>
      <w:r>
        <w:rPr>
          <w:rFonts w:cs="Arial"/>
        </w:rPr>
        <w:t xml:space="preserve"> is the best model as it contributes to the lowest error.</w:t>
      </w:r>
    </w:p>
    <w:p w14:paraId="78AAC3A1" w14:textId="1A0B7F70" w:rsidR="001A6F85" w:rsidRDefault="00D81F7F" w:rsidP="001A6F85">
      <w:pPr>
        <w:keepNext/>
        <w:jc w:val="center"/>
      </w:pPr>
      <w:r>
        <w:rPr>
          <w:noProof/>
        </w:rPr>
        <w:drawing>
          <wp:inline distT="0" distB="0" distL="0" distR="0" wp14:anchorId="4624B5B8" wp14:editId="568F9E39">
            <wp:extent cx="3965213" cy="1082574"/>
            <wp:effectExtent l="19050" t="19050" r="16510" b="22860"/>
            <wp:docPr id="295041636" name="Picture 1" descr="A blue and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41636" name="Picture 1" descr="A blue and black numbers&#10;&#10;Description automatically generated with medium confidence"/>
                    <pic:cNvPicPr/>
                  </pic:nvPicPr>
                  <pic:blipFill>
                    <a:blip r:embed="rId24"/>
                    <a:stretch>
                      <a:fillRect/>
                    </a:stretch>
                  </pic:blipFill>
                  <pic:spPr>
                    <a:xfrm>
                      <a:off x="0" y="0"/>
                      <a:ext cx="3978574" cy="1086222"/>
                    </a:xfrm>
                    <a:prstGeom prst="rect">
                      <a:avLst/>
                    </a:prstGeom>
                    <a:ln>
                      <a:solidFill>
                        <a:schemeClr val="accent1">
                          <a:lumMod val="20000"/>
                          <a:lumOff val="80000"/>
                        </a:schemeClr>
                      </a:solidFill>
                    </a:ln>
                  </pic:spPr>
                </pic:pic>
              </a:graphicData>
            </a:graphic>
          </wp:inline>
        </w:drawing>
      </w:r>
    </w:p>
    <w:p w14:paraId="7E7FB91D" w14:textId="356A7C71" w:rsidR="008111D2" w:rsidRPr="006B619F" w:rsidRDefault="00D337E4" w:rsidP="006B619F">
      <w:pPr>
        <w:pStyle w:val="Caption"/>
        <w:jc w:val="center"/>
      </w:pPr>
      <w:r>
        <w:t>Figure_</w:t>
      </w:r>
      <w:fldSimple w:instr=" SEQ Figure \* ARABIC ">
        <w:r w:rsidR="007366A9">
          <w:rPr>
            <w:noProof/>
          </w:rPr>
          <w:t>16</w:t>
        </w:r>
      </w:fldSimple>
      <w:r w:rsidR="001A6F85">
        <w:t xml:space="preserve">: </w:t>
      </w:r>
      <w:r w:rsidR="006B619F">
        <w:t>S</w:t>
      </w:r>
      <w:r w:rsidR="001A6F85">
        <w:t>tatic model</w:t>
      </w:r>
      <w:r w:rsidR="006B619F">
        <w:t xml:space="preserve"> measures</w:t>
      </w:r>
    </w:p>
    <w:p w14:paraId="5A60E2D3" w14:textId="77777777" w:rsidR="008111D2" w:rsidRDefault="008111D2" w:rsidP="00E9030C">
      <w:pPr>
        <w:jc w:val="both"/>
        <w:rPr>
          <w:rFonts w:cs="Arial"/>
        </w:rPr>
      </w:pPr>
    </w:p>
    <w:p w14:paraId="5EE70483" w14:textId="48318DE0" w:rsidR="00517ED7" w:rsidRPr="00BE046E" w:rsidRDefault="00517ED7" w:rsidP="00E9030C">
      <w:pPr>
        <w:pStyle w:val="Heading2"/>
        <w:jc w:val="both"/>
        <w:rPr>
          <w:rFonts w:ascii="Arial" w:hAnsi="Arial" w:cs="Arial"/>
          <w:sz w:val="22"/>
          <w:szCs w:val="22"/>
        </w:rPr>
      </w:pPr>
      <w:r w:rsidRPr="00BE046E">
        <w:rPr>
          <w:rFonts w:ascii="Arial" w:hAnsi="Arial" w:cs="Arial"/>
          <w:sz w:val="22"/>
          <w:szCs w:val="22"/>
        </w:rPr>
        <w:t>Forecasting</w:t>
      </w:r>
    </w:p>
    <w:p w14:paraId="21A13F6A" w14:textId="3ED092B1" w:rsidR="00C71F23" w:rsidRDefault="00C71F23" w:rsidP="00E9030C">
      <w:pPr>
        <w:jc w:val="both"/>
        <w:rPr>
          <w:rFonts w:cs="Arial"/>
        </w:rPr>
      </w:pPr>
      <w:proofErr w:type="gramStart"/>
      <w:r>
        <w:rPr>
          <w:rFonts w:cs="Arial"/>
        </w:rPr>
        <w:t>In order to</w:t>
      </w:r>
      <w:proofErr w:type="gramEnd"/>
      <w:r>
        <w:rPr>
          <w:rFonts w:cs="Arial"/>
        </w:rPr>
        <w:t xml:space="preserve"> forecast the PCE values for October 2024, we apply </w:t>
      </w:r>
      <w:r w:rsidR="00984497">
        <w:rPr>
          <w:rFonts w:cs="Arial"/>
        </w:rPr>
        <w:t>the Holt’s Linear</w:t>
      </w:r>
      <w:r>
        <w:rPr>
          <w:rFonts w:cs="Arial"/>
        </w:rPr>
        <w:t xml:space="preserve"> model to the complete dataset. We use the refitted </w:t>
      </w:r>
      <w:r w:rsidR="00984497">
        <w:rPr>
          <w:rFonts w:cs="Arial"/>
        </w:rPr>
        <w:t>Holt</w:t>
      </w:r>
      <w:r>
        <w:rPr>
          <w:rFonts w:cs="Arial"/>
        </w:rPr>
        <w:t xml:space="preserve"> model to forecast PCE values for the next 11 months till October 2024</w:t>
      </w:r>
      <w:r w:rsidR="00025AC0">
        <w:rPr>
          <w:rFonts w:cs="Arial"/>
        </w:rPr>
        <w:t xml:space="preserve"> which can be seen in </w:t>
      </w:r>
      <w:r w:rsidR="00D337E4">
        <w:rPr>
          <w:rFonts w:cs="Arial"/>
        </w:rPr>
        <w:t>Figure_</w:t>
      </w:r>
      <w:r w:rsidR="00025AC0">
        <w:rPr>
          <w:rFonts w:cs="Arial"/>
        </w:rPr>
        <w:t>1</w:t>
      </w:r>
      <w:r w:rsidR="00000C30">
        <w:rPr>
          <w:rFonts w:cs="Arial"/>
        </w:rPr>
        <w:t>7</w:t>
      </w:r>
      <w:r w:rsidR="00674451">
        <w:rPr>
          <w:rFonts w:cs="Arial"/>
        </w:rPr>
        <w:t xml:space="preserve"> that </w:t>
      </w:r>
      <w:r w:rsidR="00674451" w:rsidRPr="00914F00">
        <w:rPr>
          <w:rFonts w:cs="Arial"/>
        </w:rPr>
        <w:t>visualize</w:t>
      </w:r>
      <w:r w:rsidR="00674451">
        <w:rPr>
          <w:rFonts w:cs="Arial"/>
        </w:rPr>
        <w:t>s</w:t>
      </w:r>
      <w:r w:rsidR="00674451" w:rsidRPr="00914F00">
        <w:rPr>
          <w:rFonts w:cs="Arial"/>
        </w:rPr>
        <w:t xml:space="preserve"> the </w:t>
      </w:r>
      <w:r w:rsidR="00674451" w:rsidRPr="00914F00">
        <w:rPr>
          <w:rFonts w:cs="Arial"/>
        </w:rPr>
        <w:lastRenderedPageBreak/>
        <w:t>predicted trend and variability over the forecast horizon.</w:t>
      </w:r>
      <w:r>
        <w:rPr>
          <w:rFonts w:cs="Arial"/>
        </w:rPr>
        <w:t xml:space="preserve"> The PCE forecast for October 2024 comes to </w:t>
      </w:r>
      <w:r w:rsidRPr="00C71F23">
        <w:rPr>
          <w:rFonts w:cs="Arial"/>
        </w:rPr>
        <w:t>19</w:t>
      </w:r>
      <w:r w:rsidR="00984497">
        <w:rPr>
          <w:rFonts w:cs="Arial"/>
        </w:rPr>
        <w:t>566</w:t>
      </w:r>
      <w:r w:rsidRPr="00C71F23">
        <w:rPr>
          <w:rFonts w:cs="Arial"/>
        </w:rPr>
        <w:t>.</w:t>
      </w:r>
      <w:r w:rsidR="00984497">
        <w:rPr>
          <w:rFonts w:cs="Arial"/>
        </w:rPr>
        <w:t>92</w:t>
      </w:r>
      <w:r>
        <w:rPr>
          <w:rFonts w:cs="Arial"/>
        </w:rPr>
        <w:t xml:space="preserve"> </w:t>
      </w:r>
      <w:r w:rsidR="00025AC0">
        <w:rPr>
          <w:rFonts w:cs="Arial"/>
        </w:rPr>
        <w:t>as shown</w:t>
      </w:r>
      <w:r w:rsidR="00984497">
        <w:rPr>
          <w:rFonts w:cs="Arial"/>
        </w:rPr>
        <w:t xml:space="preserve"> in </w:t>
      </w:r>
      <w:r w:rsidR="00D337E4">
        <w:rPr>
          <w:rFonts w:cs="Arial"/>
        </w:rPr>
        <w:t>Figure_</w:t>
      </w:r>
      <w:r w:rsidR="00984497">
        <w:rPr>
          <w:rFonts w:cs="Arial"/>
        </w:rPr>
        <w:t>1</w:t>
      </w:r>
      <w:r w:rsidR="00000C30">
        <w:rPr>
          <w:rFonts w:cs="Arial"/>
        </w:rPr>
        <w:t>8</w:t>
      </w:r>
      <w:r w:rsidR="00674451">
        <w:rPr>
          <w:rFonts w:cs="Arial"/>
        </w:rPr>
        <w:t>.</w:t>
      </w:r>
    </w:p>
    <w:p w14:paraId="75392741" w14:textId="77777777" w:rsidR="009626BD" w:rsidRDefault="007D091D" w:rsidP="009626BD">
      <w:pPr>
        <w:keepNext/>
        <w:jc w:val="center"/>
      </w:pPr>
      <w:r>
        <w:rPr>
          <w:rFonts w:cs="Arial"/>
          <w:noProof/>
        </w:rPr>
        <w:drawing>
          <wp:inline distT="0" distB="0" distL="0" distR="0" wp14:anchorId="2DF3B93D" wp14:editId="0089BEA1">
            <wp:extent cx="5212080" cy="3571390"/>
            <wp:effectExtent l="19050" t="19050" r="26670" b="10160"/>
            <wp:docPr id="154830706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5">
                      <a:extLst>
                        <a:ext uri="{28A0092B-C50C-407E-A947-70E740481C1C}">
                          <a14:useLocalDpi xmlns:a14="http://schemas.microsoft.com/office/drawing/2010/main" val="0"/>
                        </a:ext>
                      </a:extLst>
                    </a:blip>
                    <a:srcRect r="6056"/>
                    <a:stretch/>
                  </pic:blipFill>
                  <pic:spPr bwMode="auto">
                    <a:xfrm>
                      <a:off x="0" y="0"/>
                      <a:ext cx="5212080" cy="3571390"/>
                    </a:xfrm>
                    <a:prstGeom prst="rect">
                      <a:avLst/>
                    </a:prstGeom>
                    <a:noFill/>
                    <a:ln>
                      <a:solidFill>
                        <a:schemeClr val="accent1">
                          <a:lumMod val="20000"/>
                          <a:lumOff val="80000"/>
                        </a:schemeClr>
                      </a:solidFill>
                    </a:ln>
                    <a:extLst>
                      <a:ext uri="{53640926-AAD7-44D8-BBD7-CCE9431645EC}">
                        <a14:shadowObscured xmlns:a14="http://schemas.microsoft.com/office/drawing/2010/main"/>
                      </a:ext>
                    </a:extLst>
                  </pic:spPr>
                </pic:pic>
              </a:graphicData>
            </a:graphic>
          </wp:inline>
        </w:drawing>
      </w:r>
    </w:p>
    <w:p w14:paraId="2803BF62" w14:textId="0A806C06" w:rsidR="00C71F23" w:rsidRDefault="00D337E4" w:rsidP="009626BD">
      <w:pPr>
        <w:pStyle w:val="Caption"/>
        <w:jc w:val="center"/>
        <w:rPr>
          <w:rFonts w:cs="Arial"/>
        </w:rPr>
      </w:pPr>
      <w:r>
        <w:t>Figure_</w:t>
      </w:r>
      <w:fldSimple w:instr=" SEQ Figure \* ARABIC ">
        <w:r w:rsidR="007366A9">
          <w:rPr>
            <w:noProof/>
          </w:rPr>
          <w:t>17</w:t>
        </w:r>
      </w:fldSimple>
      <w:r w:rsidR="009626BD">
        <w:t xml:space="preserve">: </w:t>
      </w:r>
      <w:r w:rsidR="006B619F">
        <w:t>Holt f</w:t>
      </w:r>
      <w:r w:rsidR="009626BD">
        <w:t>orecast</w:t>
      </w:r>
    </w:p>
    <w:p w14:paraId="2F6200BF" w14:textId="77777777" w:rsidR="00AC536E" w:rsidRDefault="00AC536E" w:rsidP="007D091D">
      <w:pPr>
        <w:jc w:val="center"/>
        <w:rPr>
          <w:rFonts w:cs="Arial"/>
        </w:rPr>
      </w:pPr>
    </w:p>
    <w:p w14:paraId="11B74C28" w14:textId="77777777" w:rsidR="009626BD" w:rsidRDefault="00AC536E" w:rsidP="009626BD">
      <w:pPr>
        <w:keepNext/>
        <w:jc w:val="center"/>
      </w:pPr>
      <w:r>
        <w:rPr>
          <w:noProof/>
        </w:rPr>
        <w:drawing>
          <wp:inline distT="0" distB="0" distL="0" distR="0" wp14:anchorId="5D5A4101" wp14:editId="4D061947">
            <wp:extent cx="4534437" cy="2133600"/>
            <wp:effectExtent l="19050" t="19050" r="19050" b="19050"/>
            <wp:docPr id="11089271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27137" name="Picture 1" descr="A screenshot of a computer screen&#10;&#10;Description automatically generated"/>
                    <pic:cNvPicPr/>
                  </pic:nvPicPr>
                  <pic:blipFill>
                    <a:blip r:embed="rId26"/>
                    <a:stretch>
                      <a:fillRect/>
                    </a:stretch>
                  </pic:blipFill>
                  <pic:spPr>
                    <a:xfrm>
                      <a:off x="0" y="0"/>
                      <a:ext cx="4536729" cy="2134679"/>
                    </a:xfrm>
                    <a:prstGeom prst="rect">
                      <a:avLst/>
                    </a:prstGeom>
                    <a:ln>
                      <a:solidFill>
                        <a:schemeClr val="accent1">
                          <a:lumMod val="20000"/>
                          <a:lumOff val="80000"/>
                        </a:schemeClr>
                      </a:solidFill>
                    </a:ln>
                  </pic:spPr>
                </pic:pic>
              </a:graphicData>
            </a:graphic>
          </wp:inline>
        </w:drawing>
      </w:r>
    </w:p>
    <w:p w14:paraId="2F08B801" w14:textId="1654C018" w:rsidR="00AC536E" w:rsidRDefault="00D337E4" w:rsidP="009626BD">
      <w:pPr>
        <w:pStyle w:val="Caption"/>
        <w:jc w:val="center"/>
        <w:rPr>
          <w:rFonts w:cs="Arial"/>
        </w:rPr>
      </w:pPr>
      <w:r>
        <w:t>Figure_</w:t>
      </w:r>
      <w:fldSimple w:instr=" SEQ Figure \* ARABIC ">
        <w:r w:rsidR="007366A9">
          <w:rPr>
            <w:noProof/>
          </w:rPr>
          <w:t>18</w:t>
        </w:r>
      </w:fldSimple>
      <w:r w:rsidR="009626BD">
        <w:t>: Oct</w:t>
      </w:r>
      <w:r w:rsidR="006B619F">
        <w:t>-</w:t>
      </w:r>
      <w:r w:rsidR="009626BD">
        <w:t>2024</w:t>
      </w:r>
      <w:r w:rsidR="006B619F">
        <w:t xml:space="preserve"> forecast</w:t>
      </w:r>
    </w:p>
    <w:p w14:paraId="68DB05E7" w14:textId="77777777" w:rsidR="00AC536E" w:rsidRDefault="00AC536E" w:rsidP="007D091D">
      <w:pPr>
        <w:jc w:val="center"/>
        <w:rPr>
          <w:rFonts w:cs="Arial"/>
        </w:rPr>
      </w:pPr>
    </w:p>
    <w:p w14:paraId="54BEDA63" w14:textId="5710D56D" w:rsidR="00517ED7" w:rsidRPr="00BE046E" w:rsidRDefault="00517ED7" w:rsidP="00E9030C">
      <w:pPr>
        <w:pStyle w:val="Heading2"/>
        <w:jc w:val="both"/>
        <w:rPr>
          <w:rFonts w:ascii="Arial" w:hAnsi="Arial" w:cs="Arial"/>
          <w:sz w:val="22"/>
          <w:szCs w:val="22"/>
        </w:rPr>
      </w:pPr>
      <w:r w:rsidRPr="00BE046E">
        <w:rPr>
          <w:rFonts w:ascii="Arial" w:hAnsi="Arial" w:cs="Arial"/>
          <w:sz w:val="22"/>
          <w:szCs w:val="22"/>
        </w:rPr>
        <w:t>Rolling Forecast</w:t>
      </w:r>
    </w:p>
    <w:p w14:paraId="2DABD943" w14:textId="5CC42AA9" w:rsidR="00252EAF" w:rsidRDefault="004A4A47" w:rsidP="00E9030C">
      <w:pPr>
        <w:jc w:val="both"/>
        <w:rPr>
          <w:rFonts w:cs="Arial"/>
        </w:rPr>
      </w:pPr>
      <w:r w:rsidRPr="000A3831">
        <w:rPr>
          <w:rFonts w:cs="Arial"/>
        </w:rPr>
        <w:t>Rolling Forecast</w:t>
      </w:r>
      <w:r w:rsidR="00236700">
        <w:rPr>
          <w:rFonts w:cs="Arial"/>
        </w:rPr>
        <w:t xml:space="preserve"> </w:t>
      </w:r>
      <w:r w:rsidRPr="000A3831">
        <w:rPr>
          <w:rFonts w:cs="Arial"/>
        </w:rPr>
        <w:t xml:space="preserve">is a way of optimizing our forecast by </w:t>
      </w:r>
      <w:r w:rsidR="00252EAF" w:rsidRPr="000A3831">
        <w:rPr>
          <w:rFonts w:cs="Arial"/>
        </w:rPr>
        <w:t>considering</w:t>
      </w:r>
      <w:r>
        <w:rPr>
          <w:rFonts w:cs="Arial"/>
        </w:rPr>
        <w:t xml:space="preserve"> the values till date. </w:t>
      </w:r>
      <w:r w:rsidR="00252EAF">
        <w:rPr>
          <w:rFonts w:cs="Arial"/>
        </w:rPr>
        <w:t xml:space="preserve">The process involves forecasting for smaller horizons and including the actual values till date and </w:t>
      </w:r>
      <w:r w:rsidR="00D8252B">
        <w:rPr>
          <w:rFonts w:cs="Arial"/>
        </w:rPr>
        <w:t>include</w:t>
      </w:r>
      <w:r w:rsidR="00252EAF">
        <w:rPr>
          <w:rFonts w:cs="Arial"/>
        </w:rPr>
        <w:t xml:space="preserve"> that in the model to make better </w:t>
      </w:r>
      <w:r w:rsidR="00D8252B">
        <w:rPr>
          <w:rFonts w:cs="Arial"/>
        </w:rPr>
        <w:t xml:space="preserve">future </w:t>
      </w:r>
      <w:r w:rsidR="00252EAF">
        <w:rPr>
          <w:rFonts w:cs="Arial"/>
        </w:rPr>
        <w:t xml:space="preserve">forecasts. </w:t>
      </w:r>
    </w:p>
    <w:p w14:paraId="07034CAF" w14:textId="145B3F05" w:rsidR="004A4A47" w:rsidRDefault="00252EAF" w:rsidP="00E9030C">
      <w:pPr>
        <w:jc w:val="both"/>
        <w:rPr>
          <w:rFonts w:cs="Arial"/>
        </w:rPr>
      </w:pPr>
      <w:r>
        <w:rPr>
          <w:rFonts w:cs="Arial"/>
        </w:rPr>
        <w:lastRenderedPageBreak/>
        <w:t xml:space="preserve">We performed a one-step rolling forecast on </w:t>
      </w:r>
      <w:r w:rsidR="00F64FA7">
        <w:rPr>
          <w:rFonts w:cs="Arial"/>
        </w:rPr>
        <w:t>each</w:t>
      </w:r>
      <w:r>
        <w:rPr>
          <w:rFonts w:cs="Arial"/>
        </w:rPr>
        <w:t xml:space="preserve"> model maintaining the parameters we got during our model training phase. </w:t>
      </w:r>
      <w:r w:rsidRPr="00252EAF">
        <w:rPr>
          <w:rFonts w:cs="Arial"/>
        </w:rPr>
        <w:t xml:space="preserve">This </w:t>
      </w:r>
      <w:r>
        <w:rPr>
          <w:rFonts w:cs="Arial"/>
        </w:rPr>
        <w:t>meant</w:t>
      </w:r>
      <w:r w:rsidRPr="00252EAF">
        <w:rPr>
          <w:rFonts w:cs="Arial"/>
        </w:rPr>
        <w:t xml:space="preserve"> training the models using a rolling window of </w:t>
      </w:r>
      <w:r>
        <w:rPr>
          <w:rFonts w:cs="Arial"/>
        </w:rPr>
        <w:t>past</w:t>
      </w:r>
      <w:r w:rsidRPr="00252EAF">
        <w:rPr>
          <w:rFonts w:cs="Arial"/>
        </w:rPr>
        <w:t xml:space="preserve"> data, refitting them periodically, and evaluating their performance</w:t>
      </w:r>
      <w:r>
        <w:rPr>
          <w:rFonts w:cs="Arial"/>
        </w:rPr>
        <w:t xml:space="preserve"> based on the test dataset</w:t>
      </w:r>
      <w:r w:rsidRPr="00252EAF">
        <w:rPr>
          <w:rFonts w:cs="Arial"/>
        </w:rPr>
        <w:t>.</w:t>
      </w:r>
      <w:r>
        <w:rPr>
          <w:rFonts w:cs="Arial"/>
        </w:rPr>
        <w:t xml:space="preserve"> </w:t>
      </w:r>
    </w:p>
    <w:p w14:paraId="425E23DF" w14:textId="375E9725" w:rsidR="00252EAF" w:rsidRDefault="00252EAF" w:rsidP="00E9030C">
      <w:pPr>
        <w:jc w:val="both"/>
        <w:rPr>
          <w:rFonts w:cs="Arial"/>
        </w:rPr>
      </w:pPr>
      <w:r>
        <w:rPr>
          <w:rFonts w:cs="Arial"/>
        </w:rPr>
        <w:t>Finally, we</w:t>
      </w:r>
      <w:r w:rsidRPr="00CB27D9">
        <w:rPr>
          <w:rFonts w:cs="Arial"/>
        </w:rPr>
        <w:t xml:space="preserve"> compar</w:t>
      </w:r>
      <w:r>
        <w:rPr>
          <w:rFonts w:cs="Arial"/>
        </w:rPr>
        <w:t xml:space="preserve">e </w:t>
      </w:r>
      <w:r w:rsidRPr="00CB27D9">
        <w:rPr>
          <w:rFonts w:cs="Arial"/>
        </w:rPr>
        <w:t xml:space="preserve">the original </w:t>
      </w:r>
      <w:r>
        <w:rPr>
          <w:rFonts w:cs="Arial"/>
        </w:rPr>
        <w:t>forecasts with the</w:t>
      </w:r>
      <w:r w:rsidRPr="00CB27D9">
        <w:rPr>
          <w:rFonts w:cs="Arial"/>
        </w:rPr>
        <w:t xml:space="preserve"> rolling forecast models</w:t>
      </w:r>
      <w:r>
        <w:rPr>
          <w:rFonts w:cs="Arial"/>
        </w:rPr>
        <w:t xml:space="preserve">. We can clearly see that </w:t>
      </w:r>
      <w:r w:rsidR="00F64FA7">
        <w:rPr>
          <w:rFonts w:cs="Arial"/>
        </w:rPr>
        <w:t xml:space="preserve">from </w:t>
      </w:r>
      <w:r w:rsidR="00D337E4">
        <w:rPr>
          <w:rFonts w:cs="Arial"/>
        </w:rPr>
        <w:t>Figure_</w:t>
      </w:r>
      <w:r w:rsidR="00F64FA7">
        <w:rPr>
          <w:rFonts w:cs="Arial"/>
        </w:rPr>
        <w:t>1</w:t>
      </w:r>
      <w:r w:rsidR="00000C30">
        <w:rPr>
          <w:rFonts w:cs="Arial"/>
        </w:rPr>
        <w:t>9</w:t>
      </w:r>
      <w:r w:rsidR="00F64FA7">
        <w:rPr>
          <w:rFonts w:cs="Arial"/>
        </w:rPr>
        <w:t xml:space="preserve"> that </w:t>
      </w:r>
      <w:r>
        <w:rPr>
          <w:rFonts w:cs="Arial"/>
        </w:rPr>
        <w:t>rolling forecasts helped reduc</w:t>
      </w:r>
      <w:r w:rsidR="00F64FA7">
        <w:rPr>
          <w:rFonts w:cs="Arial"/>
        </w:rPr>
        <w:t>e</w:t>
      </w:r>
      <w:r>
        <w:rPr>
          <w:rFonts w:cs="Arial"/>
        </w:rPr>
        <w:t xml:space="preserve"> the error</w:t>
      </w:r>
      <w:r w:rsidR="00F64FA7">
        <w:rPr>
          <w:rFonts w:cs="Arial"/>
        </w:rPr>
        <w:t xml:space="preserve">s </w:t>
      </w:r>
      <w:r>
        <w:rPr>
          <w:rFonts w:cs="Arial"/>
        </w:rPr>
        <w:t xml:space="preserve">drastically and hence they are deemed superior </w:t>
      </w:r>
      <w:r w:rsidR="005D79F8">
        <w:rPr>
          <w:rFonts w:cs="Arial"/>
        </w:rPr>
        <w:t>to</w:t>
      </w:r>
      <w:r>
        <w:rPr>
          <w:rFonts w:cs="Arial"/>
        </w:rPr>
        <w:t xml:space="preserve"> </w:t>
      </w:r>
      <w:r w:rsidR="00F64FA7">
        <w:rPr>
          <w:rFonts w:cs="Arial"/>
        </w:rPr>
        <w:t>static</w:t>
      </w:r>
      <w:r>
        <w:rPr>
          <w:rFonts w:cs="Arial"/>
        </w:rPr>
        <w:t xml:space="preserve"> forecasts. </w:t>
      </w:r>
      <w:r w:rsidR="007A2883">
        <w:rPr>
          <w:rFonts w:cs="Arial"/>
        </w:rPr>
        <w:t xml:space="preserve">For </w:t>
      </w:r>
      <w:r w:rsidR="00DB1450">
        <w:rPr>
          <w:rFonts w:cs="Arial"/>
        </w:rPr>
        <w:t>instance,</w:t>
      </w:r>
      <w:r w:rsidR="007A2883">
        <w:rPr>
          <w:rFonts w:cs="Arial"/>
        </w:rPr>
        <w:t xml:space="preserve"> Rolling </w:t>
      </w:r>
      <w:r w:rsidR="00BB1B0A">
        <w:rPr>
          <w:rFonts w:cs="Arial"/>
        </w:rPr>
        <w:t>Holt</w:t>
      </w:r>
      <w:r w:rsidR="007A2883">
        <w:rPr>
          <w:rFonts w:cs="Arial"/>
        </w:rPr>
        <w:t xml:space="preserve"> reduce</w:t>
      </w:r>
      <w:r w:rsidR="00F64FA7">
        <w:rPr>
          <w:rFonts w:cs="Arial"/>
        </w:rPr>
        <w:t>d</w:t>
      </w:r>
      <w:r w:rsidR="007A2883">
        <w:rPr>
          <w:rFonts w:cs="Arial"/>
        </w:rPr>
        <w:t xml:space="preserve"> the RMSE of </w:t>
      </w:r>
      <w:r w:rsidR="00BB1B0A">
        <w:rPr>
          <w:rFonts w:cs="Arial"/>
        </w:rPr>
        <w:t>the Holt model</w:t>
      </w:r>
      <w:r w:rsidR="007A2883">
        <w:rPr>
          <w:rFonts w:cs="Arial"/>
        </w:rPr>
        <w:t xml:space="preserve"> from </w:t>
      </w:r>
      <w:r w:rsidR="00BB1B0A">
        <w:rPr>
          <w:rFonts w:cs="Arial"/>
        </w:rPr>
        <w:t>1085.0608</w:t>
      </w:r>
      <w:r w:rsidR="007A2883">
        <w:rPr>
          <w:rFonts w:cs="Arial"/>
        </w:rPr>
        <w:t xml:space="preserve"> to </w:t>
      </w:r>
      <w:r w:rsidR="00BB1B0A">
        <w:rPr>
          <w:rFonts w:cs="Arial"/>
        </w:rPr>
        <w:t>200.7651</w:t>
      </w:r>
      <w:r w:rsidR="00F64FA7">
        <w:rPr>
          <w:rFonts w:cs="Arial"/>
        </w:rPr>
        <w:t>.</w:t>
      </w:r>
    </w:p>
    <w:p w14:paraId="2F73F5E3" w14:textId="77777777" w:rsidR="001A6F85" w:rsidRDefault="008111D2" w:rsidP="001A6F85">
      <w:pPr>
        <w:keepNext/>
        <w:jc w:val="center"/>
      </w:pPr>
      <w:r>
        <w:rPr>
          <w:noProof/>
        </w:rPr>
        <w:drawing>
          <wp:inline distT="0" distB="0" distL="0" distR="0" wp14:anchorId="5C40702F" wp14:editId="0E693A53">
            <wp:extent cx="3766455" cy="1651000"/>
            <wp:effectExtent l="19050" t="19050" r="24765" b="25400"/>
            <wp:docPr id="804505863" name="Picture 1" descr="A table with numbers and a few dig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05863" name="Picture 1" descr="A table with numbers and a few digits&#10;&#10;Description automatically generated with medium confidence"/>
                    <pic:cNvPicPr/>
                  </pic:nvPicPr>
                  <pic:blipFill>
                    <a:blip r:embed="rId27"/>
                    <a:stretch>
                      <a:fillRect/>
                    </a:stretch>
                  </pic:blipFill>
                  <pic:spPr>
                    <a:xfrm>
                      <a:off x="0" y="0"/>
                      <a:ext cx="3780484" cy="1657150"/>
                    </a:xfrm>
                    <a:prstGeom prst="rect">
                      <a:avLst/>
                    </a:prstGeom>
                    <a:ln>
                      <a:solidFill>
                        <a:schemeClr val="accent1">
                          <a:lumMod val="20000"/>
                          <a:lumOff val="80000"/>
                        </a:schemeClr>
                      </a:solidFill>
                    </a:ln>
                  </pic:spPr>
                </pic:pic>
              </a:graphicData>
            </a:graphic>
          </wp:inline>
        </w:drawing>
      </w:r>
    </w:p>
    <w:p w14:paraId="6E1CAFC5" w14:textId="225EA905" w:rsidR="008111D2" w:rsidRDefault="00D337E4" w:rsidP="001A6F85">
      <w:pPr>
        <w:pStyle w:val="Caption"/>
        <w:jc w:val="center"/>
        <w:rPr>
          <w:rFonts w:cs="Arial"/>
        </w:rPr>
      </w:pPr>
      <w:r>
        <w:t>Figure_</w:t>
      </w:r>
      <w:fldSimple w:instr=" SEQ Figure \* ARABIC ">
        <w:r w:rsidR="007366A9">
          <w:rPr>
            <w:noProof/>
          </w:rPr>
          <w:t>19</w:t>
        </w:r>
      </w:fldSimple>
      <w:r w:rsidR="001A6F85">
        <w:t xml:space="preserve">: Static and Rolling </w:t>
      </w:r>
      <w:r w:rsidR="006B619F">
        <w:t>forecast measures</w:t>
      </w:r>
    </w:p>
    <w:p w14:paraId="789DB724" w14:textId="77777777" w:rsidR="008111D2" w:rsidRDefault="008111D2" w:rsidP="00E9030C">
      <w:pPr>
        <w:jc w:val="both"/>
        <w:rPr>
          <w:rFonts w:cs="Arial"/>
        </w:rPr>
      </w:pPr>
    </w:p>
    <w:p w14:paraId="6D98B6E9" w14:textId="6993C852" w:rsidR="00216CE0" w:rsidRDefault="00216CE0" w:rsidP="00E9030C">
      <w:pPr>
        <w:jc w:val="both"/>
        <w:rPr>
          <w:rFonts w:cs="Arial"/>
        </w:rPr>
      </w:pPr>
      <w:r w:rsidRPr="00216CE0">
        <w:rPr>
          <w:rFonts w:cs="Arial"/>
        </w:rPr>
        <w:t>Among the</w:t>
      </w:r>
      <w:r w:rsidR="009C5BA4">
        <w:rPr>
          <w:rFonts w:cs="Arial"/>
        </w:rPr>
        <w:t>se</w:t>
      </w:r>
      <w:r w:rsidRPr="00216CE0">
        <w:rPr>
          <w:rFonts w:cs="Arial"/>
        </w:rPr>
        <w:t xml:space="preserve"> models, the Rolling </w:t>
      </w:r>
      <w:r>
        <w:rPr>
          <w:rFonts w:cs="Arial"/>
        </w:rPr>
        <w:t>Holt</w:t>
      </w:r>
      <w:r w:rsidRPr="00216CE0">
        <w:rPr>
          <w:rFonts w:cs="Arial"/>
        </w:rPr>
        <w:t xml:space="preserve"> model demonstrates the best performance based on </w:t>
      </w:r>
      <w:r w:rsidR="00FB3A73">
        <w:rPr>
          <w:rFonts w:cs="Arial"/>
        </w:rPr>
        <w:t>all</w:t>
      </w:r>
      <w:r w:rsidRPr="00216CE0">
        <w:rPr>
          <w:rFonts w:cs="Arial"/>
        </w:rPr>
        <w:t xml:space="preserve"> metric</w:t>
      </w:r>
      <w:r w:rsidR="00FB3A73">
        <w:rPr>
          <w:rFonts w:cs="Arial"/>
        </w:rPr>
        <w:t>s</w:t>
      </w:r>
      <w:r w:rsidRPr="00216CE0">
        <w:rPr>
          <w:rFonts w:cs="Arial"/>
        </w:rPr>
        <w:t xml:space="preserve">. These values indicate that the Rolling </w:t>
      </w:r>
      <w:r>
        <w:rPr>
          <w:rFonts w:cs="Arial"/>
        </w:rPr>
        <w:t>Holt</w:t>
      </w:r>
      <w:r w:rsidRPr="00216CE0">
        <w:rPr>
          <w:rFonts w:cs="Arial"/>
        </w:rPr>
        <w:t xml:space="preserve"> model has the smallest overall prediction errors compared to the other models. Specifically, it outperforms the other rolling forecasting methods such as Rolling D</w:t>
      </w:r>
      <w:r>
        <w:rPr>
          <w:rFonts w:cs="Arial"/>
        </w:rPr>
        <w:t>rift</w:t>
      </w:r>
      <w:r w:rsidRPr="00216CE0">
        <w:rPr>
          <w:rFonts w:cs="Arial"/>
        </w:rPr>
        <w:t xml:space="preserve"> and Rolling </w:t>
      </w:r>
      <w:r>
        <w:rPr>
          <w:rFonts w:cs="Arial"/>
        </w:rPr>
        <w:t>ARIMA</w:t>
      </w:r>
      <w:r w:rsidRPr="00216CE0">
        <w:rPr>
          <w:rFonts w:cs="Arial"/>
        </w:rPr>
        <w:t>, as well as the static models including ARIMA, D</w:t>
      </w:r>
      <w:r>
        <w:rPr>
          <w:rFonts w:cs="Arial"/>
        </w:rPr>
        <w:t>rift</w:t>
      </w:r>
      <w:r w:rsidRPr="00216CE0">
        <w:rPr>
          <w:rFonts w:cs="Arial"/>
        </w:rPr>
        <w:t>, and H</w:t>
      </w:r>
      <w:r>
        <w:rPr>
          <w:rFonts w:cs="Arial"/>
        </w:rPr>
        <w:t>olt</w:t>
      </w:r>
      <w:r w:rsidRPr="00216CE0">
        <w:rPr>
          <w:rFonts w:cs="Arial"/>
        </w:rPr>
        <w:t xml:space="preserve">. Therefore, based on the provided evaluation metrics, the Rolling </w:t>
      </w:r>
      <w:r>
        <w:rPr>
          <w:rFonts w:cs="Arial"/>
        </w:rPr>
        <w:t>Holt</w:t>
      </w:r>
      <w:r w:rsidRPr="00216CE0">
        <w:rPr>
          <w:rFonts w:cs="Arial"/>
        </w:rPr>
        <w:t xml:space="preserve"> model emerges as the most effective choice for forecasting in this context.</w:t>
      </w:r>
      <w:r w:rsidR="00874FE5">
        <w:rPr>
          <w:rFonts w:cs="Arial"/>
        </w:rPr>
        <w:t xml:space="preserve"> The comparative forecast plot for all static and rolling forecast models are shown below in </w:t>
      </w:r>
      <w:r w:rsidR="00D337E4">
        <w:rPr>
          <w:rFonts w:cs="Arial"/>
        </w:rPr>
        <w:t>Figure_</w:t>
      </w:r>
      <w:r w:rsidR="00000C30">
        <w:rPr>
          <w:rFonts w:cs="Arial"/>
        </w:rPr>
        <w:t>20</w:t>
      </w:r>
      <w:r w:rsidR="00874FE5">
        <w:rPr>
          <w:rFonts w:cs="Arial"/>
        </w:rPr>
        <w:t>.</w:t>
      </w:r>
    </w:p>
    <w:p w14:paraId="1392BCBC" w14:textId="77777777" w:rsidR="00B8329E" w:rsidRDefault="00B8329E" w:rsidP="00B8329E">
      <w:pPr>
        <w:keepNext/>
        <w:jc w:val="center"/>
      </w:pPr>
      <w:r>
        <w:rPr>
          <w:noProof/>
        </w:rPr>
        <w:lastRenderedPageBreak/>
        <w:drawing>
          <wp:inline distT="0" distB="0" distL="0" distR="0" wp14:anchorId="333B6524" wp14:editId="7384C332">
            <wp:extent cx="5212080" cy="3765229"/>
            <wp:effectExtent l="19050" t="19050" r="26670" b="26035"/>
            <wp:docPr id="8394232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2080" cy="3765229"/>
                    </a:xfrm>
                    <a:prstGeom prst="rect">
                      <a:avLst/>
                    </a:prstGeom>
                    <a:noFill/>
                    <a:ln>
                      <a:solidFill>
                        <a:schemeClr val="accent1">
                          <a:lumMod val="20000"/>
                          <a:lumOff val="80000"/>
                        </a:schemeClr>
                      </a:solidFill>
                    </a:ln>
                  </pic:spPr>
                </pic:pic>
              </a:graphicData>
            </a:graphic>
          </wp:inline>
        </w:drawing>
      </w:r>
    </w:p>
    <w:p w14:paraId="4986D13B" w14:textId="6BE2AF34" w:rsidR="00FE7EA2" w:rsidRDefault="00D337E4" w:rsidP="00B8329E">
      <w:pPr>
        <w:pStyle w:val="Caption"/>
        <w:jc w:val="center"/>
      </w:pPr>
      <w:r>
        <w:t>Figure_</w:t>
      </w:r>
      <w:fldSimple w:instr=" SEQ Figure \* ARABIC ">
        <w:r w:rsidR="007366A9">
          <w:rPr>
            <w:noProof/>
          </w:rPr>
          <w:t>20</w:t>
        </w:r>
      </w:fldSimple>
      <w:r w:rsidR="00B8329E">
        <w:t>: Static vs Rolling forecast</w:t>
      </w:r>
      <w:r w:rsidR="006B619F">
        <w:t>s</w:t>
      </w:r>
    </w:p>
    <w:p w14:paraId="1AD1B79B" w14:textId="17BE701E" w:rsidR="00F14F52" w:rsidRDefault="00F14F52">
      <w:pPr>
        <w:rPr>
          <w:rFonts w:eastAsiaTheme="majorEastAsia" w:cs="Arial"/>
          <w:color w:val="0F4761" w:themeColor="accent1" w:themeShade="BF"/>
          <w:sz w:val="24"/>
          <w:szCs w:val="24"/>
        </w:rPr>
      </w:pPr>
    </w:p>
    <w:sectPr w:rsidR="00F14F52" w:rsidSect="005E430B">
      <w:footerReference w:type="default" r:id="rId29"/>
      <w:pgSz w:w="11906" w:h="16838"/>
      <w:pgMar w:top="1354" w:right="1728" w:bottom="1440" w:left="1728" w:header="706" w:footer="706"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0EA1C" w14:textId="77777777" w:rsidR="00473895" w:rsidRDefault="00473895" w:rsidP="00A13931">
      <w:pPr>
        <w:spacing w:after="0" w:line="240" w:lineRule="auto"/>
      </w:pPr>
      <w:r>
        <w:separator/>
      </w:r>
    </w:p>
  </w:endnote>
  <w:endnote w:type="continuationSeparator" w:id="0">
    <w:p w14:paraId="009D5FF0" w14:textId="77777777" w:rsidR="00473895" w:rsidRDefault="00473895" w:rsidP="00A13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Kozuka Gothic Pro B">
    <w:altName w:val="MS Gothic"/>
    <w:panose1 w:val="00000000000000000000"/>
    <w:charset w:val="80"/>
    <w:family w:val="swiss"/>
    <w:notTrueType/>
    <w:pitch w:val="variable"/>
    <w:sig w:usb0="00000000" w:usb1="2AC71C11" w:usb2="00000012" w:usb3="00000000" w:csb0="00020005"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4261078"/>
      <w:docPartObj>
        <w:docPartGallery w:val="Page Numbers (Bottom of Page)"/>
        <w:docPartUnique/>
      </w:docPartObj>
    </w:sdtPr>
    <w:sdtEndPr>
      <w:rPr>
        <w:color w:val="7F7F7F" w:themeColor="background1" w:themeShade="7F"/>
        <w:spacing w:val="60"/>
      </w:rPr>
    </w:sdtEndPr>
    <w:sdtContent>
      <w:p w14:paraId="76388B38" w14:textId="1EC5D275" w:rsidR="00D407DD" w:rsidRDefault="00D407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3DE79A" w14:textId="77777777" w:rsidR="00D407DD" w:rsidRDefault="00D40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6DB20" w14:textId="77777777" w:rsidR="00473895" w:rsidRDefault="00473895" w:rsidP="00A13931">
      <w:pPr>
        <w:spacing w:after="0" w:line="240" w:lineRule="auto"/>
      </w:pPr>
      <w:r>
        <w:separator/>
      </w:r>
    </w:p>
  </w:footnote>
  <w:footnote w:type="continuationSeparator" w:id="0">
    <w:p w14:paraId="464BED79" w14:textId="77777777" w:rsidR="00473895" w:rsidRDefault="00473895" w:rsidP="00A13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47CEF"/>
    <w:multiLevelType w:val="hybridMultilevel"/>
    <w:tmpl w:val="502E6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F22C13"/>
    <w:multiLevelType w:val="hybridMultilevel"/>
    <w:tmpl w:val="39DE5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B4543"/>
    <w:multiLevelType w:val="hybridMultilevel"/>
    <w:tmpl w:val="C02A9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C273C3"/>
    <w:multiLevelType w:val="hybridMultilevel"/>
    <w:tmpl w:val="7BFCD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6B2971"/>
    <w:multiLevelType w:val="hybridMultilevel"/>
    <w:tmpl w:val="28D25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963C04"/>
    <w:multiLevelType w:val="hybridMultilevel"/>
    <w:tmpl w:val="568A8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9C2F84"/>
    <w:multiLevelType w:val="multilevel"/>
    <w:tmpl w:val="3DD451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B616E7"/>
    <w:multiLevelType w:val="hybridMultilevel"/>
    <w:tmpl w:val="C60C5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BC6D5E"/>
    <w:multiLevelType w:val="multilevel"/>
    <w:tmpl w:val="1324B7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2077651">
    <w:abstractNumId w:val="8"/>
  </w:num>
  <w:num w:numId="2" w16cid:durableId="1083138560">
    <w:abstractNumId w:val="6"/>
  </w:num>
  <w:num w:numId="3" w16cid:durableId="455679405">
    <w:abstractNumId w:val="3"/>
  </w:num>
  <w:num w:numId="4" w16cid:durableId="1267613664">
    <w:abstractNumId w:val="5"/>
  </w:num>
  <w:num w:numId="5" w16cid:durableId="240726046">
    <w:abstractNumId w:val="2"/>
  </w:num>
  <w:num w:numId="6" w16cid:durableId="1209875817">
    <w:abstractNumId w:val="1"/>
  </w:num>
  <w:num w:numId="7" w16cid:durableId="1644237628">
    <w:abstractNumId w:val="0"/>
  </w:num>
  <w:num w:numId="8" w16cid:durableId="537165406">
    <w:abstractNumId w:val="4"/>
  </w:num>
  <w:num w:numId="9" w16cid:durableId="5154604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DD"/>
    <w:rsid w:val="00000C30"/>
    <w:rsid w:val="000034A8"/>
    <w:rsid w:val="00004DE3"/>
    <w:rsid w:val="000057AA"/>
    <w:rsid w:val="000248AC"/>
    <w:rsid w:val="00025AC0"/>
    <w:rsid w:val="00031D65"/>
    <w:rsid w:val="000370B0"/>
    <w:rsid w:val="00050350"/>
    <w:rsid w:val="000616C0"/>
    <w:rsid w:val="00062DF7"/>
    <w:rsid w:val="0006380E"/>
    <w:rsid w:val="000652B1"/>
    <w:rsid w:val="00072635"/>
    <w:rsid w:val="00072EC8"/>
    <w:rsid w:val="00085B3C"/>
    <w:rsid w:val="00091C85"/>
    <w:rsid w:val="00094634"/>
    <w:rsid w:val="000A0F00"/>
    <w:rsid w:val="000A3831"/>
    <w:rsid w:val="000B5F0E"/>
    <w:rsid w:val="000C1073"/>
    <w:rsid w:val="000C2E05"/>
    <w:rsid w:val="000C315D"/>
    <w:rsid w:val="000C79F5"/>
    <w:rsid w:val="000D5AB2"/>
    <w:rsid w:val="000E69B7"/>
    <w:rsid w:val="000F4A80"/>
    <w:rsid w:val="000F5644"/>
    <w:rsid w:val="00113ABC"/>
    <w:rsid w:val="0011443D"/>
    <w:rsid w:val="00114EE1"/>
    <w:rsid w:val="00115751"/>
    <w:rsid w:val="00117D4C"/>
    <w:rsid w:val="00121177"/>
    <w:rsid w:val="001235B1"/>
    <w:rsid w:val="00127D4A"/>
    <w:rsid w:val="00132A64"/>
    <w:rsid w:val="00132F79"/>
    <w:rsid w:val="00133109"/>
    <w:rsid w:val="00143BBE"/>
    <w:rsid w:val="0015768C"/>
    <w:rsid w:val="00172C7D"/>
    <w:rsid w:val="00172D16"/>
    <w:rsid w:val="00174426"/>
    <w:rsid w:val="001852EE"/>
    <w:rsid w:val="0018549F"/>
    <w:rsid w:val="001859CD"/>
    <w:rsid w:val="00185BB1"/>
    <w:rsid w:val="00186360"/>
    <w:rsid w:val="00193709"/>
    <w:rsid w:val="00196ED1"/>
    <w:rsid w:val="001A6F85"/>
    <w:rsid w:val="001B2697"/>
    <w:rsid w:val="001B594E"/>
    <w:rsid w:val="001B67A8"/>
    <w:rsid w:val="001D03DC"/>
    <w:rsid w:val="001D51B1"/>
    <w:rsid w:val="001D7D7C"/>
    <w:rsid w:val="001E3ACC"/>
    <w:rsid w:val="001E6137"/>
    <w:rsid w:val="001F3D65"/>
    <w:rsid w:val="001F5B58"/>
    <w:rsid w:val="00204FB7"/>
    <w:rsid w:val="0020581F"/>
    <w:rsid w:val="00206414"/>
    <w:rsid w:val="0021050D"/>
    <w:rsid w:val="0021398D"/>
    <w:rsid w:val="00216CE0"/>
    <w:rsid w:val="00217DBC"/>
    <w:rsid w:val="0022131A"/>
    <w:rsid w:val="00221FFF"/>
    <w:rsid w:val="00225DA6"/>
    <w:rsid w:val="00236700"/>
    <w:rsid w:val="00243547"/>
    <w:rsid w:val="00246193"/>
    <w:rsid w:val="00252B96"/>
    <w:rsid w:val="00252EAF"/>
    <w:rsid w:val="002666B7"/>
    <w:rsid w:val="002731AD"/>
    <w:rsid w:val="00280791"/>
    <w:rsid w:val="00290E47"/>
    <w:rsid w:val="002A1B26"/>
    <w:rsid w:val="002A404E"/>
    <w:rsid w:val="002B22D5"/>
    <w:rsid w:val="002B23ED"/>
    <w:rsid w:val="002B2F03"/>
    <w:rsid w:val="002C5433"/>
    <w:rsid w:val="002E2AA0"/>
    <w:rsid w:val="002E356D"/>
    <w:rsid w:val="002E5015"/>
    <w:rsid w:val="002F463B"/>
    <w:rsid w:val="0030266E"/>
    <w:rsid w:val="00304CE4"/>
    <w:rsid w:val="00305A62"/>
    <w:rsid w:val="003236F0"/>
    <w:rsid w:val="00323BC1"/>
    <w:rsid w:val="00335E06"/>
    <w:rsid w:val="00340560"/>
    <w:rsid w:val="00344A54"/>
    <w:rsid w:val="00350E49"/>
    <w:rsid w:val="003535F5"/>
    <w:rsid w:val="00353C3E"/>
    <w:rsid w:val="00354D4B"/>
    <w:rsid w:val="003617C4"/>
    <w:rsid w:val="00364CF9"/>
    <w:rsid w:val="00375823"/>
    <w:rsid w:val="00380707"/>
    <w:rsid w:val="00381E87"/>
    <w:rsid w:val="00392920"/>
    <w:rsid w:val="00397A22"/>
    <w:rsid w:val="003A4A61"/>
    <w:rsid w:val="003B1D2B"/>
    <w:rsid w:val="003B3478"/>
    <w:rsid w:val="003B6045"/>
    <w:rsid w:val="003B6605"/>
    <w:rsid w:val="003B7C7D"/>
    <w:rsid w:val="003C2C40"/>
    <w:rsid w:val="003C692C"/>
    <w:rsid w:val="003D2FB3"/>
    <w:rsid w:val="003D3319"/>
    <w:rsid w:val="003D5F78"/>
    <w:rsid w:val="003D731E"/>
    <w:rsid w:val="003E0CF8"/>
    <w:rsid w:val="003F26F0"/>
    <w:rsid w:val="00410EAE"/>
    <w:rsid w:val="0041125E"/>
    <w:rsid w:val="00413DFC"/>
    <w:rsid w:val="00420D45"/>
    <w:rsid w:val="0042189A"/>
    <w:rsid w:val="0043116A"/>
    <w:rsid w:val="004320CE"/>
    <w:rsid w:val="004352E2"/>
    <w:rsid w:val="004362CB"/>
    <w:rsid w:val="00441280"/>
    <w:rsid w:val="004428E6"/>
    <w:rsid w:val="00454135"/>
    <w:rsid w:val="004571E8"/>
    <w:rsid w:val="00460F04"/>
    <w:rsid w:val="00471500"/>
    <w:rsid w:val="00473895"/>
    <w:rsid w:val="00477217"/>
    <w:rsid w:val="004816C1"/>
    <w:rsid w:val="004A34A0"/>
    <w:rsid w:val="004A4A47"/>
    <w:rsid w:val="004B4B74"/>
    <w:rsid w:val="004B70F2"/>
    <w:rsid w:val="004B7CF3"/>
    <w:rsid w:val="004C20E2"/>
    <w:rsid w:val="004C2F6D"/>
    <w:rsid w:val="004C6964"/>
    <w:rsid w:val="004C7049"/>
    <w:rsid w:val="004D0EC3"/>
    <w:rsid w:val="004D0F3E"/>
    <w:rsid w:val="004D35B1"/>
    <w:rsid w:val="004D4E30"/>
    <w:rsid w:val="004E0D64"/>
    <w:rsid w:val="004E271A"/>
    <w:rsid w:val="004E30C4"/>
    <w:rsid w:val="004E6723"/>
    <w:rsid w:val="004E74C9"/>
    <w:rsid w:val="004F3610"/>
    <w:rsid w:val="004F5594"/>
    <w:rsid w:val="004F63EB"/>
    <w:rsid w:val="00501BE7"/>
    <w:rsid w:val="005070B6"/>
    <w:rsid w:val="00517ED7"/>
    <w:rsid w:val="00521815"/>
    <w:rsid w:val="00530130"/>
    <w:rsid w:val="0053264E"/>
    <w:rsid w:val="005559E8"/>
    <w:rsid w:val="00563C77"/>
    <w:rsid w:val="00567EA7"/>
    <w:rsid w:val="00571325"/>
    <w:rsid w:val="005808AD"/>
    <w:rsid w:val="00586B14"/>
    <w:rsid w:val="00593AC9"/>
    <w:rsid w:val="00594927"/>
    <w:rsid w:val="005A718C"/>
    <w:rsid w:val="005B61AB"/>
    <w:rsid w:val="005C2DFA"/>
    <w:rsid w:val="005D002E"/>
    <w:rsid w:val="005D0E5B"/>
    <w:rsid w:val="005D79F8"/>
    <w:rsid w:val="005D7A8B"/>
    <w:rsid w:val="005E430B"/>
    <w:rsid w:val="005E6F87"/>
    <w:rsid w:val="006005AF"/>
    <w:rsid w:val="00603B98"/>
    <w:rsid w:val="00606A1C"/>
    <w:rsid w:val="006124D4"/>
    <w:rsid w:val="00613A7A"/>
    <w:rsid w:val="0063269E"/>
    <w:rsid w:val="00636C54"/>
    <w:rsid w:val="00647221"/>
    <w:rsid w:val="006564AE"/>
    <w:rsid w:val="00664DEC"/>
    <w:rsid w:val="0066623F"/>
    <w:rsid w:val="00673AA0"/>
    <w:rsid w:val="00674451"/>
    <w:rsid w:val="0067527B"/>
    <w:rsid w:val="00676E83"/>
    <w:rsid w:val="006855F7"/>
    <w:rsid w:val="0069509A"/>
    <w:rsid w:val="006A0736"/>
    <w:rsid w:val="006A2DC3"/>
    <w:rsid w:val="006A4F21"/>
    <w:rsid w:val="006B3448"/>
    <w:rsid w:val="006B3C88"/>
    <w:rsid w:val="006B619F"/>
    <w:rsid w:val="006D14BB"/>
    <w:rsid w:val="006F4FC8"/>
    <w:rsid w:val="006F6C02"/>
    <w:rsid w:val="006F747D"/>
    <w:rsid w:val="00700072"/>
    <w:rsid w:val="00721ECA"/>
    <w:rsid w:val="007251D0"/>
    <w:rsid w:val="007266B1"/>
    <w:rsid w:val="00732C04"/>
    <w:rsid w:val="007366A9"/>
    <w:rsid w:val="00736FEF"/>
    <w:rsid w:val="00740E22"/>
    <w:rsid w:val="007443CA"/>
    <w:rsid w:val="007459B8"/>
    <w:rsid w:val="00745EC5"/>
    <w:rsid w:val="0075434F"/>
    <w:rsid w:val="00754A0A"/>
    <w:rsid w:val="00755DFD"/>
    <w:rsid w:val="00760310"/>
    <w:rsid w:val="00777642"/>
    <w:rsid w:val="00777730"/>
    <w:rsid w:val="00785FEF"/>
    <w:rsid w:val="00791259"/>
    <w:rsid w:val="00791692"/>
    <w:rsid w:val="00793330"/>
    <w:rsid w:val="00793A0D"/>
    <w:rsid w:val="007A2883"/>
    <w:rsid w:val="007B09C7"/>
    <w:rsid w:val="007B26EB"/>
    <w:rsid w:val="007B6944"/>
    <w:rsid w:val="007C699A"/>
    <w:rsid w:val="007D091D"/>
    <w:rsid w:val="007D604C"/>
    <w:rsid w:val="007E7054"/>
    <w:rsid w:val="007F4118"/>
    <w:rsid w:val="007F433D"/>
    <w:rsid w:val="007F4BF5"/>
    <w:rsid w:val="0080354F"/>
    <w:rsid w:val="008041D9"/>
    <w:rsid w:val="008077C8"/>
    <w:rsid w:val="00810012"/>
    <w:rsid w:val="008102F1"/>
    <w:rsid w:val="00810D54"/>
    <w:rsid w:val="008111D2"/>
    <w:rsid w:val="0081372D"/>
    <w:rsid w:val="00820393"/>
    <w:rsid w:val="00822C74"/>
    <w:rsid w:val="00830900"/>
    <w:rsid w:val="00836312"/>
    <w:rsid w:val="00841552"/>
    <w:rsid w:val="00842B99"/>
    <w:rsid w:val="00843ED2"/>
    <w:rsid w:val="00844EBB"/>
    <w:rsid w:val="008458D9"/>
    <w:rsid w:val="00846C7A"/>
    <w:rsid w:val="00852388"/>
    <w:rsid w:val="00857351"/>
    <w:rsid w:val="00860761"/>
    <w:rsid w:val="0086386B"/>
    <w:rsid w:val="00874FE5"/>
    <w:rsid w:val="00885478"/>
    <w:rsid w:val="00887E14"/>
    <w:rsid w:val="00890572"/>
    <w:rsid w:val="008933E9"/>
    <w:rsid w:val="008939C4"/>
    <w:rsid w:val="00893D69"/>
    <w:rsid w:val="008C022F"/>
    <w:rsid w:val="008D3657"/>
    <w:rsid w:val="008D41EC"/>
    <w:rsid w:val="008E0ACF"/>
    <w:rsid w:val="008F43AC"/>
    <w:rsid w:val="00901140"/>
    <w:rsid w:val="0090752C"/>
    <w:rsid w:val="00914F00"/>
    <w:rsid w:val="00920D27"/>
    <w:rsid w:val="00924C29"/>
    <w:rsid w:val="00927C0A"/>
    <w:rsid w:val="00930290"/>
    <w:rsid w:val="0093514F"/>
    <w:rsid w:val="009400A3"/>
    <w:rsid w:val="00943C62"/>
    <w:rsid w:val="00943E14"/>
    <w:rsid w:val="009506C2"/>
    <w:rsid w:val="00951736"/>
    <w:rsid w:val="00954A96"/>
    <w:rsid w:val="009626BD"/>
    <w:rsid w:val="00970332"/>
    <w:rsid w:val="00970F89"/>
    <w:rsid w:val="0097453B"/>
    <w:rsid w:val="0097608C"/>
    <w:rsid w:val="00980ECD"/>
    <w:rsid w:val="00984497"/>
    <w:rsid w:val="00985495"/>
    <w:rsid w:val="00997B4C"/>
    <w:rsid w:val="009A2649"/>
    <w:rsid w:val="009A3FAE"/>
    <w:rsid w:val="009A4927"/>
    <w:rsid w:val="009B3369"/>
    <w:rsid w:val="009B464F"/>
    <w:rsid w:val="009C5BA4"/>
    <w:rsid w:val="009D4125"/>
    <w:rsid w:val="009D6606"/>
    <w:rsid w:val="009E1E22"/>
    <w:rsid w:val="009F66D1"/>
    <w:rsid w:val="00A00C22"/>
    <w:rsid w:val="00A13931"/>
    <w:rsid w:val="00A21960"/>
    <w:rsid w:val="00A22877"/>
    <w:rsid w:val="00A36E26"/>
    <w:rsid w:val="00A4133B"/>
    <w:rsid w:val="00A438D5"/>
    <w:rsid w:val="00A54F22"/>
    <w:rsid w:val="00A5576F"/>
    <w:rsid w:val="00A56A25"/>
    <w:rsid w:val="00A637D3"/>
    <w:rsid w:val="00A715ED"/>
    <w:rsid w:val="00A92A47"/>
    <w:rsid w:val="00A9679E"/>
    <w:rsid w:val="00AA7CCA"/>
    <w:rsid w:val="00AB0DF2"/>
    <w:rsid w:val="00AC1A4F"/>
    <w:rsid w:val="00AC536E"/>
    <w:rsid w:val="00AC6B1D"/>
    <w:rsid w:val="00AD149F"/>
    <w:rsid w:val="00AD1620"/>
    <w:rsid w:val="00AD1EAB"/>
    <w:rsid w:val="00AD733F"/>
    <w:rsid w:val="00AE5E99"/>
    <w:rsid w:val="00B0382C"/>
    <w:rsid w:val="00B04B24"/>
    <w:rsid w:val="00B0524D"/>
    <w:rsid w:val="00B11A6D"/>
    <w:rsid w:val="00B14A4D"/>
    <w:rsid w:val="00B161A8"/>
    <w:rsid w:val="00B17E8D"/>
    <w:rsid w:val="00B43BD4"/>
    <w:rsid w:val="00B45458"/>
    <w:rsid w:val="00B47D57"/>
    <w:rsid w:val="00B5167C"/>
    <w:rsid w:val="00B572FA"/>
    <w:rsid w:val="00B614E4"/>
    <w:rsid w:val="00B66E81"/>
    <w:rsid w:val="00B7076B"/>
    <w:rsid w:val="00B72FC3"/>
    <w:rsid w:val="00B74182"/>
    <w:rsid w:val="00B8329E"/>
    <w:rsid w:val="00B839CE"/>
    <w:rsid w:val="00B942DE"/>
    <w:rsid w:val="00BA6B2B"/>
    <w:rsid w:val="00BA79BA"/>
    <w:rsid w:val="00BB1B0A"/>
    <w:rsid w:val="00BB1D0C"/>
    <w:rsid w:val="00BB57A0"/>
    <w:rsid w:val="00BC6D93"/>
    <w:rsid w:val="00BD2D9B"/>
    <w:rsid w:val="00BD4FC6"/>
    <w:rsid w:val="00BE046E"/>
    <w:rsid w:val="00BE3F9B"/>
    <w:rsid w:val="00BF158A"/>
    <w:rsid w:val="00BF5006"/>
    <w:rsid w:val="00BF63C3"/>
    <w:rsid w:val="00C06297"/>
    <w:rsid w:val="00C10F66"/>
    <w:rsid w:val="00C125D8"/>
    <w:rsid w:val="00C2067E"/>
    <w:rsid w:val="00C22D70"/>
    <w:rsid w:val="00C24BD6"/>
    <w:rsid w:val="00C25941"/>
    <w:rsid w:val="00C35D8C"/>
    <w:rsid w:val="00C363C4"/>
    <w:rsid w:val="00C409FF"/>
    <w:rsid w:val="00C475A6"/>
    <w:rsid w:val="00C51DA5"/>
    <w:rsid w:val="00C64AA5"/>
    <w:rsid w:val="00C675D4"/>
    <w:rsid w:val="00C70044"/>
    <w:rsid w:val="00C71F23"/>
    <w:rsid w:val="00C72298"/>
    <w:rsid w:val="00C726D0"/>
    <w:rsid w:val="00C73A47"/>
    <w:rsid w:val="00C84126"/>
    <w:rsid w:val="00C92D21"/>
    <w:rsid w:val="00CA6E6F"/>
    <w:rsid w:val="00CB27D9"/>
    <w:rsid w:val="00CB5117"/>
    <w:rsid w:val="00CD1F2F"/>
    <w:rsid w:val="00CD4CC4"/>
    <w:rsid w:val="00CE5BC3"/>
    <w:rsid w:val="00CE7609"/>
    <w:rsid w:val="00CF3632"/>
    <w:rsid w:val="00CF49C7"/>
    <w:rsid w:val="00CF6256"/>
    <w:rsid w:val="00D03FFB"/>
    <w:rsid w:val="00D11A86"/>
    <w:rsid w:val="00D14049"/>
    <w:rsid w:val="00D16971"/>
    <w:rsid w:val="00D322F1"/>
    <w:rsid w:val="00D337E4"/>
    <w:rsid w:val="00D407DD"/>
    <w:rsid w:val="00D42C53"/>
    <w:rsid w:val="00D44ED7"/>
    <w:rsid w:val="00D46FB3"/>
    <w:rsid w:val="00D47B68"/>
    <w:rsid w:val="00D55F21"/>
    <w:rsid w:val="00D56C1C"/>
    <w:rsid w:val="00D61722"/>
    <w:rsid w:val="00D65E92"/>
    <w:rsid w:val="00D66141"/>
    <w:rsid w:val="00D81F7F"/>
    <w:rsid w:val="00D8252B"/>
    <w:rsid w:val="00D83594"/>
    <w:rsid w:val="00D83791"/>
    <w:rsid w:val="00D916EB"/>
    <w:rsid w:val="00D92E00"/>
    <w:rsid w:val="00D95C3F"/>
    <w:rsid w:val="00DB1450"/>
    <w:rsid w:val="00DB2727"/>
    <w:rsid w:val="00DB6ED0"/>
    <w:rsid w:val="00DD1941"/>
    <w:rsid w:val="00DD3747"/>
    <w:rsid w:val="00DE0B86"/>
    <w:rsid w:val="00DE1BB4"/>
    <w:rsid w:val="00DE2930"/>
    <w:rsid w:val="00DF10AC"/>
    <w:rsid w:val="00DF384D"/>
    <w:rsid w:val="00DF7C3E"/>
    <w:rsid w:val="00E00354"/>
    <w:rsid w:val="00E03F34"/>
    <w:rsid w:val="00E173DF"/>
    <w:rsid w:val="00E21A3D"/>
    <w:rsid w:val="00E30A1E"/>
    <w:rsid w:val="00E46331"/>
    <w:rsid w:val="00E51FCA"/>
    <w:rsid w:val="00E5257A"/>
    <w:rsid w:val="00E71B05"/>
    <w:rsid w:val="00E72C91"/>
    <w:rsid w:val="00E9030C"/>
    <w:rsid w:val="00E94C79"/>
    <w:rsid w:val="00EA57EA"/>
    <w:rsid w:val="00EA5E0F"/>
    <w:rsid w:val="00EB20F4"/>
    <w:rsid w:val="00EB267A"/>
    <w:rsid w:val="00EC4614"/>
    <w:rsid w:val="00EC62EF"/>
    <w:rsid w:val="00EC67B5"/>
    <w:rsid w:val="00ED4718"/>
    <w:rsid w:val="00ED737E"/>
    <w:rsid w:val="00EE40EC"/>
    <w:rsid w:val="00EE490C"/>
    <w:rsid w:val="00EF121C"/>
    <w:rsid w:val="00EF3E9A"/>
    <w:rsid w:val="00F0416F"/>
    <w:rsid w:val="00F058E0"/>
    <w:rsid w:val="00F104C7"/>
    <w:rsid w:val="00F1273C"/>
    <w:rsid w:val="00F14F52"/>
    <w:rsid w:val="00F24DA7"/>
    <w:rsid w:val="00F27343"/>
    <w:rsid w:val="00F3565C"/>
    <w:rsid w:val="00F4347C"/>
    <w:rsid w:val="00F45FBA"/>
    <w:rsid w:val="00F55C9C"/>
    <w:rsid w:val="00F61070"/>
    <w:rsid w:val="00F64FA7"/>
    <w:rsid w:val="00F7370A"/>
    <w:rsid w:val="00F7674B"/>
    <w:rsid w:val="00F91764"/>
    <w:rsid w:val="00F93C26"/>
    <w:rsid w:val="00FA1BBA"/>
    <w:rsid w:val="00FA3905"/>
    <w:rsid w:val="00FB3A73"/>
    <w:rsid w:val="00FB3E8B"/>
    <w:rsid w:val="00FB6A8A"/>
    <w:rsid w:val="00FC3150"/>
    <w:rsid w:val="00FD6325"/>
    <w:rsid w:val="00FD6F24"/>
    <w:rsid w:val="00FE7EA2"/>
    <w:rsid w:val="00FF43DA"/>
    <w:rsid w:val="00FF5522"/>
    <w:rsid w:val="00FF6614"/>
    <w:rsid w:val="00FF7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2FDA"/>
  <w15:docId w15:val="{2312B9F8-D971-4E08-884A-FE7DC715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ptos" w:hAnsi="Arial" w:cs="Aptos"/>
        <w:sz w:val="22"/>
        <w:szCs w:val="22"/>
        <w:lang w:val="en-GB" w:eastAsia="en-GB"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4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4D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D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D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4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4D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4D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4D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D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D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D28"/>
    <w:rPr>
      <w:rFonts w:eastAsiaTheme="majorEastAsia" w:cstheme="majorBidi"/>
      <w:color w:val="272727" w:themeColor="text1" w:themeTint="D8"/>
    </w:rPr>
  </w:style>
  <w:style w:type="character" w:customStyle="1" w:styleId="TitleChar">
    <w:name w:val="Title Char"/>
    <w:basedOn w:val="DefaultParagraphFont"/>
    <w:link w:val="Title"/>
    <w:uiPriority w:val="10"/>
    <w:rsid w:val="00694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94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D28"/>
    <w:pPr>
      <w:spacing w:before="160"/>
      <w:jc w:val="center"/>
    </w:pPr>
    <w:rPr>
      <w:i/>
      <w:iCs/>
      <w:color w:val="404040" w:themeColor="text1" w:themeTint="BF"/>
    </w:rPr>
  </w:style>
  <w:style w:type="character" w:customStyle="1" w:styleId="QuoteChar">
    <w:name w:val="Quote Char"/>
    <w:basedOn w:val="DefaultParagraphFont"/>
    <w:link w:val="Quote"/>
    <w:uiPriority w:val="29"/>
    <w:rsid w:val="00694D28"/>
    <w:rPr>
      <w:i/>
      <w:iCs/>
      <w:color w:val="404040" w:themeColor="text1" w:themeTint="BF"/>
    </w:rPr>
  </w:style>
  <w:style w:type="paragraph" w:styleId="ListParagraph">
    <w:name w:val="List Paragraph"/>
    <w:basedOn w:val="Normal"/>
    <w:uiPriority w:val="34"/>
    <w:qFormat/>
    <w:rsid w:val="00694D28"/>
    <w:pPr>
      <w:ind w:left="720"/>
      <w:contextualSpacing/>
    </w:pPr>
  </w:style>
  <w:style w:type="character" w:styleId="IntenseEmphasis">
    <w:name w:val="Intense Emphasis"/>
    <w:basedOn w:val="DefaultParagraphFont"/>
    <w:uiPriority w:val="21"/>
    <w:qFormat/>
    <w:rsid w:val="00694D28"/>
    <w:rPr>
      <w:i/>
      <w:iCs/>
      <w:color w:val="0F4761" w:themeColor="accent1" w:themeShade="BF"/>
    </w:rPr>
  </w:style>
  <w:style w:type="paragraph" w:styleId="IntenseQuote">
    <w:name w:val="Intense Quote"/>
    <w:basedOn w:val="Normal"/>
    <w:next w:val="Normal"/>
    <w:link w:val="IntenseQuoteChar"/>
    <w:uiPriority w:val="30"/>
    <w:qFormat/>
    <w:rsid w:val="00694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D28"/>
    <w:rPr>
      <w:i/>
      <w:iCs/>
      <w:color w:val="0F4761" w:themeColor="accent1" w:themeShade="BF"/>
    </w:rPr>
  </w:style>
  <w:style w:type="character" w:styleId="IntenseReference">
    <w:name w:val="Intense Reference"/>
    <w:basedOn w:val="DefaultParagraphFont"/>
    <w:uiPriority w:val="32"/>
    <w:qFormat/>
    <w:rsid w:val="00694D28"/>
    <w:rPr>
      <w:b/>
      <w:bCs/>
      <w:smallCaps/>
      <w:color w:val="0F4761" w:themeColor="accent1" w:themeShade="BF"/>
      <w:spacing w:val="5"/>
    </w:rPr>
  </w:style>
  <w:style w:type="table" w:styleId="TableGrid">
    <w:name w:val="Table Grid"/>
    <w:basedOn w:val="TableNormal"/>
    <w:rsid w:val="007D4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link w:val="SectionTitleChar"/>
    <w:qFormat/>
    <w:rsid w:val="007D4950"/>
    <w:pPr>
      <w:framePr w:hSpace="180" w:wrap="around" w:vAnchor="text" w:hAnchor="text" w:x="108" w:y="1"/>
      <w:spacing w:after="0" w:line="240" w:lineRule="auto"/>
      <w:suppressOverlap/>
      <w:jc w:val="center"/>
    </w:pPr>
    <w:rPr>
      <w:rFonts w:ascii="Kozuka Gothic Pro B" w:eastAsia="Times New Roman" w:hAnsi="Kozuka Gothic Pro B" w:cs="Times New Roman"/>
      <w:b/>
      <w:color w:val="403152"/>
      <w:sz w:val="24"/>
    </w:rPr>
  </w:style>
  <w:style w:type="character" w:customStyle="1" w:styleId="SectionTitleChar">
    <w:name w:val="Section Title Char"/>
    <w:link w:val="SectionTitle"/>
    <w:rsid w:val="007D4950"/>
    <w:rPr>
      <w:rFonts w:ascii="Kozuka Gothic Pro B" w:eastAsia="Times New Roman" w:hAnsi="Kozuka Gothic Pro B" w:cs="Times New Roman"/>
      <w:b/>
      <w:color w:val="403152"/>
      <w:kern w:val="0"/>
      <w:sz w:val="24"/>
      <w:lang w:val="en-GB" w:eastAsia="en-GB"/>
    </w:rPr>
  </w:style>
  <w:style w:type="paragraph" w:customStyle="1" w:styleId="PartyorEventName">
    <w:name w:val="Party or Event Name"/>
    <w:basedOn w:val="Normal"/>
    <w:link w:val="PartyorEventNameChar"/>
    <w:qFormat/>
    <w:rsid w:val="007D4950"/>
    <w:pPr>
      <w:spacing w:after="0" w:line="240" w:lineRule="auto"/>
    </w:pPr>
    <w:rPr>
      <w:rFonts w:ascii="Candara" w:eastAsia="Times New Roman" w:hAnsi="Candara" w:cs="Times New Roman"/>
      <w:noProof/>
      <w:color w:val="0D0D0D"/>
      <w:sz w:val="20"/>
    </w:rPr>
  </w:style>
  <w:style w:type="character" w:customStyle="1" w:styleId="PartyorEventNameChar">
    <w:name w:val="Party or Event Name Char"/>
    <w:link w:val="PartyorEventName"/>
    <w:rsid w:val="007D4950"/>
    <w:rPr>
      <w:rFonts w:ascii="Candara" w:eastAsia="Times New Roman" w:hAnsi="Candara" w:cs="Times New Roman"/>
      <w:noProof/>
      <w:color w:val="0D0D0D"/>
      <w:kern w:val="0"/>
      <w:sz w:val="20"/>
      <w:lang w:val="en-GB" w:eastAsia="en-GB"/>
    </w:rPr>
  </w:style>
  <w:style w:type="character" w:styleId="Hyperlink">
    <w:name w:val="Hyperlink"/>
    <w:basedOn w:val="DefaultParagraphFont"/>
    <w:uiPriority w:val="99"/>
    <w:unhideWhenUsed/>
    <w:rsid w:val="007D4950"/>
    <w:rPr>
      <w:color w:val="467886" w:themeColor="hyperlink"/>
      <w:u w:val="single"/>
    </w:rPr>
  </w:style>
  <w:style w:type="character" w:styleId="UnresolvedMention">
    <w:name w:val="Unresolved Mention"/>
    <w:basedOn w:val="DefaultParagraphFont"/>
    <w:uiPriority w:val="99"/>
    <w:semiHidden/>
    <w:unhideWhenUsed/>
    <w:rsid w:val="00414C9D"/>
    <w:rPr>
      <w:color w:val="605E5C"/>
      <w:shd w:val="clear" w:color="auto" w:fill="E1DFDD"/>
    </w:rPr>
  </w:style>
  <w:style w:type="paragraph" w:styleId="TOCHeading">
    <w:name w:val="TOC Heading"/>
    <w:basedOn w:val="Heading1"/>
    <w:next w:val="Normal"/>
    <w:uiPriority w:val="39"/>
    <w:unhideWhenUsed/>
    <w:qFormat/>
    <w:rsid w:val="002568E6"/>
    <w:pPr>
      <w:spacing w:before="240" w:after="0"/>
      <w:outlineLvl w:val="9"/>
    </w:pPr>
    <w:rPr>
      <w:sz w:val="32"/>
      <w:szCs w:val="32"/>
    </w:rPr>
  </w:style>
  <w:style w:type="paragraph" w:styleId="TOC2">
    <w:name w:val="toc 2"/>
    <w:basedOn w:val="Normal"/>
    <w:next w:val="Normal"/>
    <w:autoRedefine/>
    <w:uiPriority w:val="39"/>
    <w:unhideWhenUsed/>
    <w:rsid w:val="002568E6"/>
    <w:pPr>
      <w:spacing w:after="100"/>
      <w:ind w:left="220"/>
    </w:pPr>
  </w:style>
  <w:style w:type="paragraph" w:styleId="TOC3">
    <w:name w:val="toc 3"/>
    <w:basedOn w:val="Normal"/>
    <w:next w:val="Normal"/>
    <w:autoRedefine/>
    <w:uiPriority w:val="39"/>
    <w:unhideWhenUsed/>
    <w:rsid w:val="002568E6"/>
    <w:pPr>
      <w:spacing w:after="100"/>
      <w:ind w:left="440"/>
    </w:pPr>
  </w:style>
  <w:style w:type="paragraph" w:styleId="NormalWeb">
    <w:name w:val="Normal (Web)"/>
    <w:basedOn w:val="Normal"/>
    <w:uiPriority w:val="99"/>
    <w:unhideWhenUsed/>
    <w:rsid w:val="009F3AE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13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931"/>
  </w:style>
  <w:style w:type="paragraph" w:styleId="Footer">
    <w:name w:val="footer"/>
    <w:basedOn w:val="Normal"/>
    <w:link w:val="FooterChar"/>
    <w:uiPriority w:val="99"/>
    <w:unhideWhenUsed/>
    <w:rsid w:val="00A13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931"/>
  </w:style>
  <w:style w:type="paragraph" w:styleId="TOC1">
    <w:name w:val="toc 1"/>
    <w:basedOn w:val="Normal"/>
    <w:next w:val="Normal"/>
    <w:autoRedefine/>
    <w:uiPriority w:val="39"/>
    <w:unhideWhenUsed/>
    <w:rsid w:val="00D407DD"/>
    <w:pPr>
      <w:spacing w:after="100"/>
    </w:pPr>
    <w:rPr>
      <w:rFonts w:eastAsiaTheme="minorHAnsi" w:cstheme="minorBidi"/>
      <w:kern w:val="2"/>
      <w:szCs w:val="24"/>
      <w:lang w:eastAsia="en-US"/>
      <w14:ligatures w14:val="standardContextual"/>
    </w:rPr>
  </w:style>
  <w:style w:type="table" w:styleId="GridTable5Dark-Accent1">
    <w:name w:val="Grid Table 5 Dark Accent 1"/>
    <w:basedOn w:val="TableNormal"/>
    <w:uiPriority w:val="50"/>
    <w:rsid w:val="003D5F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
    <w:name w:val="Grid Table 5 Dark"/>
    <w:basedOn w:val="TableNormal"/>
    <w:uiPriority w:val="50"/>
    <w:rsid w:val="00BF50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Caption">
    <w:name w:val="caption"/>
    <w:basedOn w:val="Normal"/>
    <w:next w:val="Normal"/>
    <w:uiPriority w:val="35"/>
    <w:unhideWhenUsed/>
    <w:qFormat/>
    <w:rsid w:val="004D0F3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6F4F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40440">
      <w:bodyDiv w:val="1"/>
      <w:marLeft w:val="0"/>
      <w:marRight w:val="0"/>
      <w:marTop w:val="0"/>
      <w:marBottom w:val="0"/>
      <w:divBdr>
        <w:top w:val="none" w:sz="0" w:space="0" w:color="auto"/>
        <w:left w:val="none" w:sz="0" w:space="0" w:color="auto"/>
        <w:bottom w:val="none" w:sz="0" w:space="0" w:color="auto"/>
        <w:right w:val="none" w:sz="0" w:space="0" w:color="auto"/>
      </w:divBdr>
    </w:div>
    <w:div w:id="195388669">
      <w:bodyDiv w:val="1"/>
      <w:marLeft w:val="0"/>
      <w:marRight w:val="0"/>
      <w:marTop w:val="0"/>
      <w:marBottom w:val="0"/>
      <w:divBdr>
        <w:top w:val="none" w:sz="0" w:space="0" w:color="auto"/>
        <w:left w:val="none" w:sz="0" w:space="0" w:color="auto"/>
        <w:bottom w:val="none" w:sz="0" w:space="0" w:color="auto"/>
        <w:right w:val="none" w:sz="0" w:space="0" w:color="auto"/>
      </w:divBdr>
    </w:div>
    <w:div w:id="210046701">
      <w:bodyDiv w:val="1"/>
      <w:marLeft w:val="0"/>
      <w:marRight w:val="0"/>
      <w:marTop w:val="0"/>
      <w:marBottom w:val="0"/>
      <w:divBdr>
        <w:top w:val="none" w:sz="0" w:space="0" w:color="auto"/>
        <w:left w:val="none" w:sz="0" w:space="0" w:color="auto"/>
        <w:bottom w:val="none" w:sz="0" w:space="0" w:color="auto"/>
        <w:right w:val="none" w:sz="0" w:space="0" w:color="auto"/>
      </w:divBdr>
    </w:div>
    <w:div w:id="269171558">
      <w:bodyDiv w:val="1"/>
      <w:marLeft w:val="0"/>
      <w:marRight w:val="0"/>
      <w:marTop w:val="0"/>
      <w:marBottom w:val="0"/>
      <w:divBdr>
        <w:top w:val="none" w:sz="0" w:space="0" w:color="auto"/>
        <w:left w:val="none" w:sz="0" w:space="0" w:color="auto"/>
        <w:bottom w:val="none" w:sz="0" w:space="0" w:color="auto"/>
        <w:right w:val="none" w:sz="0" w:space="0" w:color="auto"/>
      </w:divBdr>
    </w:div>
    <w:div w:id="385028584">
      <w:bodyDiv w:val="1"/>
      <w:marLeft w:val="0"/>
      <w:marRight w:val="0"/>
      <w:marTop w:val="0"/>
      <w:marBottom w:val="0"/>
      <w:divBdr>
        <w:top w:val="none" w:sz="0" w:space="0" w:color="auto"/>
        <w:left w:val="none" w:sz="0" w:space="0" w:color="auto"/>
        <w:bottom w:val="none" w:sz="0" w:space="0" w:color="auto"/>
        <w:right w:val="none" w:sz="0" w:space="0" w:color="auto"/>
      </w:divBdr>
    </w:div>
    <w:div w:id="450978026">
      <w:bodyDiv w:val="1"/>
      <w:marLeft w:val="0"/>
      <w:marRight w:val="0"/>
      <w:marTop w:val="0"/>
      <w:marBottom w:val="0"/>
      <w:divBdr>
        <w:top w:val="none" w:sz="0" w:space="0" w:color="auto"/>
        <w:left w:val="none" w:sz="0" w:space="0" w:color="auto"/>
        <w:bottom w:val="none" w:sz="0" w:space="0" w:color="auto"/>
        <w:right w:val="none" w:sz="0" w:space="0" w:color="auto"/>
      </w:divBdr>
    </w:div>
    <w:div w:id="563832841">
      <w:bodyDiv w:val="1"/>
      <w:marLeft w:val="0"/>
      <w:marRight w:val="0"/>
      <w:marTop w:val="0"/>
      <w:marBottom w:val="0"/>
      <w:divBdr>
        <w:top w:val="none" w:sz="0" w:space="0" w:color="auto"/>
        <w:left w:val="none" w:sz="0" w:space="0" w:color="auto"/>
        <w:bottom w:val="none" w:sz="0" w:space="0" w:color="auto"/>
        <w:right w:val="none" w:sz="0" w:space="0" w:color="auto"/>
      </w:divBdr>
    </w:div>
    <w:div w:id="660700735">
      <w:bodyDiv w:val="1"/>
      <w:marLeft w:val="0"/>
      <w:marRight w:val="0"/>
      <w:marTop w:val="0"/>
      <w:marBottom w:val="0"/>
      <w:divBdr>
        <w:top w:val="none" w:sz="0" w:space="0" w:color="auto"/>
        <w:left w:val="none" w:sz="0" w:space="0" w:color="auto"/>
        <w:bottom w:val="none" w:sz="0" w:space="0" w:color="auto"/>
        <w:right w:val="none" w:sz="0" w:space="0" w:color="auto"/>
      </w:divBdr>
    </w:div>
    <w:div w:id="833032539">
      <w:bodyDiv w:val="1"/>
      <w:marLeft w:val="0"/>
      <w:marRight w:val="0"/>
      <w:marTop w:val="0"/>
      <w:marBottom w:val="0"/>
      <w:divBdr>
        <w:top w:val="none" w:sz="0" w:space="0" w:color="auto"/>
        <w:left w:val="none" w:sz="0" w:space="0" w:color="auto"/>
        <w:bottom w:val="none" w:sz="0" w:space="0" w:color="auto"/>
        <w:right w:val="none" w:sz="0" w:space="0" w:color="auto"/>
      </w:divBdr>
    </w:div>
    <w:div w:id="856238209">
      <w:bodyDiv w:val="1"/>
      <w:marLeft w:val="0"/>
      <w:marRight w:val="0"/>
      <w:marTop w:val="0"/>
      <w:marBottom w:val="0"/>
      <w:divBdr>
        <w:top w:val="none" w:sz="0" w:space="0" w:color="auto"/>
        <w:left w:val="none" w:sz="0" w:space="0" w:color="auto"/>
        <w:bottom w:val="none" w:sz="0" w:space="0" w:color="auto"/>
        <w:right w:val="none" w:sz="0" w:space="0" w:color="auto"/>
      </w:divBdr>
    </w:div>
    <w:div w:id="885143421">
      <w:bodyDiv w:val="1"/>
      <w:marLeft w:val="0"/>
      <w:marRight w:val="0"/>
      <w:marTop w:val="0"/>
      <w:marBottom w:val="0"/>
      <w:divBdr>
        <w:top w:val="none" w:sz="0" w:space="0" w:color="auto"/>
        <w:left w:val="none" w:sz="0" w:space="0" w:color="auto"/>
        <w:bottom w:val="none" w:sz="0" w:space="0" w:color="auto"/>
        <w:right w:val="none" w:sz="0" w:space="0" w:color="auto"/>
      </w:divBdr>
    </w:div>
    <w:div w:id="1193955448">
      <w:bodyDiv w:val="1"/>
      <w:marLeft w:val="0"/>
      <w:marRight w:val="0"/>
      <w:marTop w:val="0"/>
      <w:marBottom w:val="0"/>
      <w:divBdr>
        <w:top w:val="none" w:sz="0" w:space="0" w:color="auto"/>
        <w:left w:val="none" w:sz="0" w:space="0" w:color="auto"/>
        <w:bottom w:val="none" w:sz="0" w:space="0" w:color="auto"/>
        <w:right w:val="none" w:sz="0" w:space="0" w:color="auto"/>
      </w:divBdr>
    </w:div>
    <w:div w:id="1322154822">
      <w:bodyDiv w:val="1"/>
      <w:marLeft w:val="0"/>
      <w:marRight w:val="0"/>
      <w:marTop w:val="0"/>
      <w:marBottom w:val="0"/>
      <w:divBdr>
        <w:top w:val="none" w:sz="0" w:space="0" w:color="auto"/>
        <w:left w:val="none" w:sz="0" w:space="0" w:color="auto"/>
        <w:bottom w:val="none" w:sz="0" w:space="0" w:color="auto"/>
        <w:right w:val="none" w:sz="0" w:space="0" w:color="auto"/>
      </w:divBdr>
    </w:div>
    <w:div w:id="1363747484">
      <w:bodyDiv w:val="1"/>
      <w:marLeft w:val="0"/>
      <w:marRight w:val="0"/>
      <w:marTop w:val="0"/>
      <w:marBottom w:val="0"/>
      <w:divBdr>
        <w:top w:val="none" w:sz="0" w:space="0" w:color="auto"/>
        <w:left w:val="none" w:sz="0" w:space="0" w:color="auto"/>
        <w:bottom w:val="none" w:sz="0" w:space="0" w:color="auto"/>
        <w:right w:val="none" w:sz="0" w:space="0" w:color="auto"/>
      </w:divBdr>
    </w:div>
    <w:div w:id="1421297174">
      <w:bodyDiv w:val="1"/>
      <w:marLeft w:val="0"/>
      <w:marRight w:val="0"/>
      <w:marTop w:val="0"/>
      <w:marBottom w:val="0"/>
      <w:divBdr>
        <w:top w:val="none" w:sz="0" w:space="0" w:color="auto"/>
        <w:left w:val="none" w:sz="0" w:space="0" w:color="auto"/>
        <w:bottom w:val="none" w:sz="0" w:space="0" w:color="auto"/>
        <w:right w:val="none" w:sz="0" w:space="0" w:color="auto"/>
      </w:divBdr>
    </w:div>
    <w:div w:id="1423721952">
      <w:bodyDiv w:val="1"/>
      <w:marLeft w:val="0"/>
      <w:marRight w:val="0"/>
      <w:marTop w:val="0"/>
      <w:marBottom w:val="0"/>
      <w:divBdr>
        <w:top w:val="none" w:sz="0" w:space="0" w:color="auto"/>
        <w:left w:val="none" w:sz="0" w:space="0" w:color="auto"/>
        <w:bottom w:val="none" w:sz="0" w:space="0" w:color="auto"/>
        <w:right w:val="none" w:sz="0" w:space="0" w:color="auto"/>
      </w:divBdr>
    </w:div>
    <w:div w:id="1426535881">
      <w:bodyDiv w:val="1"/>
      <w:marLeft w:val="0"/>
      <w:marRight w:val="0"/>
      <w:marTop w:val="0"/>
      <w:marBottom w:val="0"/>
      <w:divBdr>
        <w:top w:val="none" w:sz="0" w:space="0" w:color="auto"/>
        <w:left w:val="none" w:sz="0" w:space="0" w:color="auto"/>
        <w:bottom w:val="none" w:sz="0" w:space="0" w:color="auto"/>
        <w:right w:val="none" w:sz="0" w:space="0" w:color="auto"/>
      </w:divBdr>
    </w:div>
    <w:div w:id="1541825266">
      <w:bodyDiv w:val="1"/>
      <w:marLeft w:val="0"/>
      <w:marRight w:val="0"/>
      <w:marTop w:val="0"/>
      <w:marBottom w:val="0"/>
      <w:divBdr>
        <w:top w:val="none" w:sz="0" w:space="0" w:color="auto"/>
        <w:left w:val="none" w:sz="0" w:space="0" w:color="auto"/>
        <w:bottom w:val="none" w:sz="0" w:space="0" w:color="auto"/>
        <w:right w:val="none" w:sz="0" w:space="0" w:color="auto"/>
      </w:divBdr>
    </w:div>
    <w:div w:id="1664890037">
      <w:bodyDiv w:val="1"/>
      <w:marLeft w:val="0"/>
      <w:marRight w:val="0"/>
      <w:marTop w:val="0"/>
      <w:marBottom w:val="0"/>
      <w:divBdr>
        <w:top w:val="none" w:sz="0" w:space="0" w:color="auto"/>
        <w:left w:val="none" w:sz="0" w:space="0" w:color="auto"/>
        <w:bottom w:val="none" w:sz="0" w:space="0" w:color="auto"/>
        <w:right w:val="none" w:sz="0" w:space="0" w:color="auto"/>
      </w:divBdr>
    </w:div>
    <w:div w:id="1732537303">
      <w:bodyDiv w:val="1"/>
      <w:marLeft w:val="0"/>
      <w:marRight w:val="0"/>
      <w:marTop w:val="0"/>
      <w:marBottom w:val="0"/>
      <w:divBdr>
        <w:top w:val="none" w:sz="0" w:space="0" w:color="auto"/>
        <w:left w:val="none" w:sz="0" w:space="0" w:color="auto"/>
        <w:bottom w:val="none" w:sz="0" w:space="0" w:color="auto"/>
        <w:right w:val="none" w:sz="0" w:space="0" w:color="auto"/>
      </w:divBdr>
    </w:div>
    <w:div w:id="1762603811">
      <w:bodyDiv w:val="1"/>
      <w:marLeft w:val="0"/>
      <w:marRight w:val="0"/>
      <w:marTop w:val="0"/>
      <w:marBottom w:val="0"/>
      <w:divBdr>
        <w:top w:val="none" w:sz="0" w:space="0" w:color="auto"/>
        <w:left w:val="none" w:sz="0" w:space="0" w:color="auto"/>
        <w:bottom w:val="none" w:sz="0" w:space="0" w:color="auto"/>
        <w:right w:val="none" w:sz="0" w:space="0" w:color="auto"/>
      </w:divBdr>
    </w:div>
    <w:div w:id="1780178077">
      <w:bodyDiv w:val="1"/>
      <w:marLeft w:val="0"/>
      <w:marRight w:val="0"/>
      <w:marTop w:val="0"/>
      <w:marBottom w:val="0"/>
      <w:divBdr>
        <w:top w:val="none" w:sz="0" w:space="0" w:color="auto"/>
        <w:left w:val="none" w:sz="0" w:space="0" w:color="auto"/>
        <w:bottom w:val="none" w:sz="0" w:space="0" w:color="auto"/>
        <w:right w:val="none" w:sz="0" w:space="0" w:color="auto"/>
      </w:divBdr>
    </w:div>
    <w:div w:id="1814370933">
      <w:bodyDiv w:val="1"/>
      <w:marLeft w:val="0"/>
      <w:marRight w:val="0"/>
      <w:marTop w:val="0"/>
      <w:marBottom w:val="0"/>
      <w:divBdr>
        <w:top w:val="none" w:sz="0" w:space="0" w:color="auto"/>
        <w:left w:val="none" w:sz="0" w:space="0" w:color="auto"/>
        <w:bottom w:val="none" w:sz="0" w:space="0" w:color="auto"/>
        <w:right w:val="none" w:sz="0" w:space="0" w:color="auto"/>
      </w:divBdr>
    </w:div>
    <w:div w:id="1881819688">
      <w:bodyDiv w:val="1"/>
      <w:marLeft w:val="0"/>
      <w:marRight w:val="0"/>
      <w:marTop w:val="0"/>
      <w:marBottom w:val="0"/>
      <w:divBdr>
        <w:top w:val="none" w:sz="0" w:space="0" w:color="auto"/>
        <w:left w:val="none" w:sz="0" w:space="0" w:color="auto"/>
        <w:bottom w:val="none" w:sz="0" w:space="0" w:color="auto"/>
        <w:right w:val="none" w:sz="0" w:space="0" w:color="auto"/>
      </w:divBdr>
    </w:div>
    <w:div w:id="1937250748">
      <w:bodyDiv w:val="1"/>
      <w:marLeft w:val="0"/>
      <w:marRight w:val="0"/>
      <w:marTop w:val="0"/>
      <w:marBottom w:val="0"/>
      <w:divBdr>
        <w:top w:val="none" w:sz="0" w:space="0" w:color="auto"/>
        <w:left w:val="none" w:sz="0" w:space="0" w:color="auto"/>
        <w:bottom w:val="none" w:sz="0" w:space="0" w:color="auto"/>
        <w:right w:val="none" w:sz="0" w:space="0" w:color="auto"/>
      </w:divBdr>
      <w:divsChild>
        <w:div w:id="1791775449">
          <w:marLeft w:val="-720"/>
          <w:marRight w:val="0"/>
          <w:marTop w:val="0"/>
          <w:marBottom w:val="0"/>
          <w:divBdr>
            <w:top w:val="none" w:sz="0" w:space="0" w:color="auto"/>
            <w:left w:val="none" w:sz="0" w:space="0" w:color="auto"/>
            <w:bottom w:val="none" w:sz="0" w:space="0" w:color="auto"/>
            <w:right w:val="none" w:sz="0" w:space="0" w:color="auto"/>
          </w:divBdr>
        </w:div>
      </w:divsChild>
    </w:div>
    <w:div w:id="1941450482">
      <w:bodyDiv w:val="1"/>
      <w:marLeft w:val="0"/>
      <w:marRight w:val="0"/>
      <w:marTop w:val="0"/>
      <w:marBottom w:val="0"/>
      <w:divBdr>
        <w:top w:val="none" w:sz="0" w:space="0" w:color="auto"/>
        <w:left w:val="none" w:sz="0" w:space="0" w:color="auto"/>
        <w:bottom w:val="none" w:sz="0" w:space="0" w:color="auto"/>
        <w:right w:val="none" w:sz="0" w:space="0" w:color="auto"/>
      </w:divBdr>
    </w:div>
    <w:div w:id="1976258616">
      <w:bodyDiv w:val="1"/>
      <w:marLeft w:val="0"/>
      <w:marRight w:val="0"/>
      <w:marTop w:val="0"/>
      <w:marBottom w:val="0"/>
      <w:divBdr>
        <w:top w:val="none" w:sz="0" w:space="0" w:color="auto"/>
        <w:left w:val="none" w:sz="0" w:space="0" w:color="auto"/>
        <w:bottom w:val="none" w:sz="0" w:space="0" w:color="auto"/>
        <w:right w:val="none" w:sz="0" w:space="0" w:color="auto"/>
      </w:divBdr>
    </w:div>
    <w:div w:id="2030914106">
      <w:bodyDiv w:val="1"/>
      <w:marLeft w:val="0"/>
      <w:marRight w:val="0"/>
      <w:marTop w:val="0"/>
      <w:marBottom w:val="0"/>
      <w:divBdr>
        <w:top w:val="none" w:sz="0" w:space="0" w:color="auto"/>
        <w:left w:val="none" w:sz="0" w:space="0" w:color="auto"/>
        <w:bottom w:val="none" w:sz="0" w:space="0" w:color="auto"/>
        <w:right w:val="none" w:sz="0" w:space="0" w:color="auto"/>
      </w:divBdr>
    </w:div>
    <w:div w:id="2039381456">
      <w:bodyDiv w:val="1"/>
      <w:marLeft w:val="0"/>
      <w:marRight w:val="0"/>
      <w:marTop w:val="0"/>
      <w:marBottom w:val="0"/>
      <w:divBdr>
        <w:top w:val="none" w:sz="0" w:space="0" w:color="auto"/>
        <w:left w:val="none" w:sz="0" w:space="0" w:color="auto"/>
        <w:bottom w:val="none" w:sz="0" w:space="0" w:color="auto"/>
        <w:right w:val="none" w:sz="0" w:space="0" w:color="auto"/>
      </w:divBdr>
    </w:div>
    <w:div w:id="2128817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ra\OneDrive\Documents\Custom%20Office%20Templates\LUBS%20Assignmen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4qy2+brrh29BjDOC/tviFXqtsQ==">CgMxLjAyCGguZ2pkZ3hzMgloLjMwajB6bGwyCWguMWZvYjl0ZTIJaC4zem55c2g3MgloLjJldDkycDAyCGgudHlqY3d0MgloLjNkeTZ2a20yCWguMXQzaDVzZjIJaC40ZDM0b2c4MgloLjJzOGV5bzEyCWguMTdkcDh2dTIJaC4zcmRjcmpuMgloLjI2aW4xcmcyCGgubG54Yno5MgloLjM1bmt1bjI4AHIhMXdaS1llQ0hYVmhrVXpOYzR6TXYyUS1yQ0RiRFJJN01i</go:docsCustomData>
</go:gDocsCustomXmlDataStorage>
</file>

<file path=customXml/itemProps1.xml><?xml version="1.0" encoding="utf-8"?>
<ds:datastoreItem xmlns:ds="http://schemas.openxmlformats.org/officeDocument/2006/customXml" ds:itemID="{9D085D6C-35EA-4913-904A-930025B9B9C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LUBS Assignment Template.dotm</Template>
  <TotalTime>3089</TotalTime>
  <Pages>13</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Supratik Bhattacharya</dc:creator>
  <cp:lastModifiedBy>Supratik Bhattacharya</cp:lastModifiedBy>
  <cp:revision>400</cp:revision>
  <dcterms:created xsi:type="dcterms:W3CDTF">2024-03-25T23:45:00Z</dcterms:created>
  <dcterms:modified xsi:type="dcterms:W3CDTF">2024-11-28T15:02:00Z</dcterms:modified>
</cp:coreProperties>
</file>