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2E4B3F"/>
          <w:sz w:val="64"/>
          <w:szCs w:val="64"/>
        </w:rPr>
        <w:t xml:space="preserve">KAPHOR</w:t>
      </w:r>
    </w:p>
    <w:p>
      <w:pPr>
        <w:spacing w:after="100"/>
        <w:jc w:val="center"/>
      </w:pPr>
      <w:r>
        <w:rPr>
          <w:b/>
          <w:bCs/>
          <w:sz w:val="32"/>
          <w:szCs w:val="32"/>
        </w:rPr>
        <w:t xml:space="preserve">Legal Documentation Pack</w:t>
      </w:r>
    </w:p>
    <w:p>
      <w:pPr>
        <w:spacing w:after="600"/>
        <w:jc w:val="center"/>
      </w:pPr>
      <w:r>
        <w:rPr>
          <w:i/>
          <w:iCs/>
          <w:sz w:val="24"/>
          <w:szCs w:val="24"/>
        </w:rPr>
        <w:t xml:space="preserve">Review of Applicable Indian Laws, Gap Analysis, and a Plain-Language Terms &amp; Conditions Framework</w:t>
      </w:r>
    </w:p>
    <w:p>
      <w:pPr>
        <w:spacing w:after="100"/>
        <w:jc w:val="center"/>
      </w:pPr>
      <w:r>
        <w:rPr>
          <w:sz w:val="22"/>
          <w:szCs w:val="22"/>
        </w:rPr>
        <w:t xml:space="preserve">Prepared for academic / prototype use — KAPHOR: AI-driven circular fashion platform</w:t>
      </w:r>
    </w:p>
    <w:p>
      <w:pPr>
        <w:spacing w:after="1200"/>
        <w:jc w:val="center"/>
      </w:pPr>
      <w:r>
        <w:rPr>
          <w:color w:val="555555"/>
          <w:sz w:val="20"/>
          <w:szCs w:val="20"/>
        </w:rPr>
        <w:t xml:space="preserve">September 2026</w:t>
      </w:r>
    </w:p>
    <w:p>
      <w:pPr>
        <w:jc w:val="center"/>
      </w:pPr>
      <w:r>
        <w:rPr>
          <w:i/>
          <w:iCs/>
          <w:color w:val="8A2E2E"/>
          <w:sz w:val="20"/>
          <w:szCs w:val="20"/>
        </w:rPr>
        <w:t xml:space="preserve">Important note: This document is prepared for educational and prototype purposes. It is not a substitute for advice from a qualified Indian lawyer. Before KAPHOR is used with real users, real payments, or real user data, have a lawyer review and finalize these documents.</w:t>
      </w:r>
    </w:p>
    <w:p>
      <w:pPr>
        <w:pageBreakBefore/>
      </w:pPr>
    </w:p>
    <w:p>
      <w:pPr>
        <w:pStyle w:val="Heading1"/>
        <w:spacing w:after="200" w:before="400"/>
      </w:pPr>
      <w:r>
        <w:t xml:space="preserve">Part 1 — Checking the Laws Your GPT Answer Listed</w:t>
      </w:r>
    </w:p>
    <w:p>
      <w:pPr>
        <w:spacing w:after="150"/>
      </w:pPr>
      <w:r>
        <w:rPr>
          <w:b w:val="false"/>
          <w:bCs w:val="false"/>
          <w:i w:val="false"/>
          <w:iCs w:val="false"/>
        </w:rPr>
        <w:t xml:space="preserve">Your GPT answer's list is largely correct and well-reasoned for an e-commerce, AI-driven, circular-fashion marketplace. The table below confirms each law, and flags two places worth updating or re-prioritizing.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5400"/>
      </w:tblGrid>
      <w:tr>
        <w:trPr>
          <w:tblHeader/>
        </w:trPr>
        <w:tc>
          <w:tcPr>
            <w:tcW w:type="dxa" w:w="3200"/>
            <w:shd w:fill="2E4B3F" w:val="clear"/>
            <w:tcMar>
              <w:top w:type="dxa" w:w="100"/>
              <w:left w:type="dxa" w:w="120"/>
              <w:bottom w:type="dxa" w:w="100"/>
              <w:right w:type="dxa" w:w="120"/>
            </w:tcMar>
          </w:tcPr>
          <w:p>
            <w:r>
              <w:rPr>
                <w:b/>
                <w:bCs/>
                <w:color w:val="FFFFFF"/>
                <w:sz w:val="20"/>
                <w:szCs w:val="20"/>
              </w:rPr>
              <w:t xml:space="preserve">Law</w:t>
            </w:r>
          </w:p>
        </w:tc>
        <w:tc>
          <w:tcPr>
            <w:tcW w:type="dxa" w:w="1700"/>
            <w:shd w:fill="2E4B3F" w:val="clear"/>
            <w:tcMar>
              <w:top w:type="dxa" w:w="100"/>
              <w:left w:type="dxa" w:w="120"/>
              <w:bottom w:type="dxa" w:w="100"/>
              <w:right w:type="dxa" w:w="120"/>
            </w:tcMar>
          </w:tcPr>
          <w:p>
            <w:r>
              <w:rPr>
                <w:b/>
                <w:bCs/>
                <w:color w:val="FFFFFF"/>
                <w:sz w:val="20"/>
                <w:szCs w:val="20"/>
              </w:rPr>
              <w:t xml:space="preserve">Actually needed?</w:t>
            </w:r>
          </w:p>
        </w:tc>
        <w:tc>
          <w:tcPr>
            <w:tcW w:type="dxa" w:w="5400"/>
            <w:shd w:fill="2E4B3F" w:val="clear"/>
            <w:tcMar>
              <w:top w:type="dxa" w:w="100"/>
              <w:left w:type="dxa" w:w="120"/>
              <w:bottom w:type="dxa" w:w="100"/>
              <w:right w:type="dxa" w:w="120"/>
            </w:tcMar>
          </w:tcPr>
          <w:p>
            <w:r>
              <w:rPr>
                <w:b/>
                <w:bCs/>
                <w:color w:val="FFFFFF"/>
                <w:sz w:val="20"/>
                <w:szCs w:val="20"/>
              </w:rPr>
              <w:t xml:space="preserve">Notes / what's changed</w:t>
            </w:r>
          </w:p>
        </w:tc>
      </w:tr>
      <w:tr>
        <w:tc>
          <w:tcPr>
            <w:tcW w:type="dxa" w:w="3200"/>
            <w:tcMar>
              <w:top w:type="dxa" w:w="100"/>
              <w:left w:type="dxa" w:w="120"/>
              <w:bottom w:type="dxa" w:w="100"/>
              <w:right w:type="dxa" w:w="120"/>
            </w:tcMar>
          </w:tcPr>
          <w:p>
            <w:r>
              <w:rPr>
                <w:b w:val="false"/>
                <w:bCs w:val="false"/>
                <w:color w:val="000000"/>
                <w:sz w:val="20"/>
                <w:szCs w:val="20"/>
              </w:rPr>
              <w:t xml:space="preserve">Information Technology Act, 2000</w:t>
            </w:r>
          </w:p>
        </w:tc>
        <w:tc>
          <w:tcPr>
            <w:tcW w:type="dxa" w:w="1700"/>
            <w:tcMar>
              <w:top w:type="dxa" w:w="100"/>
              <w:left w:type="dxa" w:w="120"/>
              <w:bottom w:type="dxa" w:w="100"/>
              <w:right w:type="dxa" w:w="120"/>
            </w:tcMar>
          </w:tcPr>
          <w:p>
            <w:r>
              <w:rPr>
                <w:b w:val="false"/>
                <w:bCs w:val="false"/>
                <w:color w:val="000000"/>
                <w:sz w:val="20"/>
                <w:szCs w:val="20"/>
              </w:rPr>
              <w:t xml:space="preserve">Yes — core</w:t>
            </w:r>
          </w:p>
        </w:tc>
        <w:tc>
          <w:tcPr>
            <w:tcW w:type="dxa" w:w="5400"/>
            <w:tcMar>
              <w:top w:type="dxa" w:w="100"/>
              <w:left w:type="dxa" w:w="120"/>
              <w:bottom w:type="dxa" w:w="100"/>
              <w:right w:type="dxa" w:w="120"/>
            </w:tcMar>
          </w:tcPr>
          <w:p>
            <w:r>
              <w:rPr>
                <w:b w:val="false"/>
                <w:bCs w:val="false"/>
                <w:color w:val="000000"/>
                <w:sz w:val="20"/>
                <w:szCs w:val="20"/>
              </w:rPr>
              <w:t xml:space="preserve">Correct. KAPHOR is an "intermediary" hosting user listings, chats and reviews. Section 79 gives conditional protection from liability for user content — conditional on following the due-diligence rules below, not automatic.</w:t>
            </w:r>
          </w:p>
        </w:tc>
      </w:tr>
      <w:tr>
        <w:tc>
          <w:tcPr>
            <w:tcW w:type="dxa" w:w="3200"/>
            <w:shd w:fill="F2F5F1" w:val="clear"/>
            <w:tcMar>
              <w:top w:type="dxa" w:w="100"/>
              <w:left w:type="dxa" w:w="120"/>
              <w:bottom w:type="dxa" w:w="100"/>
              <w:right w:type="dxa" w:w="120"/>
            </w:tcMar>
          </w:tcPr>
          <w:p>
            <w:r>
              <w:rPr>
                <w:b w:val="false"/>
                <w:bCs w:val="false"/>
                <w:color w:val="000000"/>
                <w:sz w:val="20"/>
                <w:szCs w:val="20"/>
              </w:rPr>
              <w:t xml:space="preserve">IT (Intermediary Guidelines &amp; Digital Media Ethics Code) Rules, 2021</w:t>
            </w:r>
          </w:p>
        </w:tc>
        <w:tc>
          <w:tcPr>
            <w:tcW w:type="dxa" w:w="1700"/>
            <w:shd w:fill="F2F5F1" w:val="clear"/>
            <w:tcMar>
              <w:top w:type="dxa" w:w="100"/>
              <w:left w:type="dxa" w:w="120"/>
              <w:bottom w:type="dxa" w:w="100"/>
              <w:right w:type="dxa" w:w="120"/>
            </w:tcMar>
          </w:tcPr>
          <w:p>
            <w:r>
              <w:rPr>
                <w:b w:val="false"/>
                <w:bCs w:val="false"/>
                <w:color w:val="000000"/>
                <w:sz w:val="20"/>
                <w:szCs w:val="20"/>
              </w:rPr>
              <w:t xml:space="preserve">Yes — core</w:t>
            </w:r>
          </w:p>
        </w:tc>
        <w:tc>
          <w:tcPr>
            <w:tcW w:type="dxa" w:w="5400"/>
            <w:shd w:fill="F2F5F1" w:val="clear"/>
            <w:tcMar>
              <w:top w:type="dxa" w:w="100"/>
              <w:left w:type="dxa" w:w="120"/>
              <w:bottom w:type="dxa" w:w="100"/>
              <w:right w:type="dxa" w:w="120"/>
            </w:tcMar>
          </w:tcPr>
          <w:p>
            <w:r>
              <w:rPr>
                <w:b w:val="false"/>
                <w:bCs w:val="false"/>
                <w:color w:val="000000"/>
                <w:sz w:val="20"/>
                <w:szCs w:val="20"/>
              </w:rPr>
              <w:t xml:space="preserve">Correct. These rules are what make Section 79's protection real: grievance officer, response timelines, takedown on court/government order, and user-agreement disclosures are all mandatory, not optional extras.</w:t>
            </w:r>
          </w:p>
        </w:tc>
      </w:tr>
      <w:tr>
        <w:tc>
          <w:tcPr>
            <w:tcW w:type="dxa" w:w="3200"/>
            <w:tcMar>
              <w:top w:type="dxa" w:w="100"/>
              <w:left w:type="dxa" w:w="120"/>
              <w:bottom w:type="dxa" w:w="100"/>
              <w:right w:type="dxa" w:w="120"/>
            </w:tcMar>
          </w:tcPr>
          <w:p>
            <w:r>
              <w:rPr>
                <w:b w:val="false"/>
                <w:bCs w:val="false"/>
                <w:color w:val="000000"/>
                <w:sz w:val="20"/>
                <w:szCs w:val="20"/>
              </w:rPr>
              <w:t xml:space="preserve">Consumer Protection Act, 2019</w:t>
            </w:r>
          </w:p>
        </w:tc>
        <w:tc>
          <w:tcPr>
            <w:tcW w:type="dxa" w:w="1700"/>
            <w:tcMar>
              <w:top w:type="dxa" w:w="100"/>
              <w:left w:type="dxa" w:w="120"/>
              <w:bottom w:type="dxa" w:w="100"/>
              <w:right w:type="dxa" w:w="120"/>
            </w:tcMar>
          </w:tcPr>
          <w:p>
            <w:r>
              <w:rPr>
                <w:b w:val="false"/>
                <w:bCs w:val="false"/>
                <w:color w:val="000000"/>
                <w:sz w:val="20"/>
                <w:szCs w:val="20"/>
              </w:rPr>
              <w:t xml:space="preserve">Yes — core</w:t>
            </w:r>
          </w:p>
        </w:tc>
        <w:tc>
          <w:tcPr>
            <w:tcW w:type="dxa" w:w="5400"/>
            <w:tcMar>
              <w:top w:type="dxa" w:w="100"/>
              <w:left w:type="dxa" w:w="120"/>
              <w:bottom w:type="dxa" w:w="100"/>
              <w:right w:type="dxa" w:w="120"/>
            </w:tcMar>
          </w:tcPr>
          <w:p>
            <w:r>
              <w:rPr>
                <w:b w:val="false"/>
                <w:bCs w:val="false"/>
                <w:color w:val="000000"/>
                <w:sz w:val="20"/>
                <w:szCs w:val="20"/>
              </w:rPr>
              <w:t xml:space="preserve">Correct. Covers unfair trade practices, defective/misdescribed goods, and — importantly — lets a buyer sue in a Consumer Commission even if your T&amp;C has an arbitration clause (courts have ruled arbitration clauses cannot block consumer forum access).</w:t>
            </w:r>
          </w:p>
        </w:tc>
      </w:tr>
      <w:tr>
        <w:tc>
          <w:tcPr>
            <w:tcW w:type="dxa" w:w="3200"/>
            <w:shd w:fill="F2F5F1" w:val="clear"/>
            <w:tcMar>
              <w:top w:type="dxa" w:w="100"/>
              <w:left w:type="dxa" w:w="120"/>
              <w:bottom w:type="dxa" w:w="100"/>
              <w:right w:type="dxa" w:w="120"/>
            </w:tcMar>
          </w:tcPr>
          <w:p>
            <w:r>
              <w:rPr>
                <w:b w:val="false"/>
                <w:bCs w:val="false"/>
                <w:color w:val="000000"/>
                <w:sz w:val="20"/>
                <w:szCs w:val="20"/>
              </w:rPr>
              <w:t xml:space="preserve">Consumer Protection (E-Commerce) Rules, 2020</w:t>
            </w:r>
          </w:p>
        </w:tc>
        <w:tc>
          <w:tcPr>
            <w:tcW w:type="dxa" w:w="1700"/>
            <w:shd w:fill="F2F5F1" w:val="clear"/>
            <w:tcMar>
              <w:top w:type="dxa" w:w="100"/>
              <w:left w:type="dxa" w:w="120"/>
              <w:bottom w:type="dxa" w:w="100"/>
              <w:right w:type="dxa" w:w="120"/>
            </w:tcMar>
          </w:tcPr>
          <w:p>
            <w:r>
              <w:rPr>
                <w:b w:val="false"/>
                <w:bCs w:val="false"/>
                <w:color w:val="000000"/>
                <w:sz w:val="20"/>
                <w:szCs w:val="20"/>
              </w:rPr>
              <w:t xml:space="preserve">Yes — core</w:t>
            </w:r>
          </w:p>
        </w:tc>
        <w:tc>
          <w:tcPr>
            <w:tcW w:type="dxa" w:w="5400"/>
            <w:shd w:fill="F2F5F1" w:val="clear"/>
            <w:tcMar>
              <w:top w:type="dxa" w:w="100"/>
              <w:left w:type="dxa" w:w="120"/>
              <w:bottom w:type="dxa" w:w="100"/>
              <w:right w:type="dxa" w:w="120"/>
            </w:tcMar>
          </w:tcPr>
          <w:p>
            <w:r>
              <w:rPr>
                <w:b w:val="false"/>
                <w:bCs w:val="false"/>
                <w:color w:val="000000"/>
                <w:sz w:val="20"/>
                <w:szCs w:val="20"/>
              </w:rPr>
              <w:t xml:space="preserve">Correct, and central to KAPHOR since it is a marketplace connecting many sellers to buyers. Requires seller details, no manipulation of search results, a grievance mechanism, and clear return/refund/exchange terms displayed before purchase.</w:t>
            </w:r>
          </w:p>
        </w:tc>
      </w:tr>
      <w:tr>
        <w:tc>
          <w:tcPr>
            <w:tcW w:type="dxa" w:w="3200"/>
            <w:tcMar>
              <w:top w:type="dxa" w:w="100"/>
              <w:left w:type="dxa" w:w="120"/>
              <w:bottom w:type="dxa" w:w="100"/>
              <w:right w:type="dxa" w:w="120"/>
            </w:tcMar>
          </w:tcPr>
          <w:p>
            <w:r>
              <w:rPr>
                <w:b w:val="false"/>
                <w:bCs w:val="false"/>
                <w:color w:val="000000"/>
                <w:sz w:val="20"/>
                <w:szCs w:val="20"/>
              </w:rPr>
              <w:t xml:space="preserve">Digital Personal Data Protection Act, 2023 (DPDP Act)</w:t>
            </w:r>
          </w:p>
        </w:tc>
        <w:tc>
          <w:tcPr>
            <w:tcW w:type="dxa" w:w="1700"/>
            <w:tcMar>
              <w:top w:type="dxa" w:w="100"/>
              <w:left w:type="dxa" w:w="120"/>
              <w:bottom w:type="dxa" w:w="100"/>
              <w:right w:type="dxa" w:w="120"/>
            </w:tcMar>
          </w:tcPr>
          <w:p>
            <w:r>
              <w:rPr>
                <w:b w:val="false"/>
                <w:bCs w:val="false"/>
                <w:color w:val="000000"/>
                <w:sz w:val="20"/>
                <w:szCs w:val="20"/>
              </w:rPr>
              <w:t xml:space="preserve">Yes — core, status updated</w:t>
            </w:r>
          </w:p>
        </w:tc>
        <w:tc>
          <w:tcPr>
            <w:tcW w:type="dxa" w:w="5400"/>
            <w:tcMar>
              <w:top w:type="dxa" w:w="100"/>
              <w:left w:type="dxa" w:w="120"/>
              <w:bottom w:type="dxa" w:w="100"/>
              <w:right w:type="dxa" w:w="120"/>
            </w:tcMar>
          </w:tcPr>
          <w:p>
            <w:r>
              <w:rPr>
                <w:b w:val="false"/>
                <w:bCs w:val="false"/>
                <w:color w:val="000000"/>
                <w:sz w:val="20"/>
                <w:szCs w:val="20"/>
              </w:rPr>
              <w:t xml:space="preserve">The DPDP Rules, 2025 were notified on 13 November 2025 (this was still a draft when the GPT answer was written). Compliance is now phased through to 13 May 2027. KAPHOR's Style Vector, face/photo uploads for condition-checking, and Google Auth data are all "personal data" under this Act — build the Privacy Policy around the notified Rules, not just the 2023 Act text.</w:t>
            </w:r>
          </w:p>
        </w:tc>
      </w:tr>
      <w:tr>
        <w:tc>
          <w:tcPr>
            <w:tcW w:type="dxa" w:w="3200"/>
            <w:shd w:fill="F2F5F1" w:val="clear"/>
            <w:tcMar>
              <w:top w:type="dxa" w:w="100"/>
              <w:left w:type="dxa" w:w="120"/>
              <w:bottom w:type="dxa" w:w="100"/>
              <w:right w:type="dxa" w:w="120"/>
            </w:tcMar>
          </w:tcPr>
          <w:p>
            <w:r>
              <w:rPr>
                <w:b w:val="false"/>
                <w:bCs w:val="false"/>
                <w:color w:val="000000"/>
                <w:sz w:val="20"/>
                <w:szCs w:val="20"/>
              </w:rPr>
              <w:t xml:space="preserve">Indian Contract Act, 1872</w:t>
            </w:r>
          </w:p>
        </w:tc>
        <w:tc>
          <w:tcPr>
            <w:tcW w:type="dxa" w:w="1700"/>
            <w:shd w:fill="F2F5F1" w:val="clear"/>
            <w:tcMar>
              <w:top w:type="dxa" w:w="100"/>
              <w:left w:type="dxa" w:w="120"/>
              <w:bottom w:type="dxa" w:w="100"/>
              <w:right w:type="dxa" w:w="120"/>
            </w:tcMar>
          </w:tcPr>
          <w:p>
            <w:r>
              <w:rPr>
                <w:b w:val="false"/>
                <w:bCs w:val="false"/>
                <w:color w:val="000000"/>
                <w:sz w:val="20"/>
                <w:szCs w:val="20"/>
              </w:rPr>
              <w:t xml:space="preserve">Yes — core</w:t>
            </w:r>
          </w:p>
        </w:tc>
        <w:tc>
          <w:tcPr>
            <w:tcW w:type="dxa" w:w="5400"/>
            <w:shd w:fill="F2F5F1" w:val="clear"/>
            <w:tcMar>
              <w:top w:type="dxa" w:w="100"/>
              <w:left w:type="dxa" w:w="120"/>
              <w:bottom w:type="dxa" w:w="100"/>
              <w:right w:type="dxa" w:w="120"/>
            </w:tcMar>
          </w:tcPr>
          <w:p>
            <w:r>
              <w:rPr>
                <w:b w:val="false"/>
                <w:bCs w:val="false"/>
                <w:color w:val="000000"/>
                <w:sz w:val="20"/>
                <w:szCs w:val="20"/>
              </w:rPr>
              <w:t xml:space="preserve">Correct. This is the backbone of every Buy, Rent, Swap and Seller agreement on the platform.</w:t>
            </w:r>
          </w:p>
        </w:tc>
      </w:tr>
      <w:tr>
        <w:tc>
          <w:tcPr>
            <w:tcW w:type="dxa" w:w="3200"/>
            <w:tcMar>
              <w:top w:type="dxa" w:w="100"/>
              <w:left w:type="dxa" w:w="120"/>
              <w:bottom w:type="dxa" w:w="100"/>
              <w:right w:type="dxa" w:w="120"/>
            </w:tcMar>
          </w:tcPr>
          <w:p>
            <w:r>
              <w:rPr>
                <w:b w:val="false"/>
                <w:bCs w:val="false"/>
                <w:color w:val="000000"/>
                <w:sz w:val="20"/>
                <w:szCs w:val="20"/>
              </w:rPr>
              <w:t xml:space="preserve">Sale of Goods Act, 1930</w:t>
            </w:r>
          </w:p>
        </w:tc>
        <w:tc>
          <w:tcPr>
            <w:tcW w:type="dxa" w:w="1700"/>
            <w:tcMar>
              <w:top w:type="dxa" w:w="100"/>
              <w:left w:type="dxa" w:w="120"/>
              <w:bottom w:type="dxa" w:w="100"/>
              <w:right w:type="dxa" w:w="120"/>
            </w:tcMar>
          </w:tcPr>
          <w:p>
            <w:r>
              <w:rPr>
                <w:b w:val="false"/>
                <w:bCs w:val="false"/>
                <w:color w:val="000000"/>
                <w:sz w:val="20"/>
                <w:szCs w:val="20"/>
              </w:rPr>
              <w:t xml:space="preserve">Yes — for Buy only</w:t>
            </w:r>
          </w:p>
        </w:tc>
        <w:tc>
          <w:tcPr>
            <w:tcW w:type="dxa" w:w="5400"/>
            <w:tcMar>
              <w:top w:type="dxa" w:w="100"/>
              <w:left w:type="dxa" w:w="120"/>
              <w:bottom w:type="dxa" w:w="100"/>
              <w:right w:type="dxa" w:w="120"/>
            </w:tcMar>
          </w:tcPr>
          <w:p>
            <w:r>
              <w:rPr>
                <w:b w:val="false"/>
                <w:bCs w:val="false"/>
                <w:color w:val="000000"/>
                <w:sz w:val="20"/>
                <w:szCs w:val="20"/>
              </w:rPr>
              <w:t xml:space="preserve">Correct for outright purchases, but note it does not govern Rentals or Swaps (those are contracts of bailment/barter, governed by the Contract Act instead) — keep this distinction clear in your Rental and Swap Terms so you're not misapplying "sale" concepts to a rental.</w:t>
            </w:r>
          </w:p>
        </w:tc>
      </w:tr>
      <w:tr>
        <w:tc>
          <w:tcPr>
            <w:tcW w:type="dxa" w:w="3200"/>
            <w:shd w:fill="F2F5F1" w:val="clear"/>
            <w:tcMar>
              <w:top w:type="dxa" w:w="100"/>
              <w:left w:type="dxa" w:w="120"/>
              <w:bottom w:type="dxa" w:w="100"/>
              <w:right w:type="dxa" w:w="120"/>
            </w:tcMar>
          </w:tcPr>
          <w:p>
            <w:r>
              <w:rPr>
                <w:b w:val="false"/>
                <w:bCs w:val="false"/>
                <w:color w:val="000000"/>
                <w:sz w:val="20"/>
                <w:szCs w:val="20"/>
              </w:rPr>
              <w:t xml:space="preserve">Legal Metrology Act, 2009 + Rules</w:t>
            </w:r>
          </w:p>
        </w:tc>
        <w:tc>
          <w:tcPr>
            <w:tcW w:type="dxa" w:w="1700"/>
            <w:shd w:fill="F2F5F1" w:val="clear"/>
            <w:tcMar>
              <w:top w:type="dxa" w:w="100"/>
              <w:left w:type="dxa" w:w="120"/>
              <w:bottom w:type="dxa" w:w="100"/>
              <w:right w:type="dxa" w:w="120"/>
            </w:tcMar>
          </w:tcPr>
          <w:p>
            <w:r>
              <w:rPr>
                <w:b w:val="false"/>
                <w:bCs w:val="false"/>
                <w:color w:val="000000"/>
                <w:sz w:val="20"/>
                <w:szCs w:val="20"/>
              </w:rPr>
              <w:t xml:space="preserve">Lower priority for KAPHOR</w:t>
            </w:r>
          </w:p>
        </w:tc>
        <w:tc>
          <w:tcPr>
            <w:tcW w:type="dxa" w:w="5400"/>
            <w:shd w:fill="F2F5F1" w:val="clear"/>
            <w:tcMar>
              <w:top w:type="dxa" w:w="100"/>
              <w:left w:type="dxa" w:w="120"/>
              <w:bottom w:type="dxa" w:w="100"/>
              <w:right w:type="dxa" w:w="120"/>
            </w:tcMar>
          </w:tcPr>
          <w:p>
            <w:r>
              <w:rPr>
                <w:b w:val="false"/>
                <w:bCs w:val="false"/>
                <w:color w:val="000000"/>
                <w:sz w:val="20"/>
                <w:szCs w:val="20"/>
              </w:rPr>
              <w:t xml:space="preserve">Technically correct, but this mainly affects declarations on packaged/manufactured goods (net quantity, MRP, manufacture date). For a peer-to-peer secondhand/rental marketplace it's a light-touch item — relevant mainly if KAPHOR ever lists new/boxed accessories. Keep one short clause rather than a full section.</w:t>
            </w:r>
          </w:p>
        </w:tc>
      </w:tr>
      <w:tr>
        <w:tc>
          <w:tcPr>
            <w:tcW w:type="dxa" w:w="3200"/>
            <w:tcMar>
              <w:top w:type="dxa" w:w="100"/>
              <w:left w:type="dxa" w:w="120"/>
              <w:bottom w:type="dxa" w:w="100"/>
              <w:right w:type="dxa" w:w="120"/>
            </w:tcMar>
          </w:tcPr>
          <w:p>
            <w:r>
              <w:rPr>
                <w:b w:val="false"/>
                <w:bCs w:val="false"/>
                <w:color w:val="000000"/>
                <w:sz w:val="20"/>
                <w:szCs w:val="20"/>
              </w:rPr>
              <w:t xml:space="preserve">Copyright Act, 1957</w:t>
            </w:r>
          </w:p>
        </w:tc>
        <w:tc>
          <w:tcPr>
            <w:tcW w:type="dxa" w:w="1700"/>
            <w:tcMar>
              <w:top w:type="dxa" w:w="100"/>
              <w:left w:type="dxa" w:w="120"/>
              <w:bottom w:type="dxa" w:w="100"/>
              <w:right w:type="dxa" w:w="120"/>
            </w:tcMar>
          </w:tcPr>
          <w:p>
            <w:r>
              <w:rPr>
                <w:b w:val="false"/>
                <w:bCs w:val="false"/>
                <w:color w:val="000000"/>
                <w:sz w:val="20"/>
                <w:szCs w:val="20"/>
              </w:rPr>
              <w:t xml:space="preserve">Yes — core</w:t>
            </w:r>
          </w:p>
        </w:tc>
        <w:tc>
          <w:tcPr>
            <w:tcW w:type="dxa" w:w="5400"/>
            <w:tcMar>
              <w:top w:type="dxa" w:w="100"/>
              <w:left w:type="dxa" w:w="120"/>
              <w:bottom w:type="dxa" w:w="100"/>
              <w:right w:type="dxa" w:w="120"/>
            </w:tcMar>
          </w:tcPr>
          <w:p>
            <w:r>
              <w:rPr>
                <w:b w:val="false"/>
                <w:bCs w:val="false"/>
                <w:color w:val="000000"/>
                <w:sz w:val="20"/>
                <w:szCs w:val="20"/>
              </w:rPr>
              <w:t xml:space="preserve">Correct. Needed for the photos, descriptions and any AI-generated upcycling instructions users upload or receive.</w:t>
            </w:r>
          </w:p>
        </w:tc>
      </w:tr>
      <w:tr>
        <w:tc>
          <w:tcPr>
            <w:tcW w:type="dxa" w:w="3200"/>
            <w:shd w:fill="F2F5F1" w:val="clear"/>
            <w:tcMar>
              <w:top w:type="dxa" w:w="100"/>
              <w:left w:type="dxa" w:w="120"/>
              <w:bottom w:type="dxa" w:w="100"/>
              <w:right w:type="dxa" w:w="120"/>
            </w:tcMar>
          </w:tcPr>
          <w:p>
            <w:r>
              <w:rPr>
                <w:b w:val="false"/>
                <w:bCs w:val="false"/>
                <w:color w:val="000000"/>
                <w:sz w:val="20"/>
                <w:szCs w:val="20"/>
              </w:rPr>
              <w:t xml:space="preserve">Trade Marks Act, 1999</w:t>
            </w:r>
          </w:p>
        </w:tc>
        <w:tc>
          <w:tcPr>
            <w:tcW w:type="dxa" w:w="1700"/>
            <w:shd w:fill="F2F5F1" w:val="clear"/>
            <w:tcMar>
              <w:top w:type="dxa" w:w="100"/>
              <w:left w:type="dxa" w:w="120"/>
              <w:bottom w:type="dxa" w:w="100"/>
              <w:right w:type="dxa" w:w="120"/>
            </w:tcMar>
          </w:tcPr>
          <w:p>
            <w:r>
              <w:rPr>
                <w:b w:val="false"/>
                <w:bCs w:val="false"/>
                <w:color w:val="000000"/>
                <w:sz w:val="20"/>
                <w:szCs w:val="20"/>
              </w:rPr>
              <w:t xml:space="preserve">Yes — core, high priority</w:t>
            </w:r>
          </w:p>
        </w:tc>
        <w:tc>
          <w:tcPr>
            <w:tcW w:type="dxa" w:w="5400"/>
            <w:shd w:fill="F2F5F1" w:val="clear"/>
            <w:tcMar>
              <w:top w:type="dxa" w:w="100"/>
              <w:left w:type="dxa" w:w="120"/>
              <w:bottom w:type="dxa" w:w="100"/>
              <w:right w:type="dxa" w:w="120"/>
            </w:tcMar>
          </w:tcPr>
          <w:p>
            <w:r>
              <w:rPr>
                <w:b w:val="false"/>
                <w:bCs w:val="false"/>
                <w:color w:val="000000"/>
                <w:sz w:val="20"/>
                <w:szCs w:val="20"/>
              </w:rPr>
              <w:t xml:space="preserve">Correct, and worth elevating given KAPHOR handles luxury/branded garments — counterfeit risk is real and this law plus a seller-authenticity clause is your main protection.</w:t>
            </w:r>
          </w:p>
        </w:tc>
      </w:tr>
      <w:tr>
        <w:tc>
          <w:tcPr>
            <w:tcW w:type="dxa" w:w="3200"/>
            <w:tcMar>
              <w:top w:type="dxa" w:w="100"/>
              <w:left w:type="dxa" w:w="120"/>
              <w:bottom w:type="dxa" w:w="100"/>
              <w:right w:type="dxa" w:w="120"/>
            </w:tcMar>
          </w:tcPr>
          <w:p>
            <w:r>
              <w:rPr>
                <w:b w:val="false"/>
                <w:bCs w:val="false"/>
                <w:color w:val="000000"/>
                <w:sz w:val="20"/>
                <w:szCs w:val="20"/>
              </w:rPr>
              <w:t xml:space="preserve">Bharatiya Nyaya Sanhita, 2023 (BNS)</w:t>
            </w:r>
          </w:p>
        </w:tc>
        <w:tc>
          <w:tcPr>
            <w:tcW w:type="dxa" w:w="1700"/>
            <w:tcMar>
              <w:top w:type="dxa" w:w="100"/>
              <w:left w:type="dxa" w:w="120"/>
              <w:bottom w:type="dxa" w:w="100"/>
              <w:right w:type="dxa" w:w="120"/>
            </w:tcMar>
          </w:tcPr>
          <w:p>
            <w:r>
              <w:rPr>
                <w:b w:val="false"/>
                <w:bCs w:val="false"/>
                <w:color w:val="000000"/>
                <w:sz w:val="20"/>
                <w:szCs w:val="20"/>
              </w:rPr>
              <w:t xml:space="preserve">Yes — correctly updated</w:t>
            </w:r>
          </w:p>
        </w:tc>
        <w:tc>
          <w:tcPr>
            <w:tcW w:type="dxa" w:w="5400"/>
            <w:tcMar>
              <w:top w:type="dxa" w:w="100"/>
              <w:left w:type="dxa" w:w="120"/>
              <w:bottom w:type="dxa" w:w="100"/>
              <w:right w:type="dxa" w:w="120"/>
            </w:tcMar>
          </w:tcPr>
          <w:p>
            <w:r>
              <w:rPr>
                <w:b w:val="false"/>
                <w:bCs w:val="false"/>
                <w:color w:val="000000"/>
                <w:sz w:val="20"/>
                <w:szCs w:val="20"/>
              </w:rPr>
              <w:t xml:space="preserve">Correct to cite BNS 2023 (in force from 1 July 2024) rather than the old Indian Penal Code — this replaces it for fraud, cheating and impersonation offences.</w:t>
            </w:r>
          </w:p>
        </w:tc>
      </w:tr>
      <w:tr>
        <w:tc>
          <w:tcPr>
            <w:tcW w:type="dxa" w:w="3200"/>
            <w:shd w:fill="F2F5F1" w:val="clear"/>
            <w:tcMar>
              <w:top w:type="dxa" w:w="100"/>
              <w:left w:type="dxa" w:w="120"/>
              <w:bottom w:type="dxa" w:w="100"/>
              <w:right w:type="dxa" w:w="120"/>
            </w:tcMar>
          </w:tcPr>
          <w:p>
            <w:r>
              <w:rPr>
                <w:b w:val="false"/>
                <w:bCs w:val="false"/>
                <w:color w:val="000000"/>
                <w:sz w:val="20"/>
                <w:szCs w:val="20"/>
              </w:rPr>
              <w:t xml:space="preserve">CCPA Guidelines on Misleading Advertisements &amp; Dark Patterns</w:t>
            </w:r>
          </w:p>
        </w:tc>
        <w:tc>
          <w:tcPr>
            <w:tcW w:type="dxa" w:w="1700"/>
            <w:shd w:fill="F2F5F1" w:val="clear"/>
            <w:tcMar>
              <w:top w:type="dxa" w:w="100"/>
              <w:left w:type="dxa" w:w="120"/>
              <w:bottom w:type="dxa" w:w="100"/>
              <w:right w:type="dxa" w:w="120"/>
            </w:tcMar>
          </w:tcPr>
          <w:p>
            <w:r>
              <w:rPr>
                <w:b w:val="false"/>
                <w:bCs w:val="false"/>
                <w:color w:val="000000"/>
                <w:sz w:val="20"/>
                <w:szCs w:val="20"/>
              </w:rPr>
              <w:t xml:space="preserve">Yes — core for KAPHOR specifically</w:t>
            </w:r>
          </w:p>
        </w:tc>
        <w:tc>
          <w:tcPr>
            <w:tcW w:type="dxa" w:w="5400"/>
            <w:shd w:fill="F2F5F1" w:val="clear"/>
            <w:tcMar>
              <w:top w:type="dxa" w:w="100"/>
              <w:left w:type="dxa" w:w="120"/>
              <w:bottom w:type="dxa" w:w="100"/>
              <w:right w:type="dxa" w:w="120"/>
            </w:tcMar>
          </w:tcPr>
          <w:p>
            <w:r>
              <w:rPr>
                <w:b w:val="false"/>
                <w:bCs w:val="false"/>
                <w:color w:val="000000"/>
                <w:sz w:val="20"/>
                <w:szCs w:val="20"/>
              </w:rPr>
              <w:t xml:space="preserve">Correct, and more important than the GPT answer suggests: KAPHOR's "Impact Dashboard" makes environmental claims (water saved, carbon offset, trees planted). These are exactly the kind of claim regulators scrutinize for greenwashing — see Part 2.</w:t>
            </w:r>
          </w:p>
        </w:tc>
      </w:tr>
    </w:tbl>
    <w:p>
      <w:pPr>
        <w:spacing w:after="200"/>
      </w:pPr>
    </w:p>
    <w:p>
      <w:pPr>
        <w:spacing w:after="150"/>
      </w:pPr>
      <w:r>
        <w:rPr>
          <w:b w:val="false"/>
          <w:bCs w:val="false"/>
          <w:i w:val="false"/>
          <w:iCs w:val="false"/>
        </w:rPr>
        <w:t xml:space="preserve">Overall verdict: keep the GPT list. Update the DPDP Act reference to point at the notified 2025 Rules, downgrade Legal Metrology to a minor clause, and treat the advertising/dark-patterns guidance as a first-class requirement because of the Impact Dashboard.</w:t>
      </w:r>
    </w:p>
    <w:p>
      <w:pPr>
        <w:pStyle w:val="Heading1"/>
        <w:spacing w:after="200" w:before="400"/>
      </w:pPr>
      <w:r>
        <w:t xml:space="preserve">Part 2 — Laws the GPT Answer Missed</w:t>
      </w:r>
    </w:p>
    <w:p>
      <w:pPr>
        <w:spacing w:after="150"/>
      </w:pPr>
      <w:r>
        <w:rPr>
          <w:b w:val="false"/>
          <w:bCs w:val="false"/>
          <w:i w:val="false"/>
          <w:iCs w:val="false"/>
        </w:rPr>
        <w:t xml:space="preserve">These don't need to dominate your T&amp;C, but each covers a real gap in the original list — mostly around money movement, taxes, and the sustainability claims that make KAPHOR distinctive.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00"/>
        <w:gridCol w:w="5100"/>
        <w:gridCol w:w="1800"/>
      </w:tblGrid>
      <w:tr>
        <w:trPr>
          <w:tblHeader/>
        </w:trPr>
        <w:tc>
          <w:tcPr>
            <w:tcW w:type="dxa" w:w="3400"/>
            <w:shd w:fill="2E4B3F" w:val="clear"/>
            <w:tcMar>
              <w:top w:type="dxa" w:w="100"/>
              <w:left w:type="dxa" w:w="120"/>
              <w:bottom w:type="dxa" w:w="100"/>
              <w:right w:type="dxa" w:w="120"/>
            </w:tcMar>
          </w:tcPr>
          <w:p>
            <w:r>
              <w:rPr>
                <w:b/>
                <w:bCs/>
                <w:color w:val="FFFFFF"/>
                <w:sz w:val="20"/>
                <w:szCs w:val="20"/>
              </w:rPr>
              <w:t xml:space="preserve">Law / Guideline</w:t>
            </w:r>
          </w:p>
        </w:tc>
        <w:tc>
          <w:tcPr>
            <w:tcW w:type="dxa" w:w="5100"/>
            <w:shd w:fill="2E4B3F" w:val="clear"/>
            <w:tcMar>
              <w:top w:type="dxa" w:w="100"/>
              <w:left w:type="dxa" w:w="120"/>
              <w:bottom w:type="dxa" w:w="100"/>
              <w:right w:type="dxa" w:w="120"/>
            </w:tcMar>
          </w:tcPr>
          <w:p>
            <w:r>
              <w:rPr>
                <w:b/>
                <w:bCs/>
                <w:color w:val="FFFFFF"/>
                <w:sz w:val="20"/>
                <w:szCs w:val="20"/>
              </w:rPr>
              <w:t xml:space="preserve">Why KAPHOR needs it</w:t>
            </w:r>
          </w:p>
        </w:tc>
        <w:tc>
          <w:tcPr>
            <w:tcW w:type="dxa" w:w="1800"/>
            <w:shd w:fill="2E4B3F" w:val="clear"/>
            <w:tcMar>
              <w:top w:type="dxa" w:w="100"/>
              <w:left w:type="dxa" w:w="120"/>
              <w:bottom w:type="dxa" w:w="100"/>
              <w:right w:type="dxa" w:w="120"/>
            </w:tcMar>
          </w:tcPr>
          <w:p>
            <w:r>
              <w:rPr>
                <w:b/>
                <w:bCs/>
                <w:color w:val="FFFFFF"/>
                <w:sz w:val="20"/>
                <w:szCs w:val="20"/>
              </w:rPr>
              <w:t xml:space="preserve">Where it should show up</w:t>
            </w:r>
          </w:p>
        </w:tc>
      </w:tr>
      <w:tr>
        <w:tc>
          <w:tcPr>
            <w:tcW w:type="dxa" w:w="3400"/>
            <w:tcMar>
              <w:top w:type="dxa" w:w="100"/>
              <w:left w:type="dxa" w:w="120"/>
              <w:bottom w:type="dxa" w:w="100"/>
              <w:right w:type="dxa" w:w="120"/>
            </w:tcMar>
          </w:tcPr>
          <w:p>
            <w:r>
              <w:rPr>
                <w:b w:val="false"/>
                <w:bCs w:val="false"/>
                <w:color w:val="000000"/>
                <w:sz w:val="20"/>
                <w:szCs w:val="20"/>
              </w:rPr>
              <w:t xml:space="preserve">Payment and Settlement Systems Act, 2007 + RBI rules for Payment Aggregators</w:t>
            </w:r>
          </w:p>
        </w:tc>
        <w:tc>
          <w:tcPr>
            <w:tcW w:type="dxa" w:w="5100"/>
            <w:tcMar>
              <w:top w:type="dxa" w:w="100"/>
              <w:left w:type="dxa" w:w="120"/>
              <w:bottom w:type="dxa" w:w="100"/>
              <w:right w:type="dxa" w:w="120"/>
            </w:tcMar>
          </w:tcPr>
          <w:p>
            <w:r>
              <w:rPr>
                <w:b w:val="false"/>
                <w:bCs w:val="false"/>
                <w:color w:val="000000"/>
                <w:sz w:val="20"/>
                <w:szCs w:val="20"/>
              </w:rPr>
              <w:t xml:space="preserve">KAPHOR moves money between buyers, renters and sellers through Stripe/Razorpay. RBI treats marketplaces that collect and later disburse buyer payments as needing to route funds through a proper escrow/nodal account, not hold them directly.</w:t>
            </w:r>
          </w:p>
        </w:tc>
        <w:tc>
          <w:tcPr>
            <w:tcW w:type="dxa" w:w="1800"/>
            <w:tcMar>
              <w:top w:type="dxa" w:w="100"/>
              <w:left w:type="dxa" w:w="120"/>
              <w:bottom w:type="dxa" w:w="100"/>
              <w:right w:type="dxa" w:w="120"/>
            </w:tcMar>
          </w:tcPr>
          <w:p>
            <w:r>
              <w:rPr>
                <w:b w:val="false"/>
                <w:bCs w:val="false"/>
                <w:color w:val="000000"/>
                <w:sz w:val="20"/>
                <w:szCs w:val="20"/>
              </w:rPr>
              <w:t xml:space="preserve">Terms &amp; Conditions (Payments clause) + Refund &amp; Cancellation Policy</w:t>
            </w:r>
          </w:p>
        </w:tc>
      </w:tr>
      <w:tr>
        <w:tc>
          <w:tcPr>
            <w:tcW w:type="dxa" w:w="3400"/>
            <w:shd w:fill="F2F5F1" w:val="clear"/>
            <w:tcMar>
              <w:top w:type="dxa" w:w="100"/>
              <w:left w:type="dxa" w:w="120"/>
              <w:bottom w:type="dxa" w:w="100"/>
              <w:right w:type="dxa" w:w="120"/>
            </w:tcMar>
          </w:tcPr>
          <w:p>
            <w:r>
              <w:rPr>
                <w:b w:val="false"/>
                <w:bCs w:val="false"/>
                <w:color w:val="000000"/>
                <w:sz w:val="20"/>
                <w:szCs w:val="20"/>
              </w:rPr>
              <w:t xml:space="preserve">Central Goods and Services Tax (CGST) Act, 2017 — Section 52</w:t>
            </w:r>
          </w:p>
        </w:tc>
        <w:tc>
          <w:tcPr>
            <w:tcW w:type="dxa" w:w="5100"/>
            <w:shd w:fill="F2F5F1" w:val="clear"/>
            <w:tcMar>
              <w:top w:type="dxa" w:w="100"/>
              <w:left w:type="dxa" w:w="120"/>
              <w:bottom w:type="dxa" w:w="100"/>
              <w:right w:type="dxa" w:w="120"/>
            </w:tcMar>
          </w:tcPr>
          <w:p>
            <w:r>
              <w:rPr>
                <w:b w:val="false"/>
                <w:bCs w:val="false"/>
                <w:color w:val="000000"/>
                <w:sz w:val="20"/>
                <w:szCs w:val="20"/>
              </w:rPr>
              <w:t xml:space="preserve">As a marketplace facilitating sales by other sellers, KAPHOR is an "e-commerce operator" and must collect Tax Collected at Source (TCS) on seller payouts and register for GST with no turnover exemption.</w:t>
            </w:r>
          </w:p>
        </w:tc>
        <w:tc>
          <w:tcPr>
            <w:tcW w:type="dxa" w:w="1800"/>
            <w:shd w:fill="F2F5F1" w:val="clear"/>
            <w:tcMar>
              <w:top w:type="dxa" w:w="100"/>
              <w:left w:type="dxa" w:w="120"/>
              <w:bottom w:type="dxa" w:w="100"/>
              <w:right w:type="dxa" w:w="120"/>
            </w:tcMar>
          </w:tcPr>
          <w:p>
            <w:r>
              <w:rPr>
                <w:b w:val="false"/>
                <w:bCs w:val="false"/>
                <w:color w:val="000000"/>
                <w:sz w:val="20"/>
                <w:szCs w:val="20"/>
              </w:rPr>
              <w:t xml:space="preserve">Seller Terms + Refund &amp; Cancellation Policy</w:t>
            </w:r>
          </w:p>
        </w:tc>
      </w:tr>
      <w:tr>
        <w:tc>
          <w:tcPr>
            <w:tcW w:type="dxa" w:w="3400"/>
            <w:tcMar>
              <w:top w:type="dxa" w:w="100"/>
              <w:left w:type="dxa" w:w="120"/>
              <w:bottom w:type="dxa" w:w="100"/>
              <w:right w:type="dxa" w:w="120"/>
            </w:tcMar>
          </w:tcPr>
          <w:p>
            <w:r>
              <w:rPr>
                <w:b w:val="false"/>
                <w:bCs w:val="false"/>
                <w:color w:val="000000"/>
                <w:sz w:val="20"/>
                <w:szCs w:val="20"/>
              </w:rPr>
              <w:t xml:space="preserve">Income Tax Act, 1961 — Section 194-O</w:t>
            </w:r>
          </w:p>
        </w:tc>
        <w:tc>
          <w:tcPr>
            <w:tcW w:type="dxa" w:w="5100"/>
            <w:tcMar>
              <w:top w:type="dxa" w:w="100"/>
              <w:left w:type="dxa" w:w="120"/>
              <w:bottom w:type="dxa" w:w="100"/>
              <w:right w:type="dxa" w:w="120"/>
            </w:tcMar>
          </w:tcPr>
          <w:p>
            <w:r>
              <w:rPr>
                <w:b w:val="false"/>
                <w:bCs w:val="false"/>
                <w:color w:val="000000"/>
                <w:sz w:val="20"/>
                <w:szCs w:val="20"/>
              </w:rPr>
              <w:t xml:space="preserve">Requires KAPHOR to deduct TDS (1%) on gross payments made to sellers/renters for sales facilitated through the app.</w:t>
            </w:r>
          </w:p>
        </w:tc>
        <w:tc>
          <w:tcPr>
            <w:tcW w:type="dxa" w:w="1800"/>
            <w:tcMar>
              <w:top w:type="dxa" w:w="100"/>
              <w:left w:type="dxa" w:w="120"/>
              <w:bottom w:type="dxa" w:w="100"/>
              <w:right w:type="dxa" w:w="120"/>
            </w:tcMar>
          </w:tcPr>
          <w:p>
            <w:r>
              <w:rPr>
                <w:b w:val="false"/>
                <w:bCs w:val="false"/>
                <w:color w:val="000000"/>
                <w:sz w:val="20"/>
                <w:szCs w:val="20"/>
              </w:rPr>
              <w:t xml:space="preserve">Seller Terms</w:t>
            </w:r>
          </w:p>
        </w:tc>
      </w:tr>
      <w:tr>
        <w:tc>
          <w:tcPr>
            <w:tcW w:type="dxa" w:w="3400"/>
            <w:shd w:fill="F2F5F1" w:val="clear"/>
            <w:tcMar>
              <w:top w:type="dxa" w:w="100"/>
              <w:left w:type="dxa" w:w="120"/>
              <w:bottom w:type="dxa" w:w="100"/>
              <w:right w:type="dxa" w:w="120"/>
            </w:tcMar>
          </w:tcPr>
          <w:p>
            <w:r>
              <w:rPr>
                <w:b w:val="false"/>
                <w:bCs w:val="false"/>
                <w:color w:val="000000"/>
                <w:sz w:val="20"/>
                <w:szCs w:val="20"/>
              </w:rPr>
              <w:t xml:space="preserve">Arbitration and Conciliation Act, 1996</w:t>
            </w:r>
          </w:p>
        </w:tc>
        <w:tc>
          <w:tcPr>
            <w:tcW w:type="dxa" w:w="5100"/>
            <w:shd w:fill="F2F5F1" w:val="clear"/>
            <w:tcMar>
              <w:top w:type="dxa" w:w="100"/>
              <w:left w:type="dxa" w:w="120"/>
              <w:bottom w:type="dxa" w:w="100"/>
              <w:right w:type="dxa" w:w="120"/>
            </w:tcMar>
          </w:tcPr>
          <w:p>
            <w:r>
              <w:rPr>
                <w:b w:val="false"/>
                <w:bCs w:val="false"/>
                <w:color w:val="000000"/>
                <w:sz w:val="20"/>
                <w:szCs w:val="20"/>
              </w:rPr>
              <w:t xml:space="preserve">Gives you a formal, faster dispute-resolution clause for platform-vs-user or seller-vs-buyer disputes — but must be worded so it does not try to block a consumer's right to approach a Consumer Commission instead (courts have struck down clauses that try to force this).</w:t>
            </w:r>
          </w:p>
        </w:tc>
        <w:tc>
          <w:tcPr>
            <w:tcW w:type="dxa" w:w="1800"/>
            <w:shd w:fill="F2F5F1" w:val="clear"/>
            <w:tcMar>
              <w:top w:type="dxa" w:w="100"/>
              <w:left w:type="dxa" w:w="120"/>
              <w:bottom w:type="dxa" w:w="100"/>
              <w:right w:type="dxa" w:w="120"/>
            </w:tcMar>
          </w:tcPr>
          <w:p>
            <w:r>
              <w:rPr>
                <w:b w:val="false"/>
                <w:bCs w:val="false"/>
                <w:color w:val="000000"/>
                <w:sz w:val="20"/>
                <w:szCs w:val="20"/>
              </w:rPr>
              <w:t xml:space="preserve">Terms &amp; Conditions (Dispute Resolution clause)</w:t>
            </w:r>
          </w:p>
        </w:tc>
      </w:tr>
      <w:tr>
        <w:tc>
          <w:tcPr>
            <w:tcW w:type="dxa" w:w="3400"/>
            <w:tcMar>
              <w:top w:type="dxa" w:w="100"/>
              <w:left w:type="dxa" w:w="120"/>
              <w:bottom w:type="dxa" w:w="100"/>
              <w:right w:type="dxa" w:w="120"/>
            </w:tcMar>
          </w:tcPr>
          <w:p>
            <w:r>
              <w:rPr>
                <w:b w:val="false"/>
                <w:bCs w:val="false"/>
                <w:color w:val="000000"/>
                <w:sz w:val="20"/>
                <w:szCs w:val="20"/>
              </w:rPr>
              <w:t xml:space="preserve">CCPA Guidelines for Prevention of Misleading Advertisement &amp; Greenwashing, 2024</w:t>
            </w:r>
          </w:p>
        </w:tc>
        <w:tc>
          <w:tcPr>
            <w:tcW w:type="dxa" w:w="5100"/>
            <w:tcMar>
              <w:top w:type="dxa" w:w="100"/>
              <w:left w:type="dxa" w:w="120"/>
              <w:bottom w:type="dxa" w:w="100"/>
              <w:right w:type="dxa" w:w="120"/>
            </w:tcMar>
          </w:tcPr>
          <w:p>
            <w:r>
              <w:rPr>
                <w:b w:val="false"/>
                <w:bCs w:val="false"/>
                <w:color w:val="000000"/>
                <w:sz w:val="20"/>
                <w:szCs w:val="20"/>
              </w:rPr>
              <w:t xml:space="preserve">Directly relevant to KAPHOR's Impact Dashboard ("water saved", "carbon offset", "trees planted"). These figures must be based on a disclosed, reasonable methodology — vague or unverifiable environmental claims are now specifically regulated as "greenwashing."</w:t>
            </w:r>
          </w:p>
        </w:tc>
        <w:tc>
          <w:tcPr>
            <w:tcW w:type="dxa" w:w="1800"/>
            <w:tcMar>
              <w:top w:type="dxa" w:w="100"/>
              <w:left w:type="dxa" w:w="120"/>
              <w:bottom w:type="dxa" w:w="100"/>
              <w:right w:type="dxa" w:w="120"/>
            </w:tcMar>
          </w:tcPr>
          <w:p>
            <w:r>
              <w:rPr>
                <w:b w:val="false"/>
                <w:bCs w:val="false"/>
                <w:color w:val="000000"/>
                <w:sz w:val="20"/>
                <w:szCs w:val="20"/>
              </w:rPr>
              <w:t xml:space="preserve">Community/Content Policy + a short "How we calculate impact" note</w:t>
            </w:r>
          </w:p>
        </w:tc>
      </w:tr>
      <w:tr>
        <w:tc>
          <w:tcPr>
            <w:tcW w:type="dxa" w:w="3400"/>
            <w:shd w:fill="F2F5F1" w:val="clear"/>
            <w:tcMar>
              <w:top w:type="dxa" w:w="100"/>
              <w:left w:type="dxa" w:w="120"/>
              <w:bottom w:type="dxa" w:w="100"/>
              <w:right w:type="dxa" w:w="120"/>
            </w:tcMar>
          </w:tcPr>
          <w:p>
            <w:r>
              <w:rPr>
                <w:b w:val="false"/>
                <w:bCs w:val="false"/>
                <w:color w:val="000000"/>
                <w:sz w:val="20"/>
                <w:szCs w:val="20"/>
              </w:rPr>
              <w:t xml:space="preserve">Prevention of Money-Laundering Act, 2002 (PMLA) — conditional</w:t>
            </w:r>
          </w:p>
        </w:tc>
        <w:tc>
          <w:tcPr>
            <w:tcW w:type="dxa" w:w="5100"/>
            <w:shd w:fill="F2F5F1" w:val="clear"/>
            <w:tcMar>
              <w:top w:type="dxa" w:w="100"/>
              <w:left w:type="dxa" w:w="120"/>
              <w:bottom w:type="dxa" w:w="100"/>
              <w:right w:type="dxa" w:w="120"/>
            </w:tcMar>
          </w:tcPr>
          <w:p>
            <w:r>
              <w:rPr>
                <w:b w:val="false"/>
                <w:bCs w:val="false"/>
                <w:color w:val="000000"/>
                <w:sz w:val="20"/>
                <w:szCs w:val="20"/>
              </w:rPr>
              <w:t xml:space="preserve">Only becomes relevant if KAPHOR ever holds a wallet balance or store credit for users (e.g., swap credits, refund balances). If so, basic KYC and transaction-monitoring language is expected.</w:t>
            </w:r>
          </w:p>
        </w:tc>
        <w:tc>
          <w:tcPr>
            <w:tcW w:type="dxa" w:w="1800"/>
            <w:shd w:fill="F2F5F1" w:val="clear"/>
            <w:tcMar>
              <w:top w:type="dxa" w:w="100"/>
              <w:left w:type="dxa" w:w="120"/>
              <w:bottom w:type="dxa" w:w="100"/>
              <w:right w:type="dxa" w:w="120"/>
            </w:tcMar>
          </w:tcPr>
          <w:p>
            <w:r>
              <w:rPr>
                <w:b w:val="false"/>
                <w:bCs w:val="false"/>
                <w:color w:val="000000"/>
                <w:sz w:val="20"/>
                <w:szCs w:val="20"/>
              </w:rPr>
              <w:t xml:space="preserve">Terms &amp; Conditions (only if wallet/credit features are added)</w:t>
            </w:r>
          </w:p>
        </w:tc>
      </w:tr>
    </w:tbl>
    <w:p>
      <w:pPr>
        <w:pStyle w:val="Heading1"/>
        <w:spacing w:after="200" w:before="400"/>
      </w:pPr>
      <w:r>
        <w:t xml:space="preserve">Part 3 — Final Recommended Document Set</w:t>
      </w:r>
    </w:p>
    <w:p>
      <w:pPr>
        <w:spacing w:after="150"/>
      </w:pPr>
      <w:r>
        <w:rPr>
          <w:b w:val="false"/>
          <w:bCs w:val="false"/>
          <w:i w:val="false"/>
          <w:iCs w:val="false"/>
        </w:rPr>
        <w:t xml:space="preserve">Same 8-document structure your GPT answer proposed — it's the right approach for KAPHOR rather than one giant T&amp;C. Two additions are marked NEW.</w:t>
      </w:r>
    </w:p>
    <w:p>
      <w:pPr>
        <w:pStyle w:val="ListParagraph"/>
        <w:numPr>
          <w:ilvl w:val="0"/>
          <w:numId w:val="1"/>
        </w:numPr>
        <w:spacing w:after="80"/>
      </w:pPr>
      <w:r>
        <w:t xml:space="preserve">1. Terms &amp; Conditions — the master agreement: accounts, browsing, buying, renting, swapping, payments, prohibited conduct, liability, dispute resolution.</w:t>
      </w:r>
    </w:p>
    <w:p>
      <w:pPr>
        <w:pStyle w:val="ListParagraph"/>
        <w:numPr>
          <w:ilvl w:val="0"/>
          <w:numId w:val="1"/>
        </w:numPr>
        <w:spacing w:after="80"/>
      </w:pPr>
      <w:r>
        <w:t xml:space="preserve">2. Privacy Policy — DPDP-Act-aligned: what data is collected (including Style Vector and uploaded photos), why, how long it's kept, and user rights.</w:t>
      </w:r>
    </w:p>
    <w:p>
      <w:pPr>
        <w:pStyle w:val="ListParagraph"/>
        <w:numPr>
          <w:ilvl w:val="0"/>
          <w:numId w:val="1"/>
        </w:numPr>
        <w:spacing w:after="80"/>
      </w:pPr>
      <w:r>
        <w:t xml:space="preserve">3. Seller Terms — authenticity promises, condition disclosure, pricing, counterfeit prohibition, GST/TDS deduction notice (NEW), payout timing.</w:t>
      </w:r>
    </w:p>
    <w:p>
      <w:pPr>
        <w:pStyle w:val="ListParagraph"/>
        <w:numPr>
          <w:ilvl w:val="0"/>
          <w:numId w:val="1"/>
        </w:numPr>
        <w:spacing w:after="80"/>
      </w:pPr>
      <w:r>
        <w:t xml:space="preserve">4. Rental Terms — rental period, deposit, damage/late-return charges, cleaning responsibility, cancellation.</w:t>
      </w:r>
    </w:p>
    <w:p>
      <w:pPr>
        <w:pStyle w:val="ListParagraph"/>
        <w:numPr>
          <w:ilvl w:val="0"/>
          <w:numId w:val="1"/>
        </w:numPr>
        <w:spacing w:after="80"/>
      </w:pPr>
      <w:r>
        <w:t xml:space="preserve">5. Swap Terms — ownership transfer, condition matching, valuation/credits, what happens if a swap fails.</w:t>
      </w:r>
    </w:p>
    <w:p>
      <w:pPr>
        <w:pStyle w:val="ListParagraph"/>
        <w:numPr>
          <w:ilvl w:val="0"/>
          <w:numId w:val="1"/>
        </w:numPr>
        <w:spacing w:after="80"/>
      </w:pPr>
      <w:r>
        <w:t xml:space="preserve">6. Refund &amp; Cancellation Policy — buyer-side refund windows, how TCS/payment-gateway holds affect refund timing (NEW), rental deposit returns.</w:t>
      </w:r>
    </w:p>
    <w:p>
      <w:pPr>
        <w:pStyle w:val="ListParagraph"/>
        <w:numPr>
          <w:ilvl w:val="0"/>
          <w:numId w:val="1"/>
        </w:numPr>
        <w:spacing w:after="80"/>
      </w:pPr>
      <w:r>
        <w:t xml:space="preserve">7. Community &amp; Content Policy — acceptable photos/descriptions, IP ownership of uploads, and the impact-claim methodology disclosure (NEW).</w:t>
      </w:r>
    </w:p>
    <w:p>
      <w:pPr>
        <w:pStyle w:val="ListParagraph"/>
        <w:numPr>
          <w:ilvl w:val="0"/>
          <w:numId w:val="1"/>
        </w:numPr>
        <w:spacing w:after="80"/>
      </w:pPr>
      <w:r>
        <w:t xml:space="preserve">8. Grievance Redressal Policy — the named Grievance Officer, response timelines mandated by the IT Rules 2021, and escalation to Consumer Commission / Data Protection Board.</w:t>
      </w:r>
    </w:p>
    <w:p>
      <w:pPr>
        <w:pageBreakBefore/>
      </w:pPr>
    </w:p>
    <w:p>
      <w:pPr>
        <w:pStyle w:val="Heading1"/>
        <w:spacing w:after="200" w:before="400"/>
      </w:pPr>
      <w:r>
        <w:t xml:space="preserve">Part 4 — Draft Clauses in Plain Language</w:t>
      </w:r>
    </w:p>
    <w:p>
      <w:pPr>
        <w:spacing w:after="150"/>
      </w:pPr>
      <w:r>
        <w:rPr>
          <w:b w:val="false"/>
          <w:bCs w:val="false"/>
          <w:i w:val="false"/>
          <w:iCs w:val="false"/>
        </w:rPr>
        <w:t xml:space="preserve">Ready-to-adapt clauses for each document. They're written for an ordinary customer to understand, with the exact legal basis noted underneath each clause in small italics — replace bracketed placeholders before use, and have a lawyer check the final wording.</w:t>
      </w:r>
    </w:p>
    <w:p>
      <w:pPr>
        <w:pStyle w:val="Heading2"/>
        <w:spacing w:after="150" w:before="300"/>
      </w:pPr>
      <w:r>
        <w:t xml:space="preserve">1. Terms &amp; Conditions</w:t>
      </w:r>
    </w:p>
    <w:p>
      <w:pPr>
        <w:pStyle w:val="Heading3"/>
        <w:spacing w:after="100" w:before="200"/>
      </w:pPr>
      <w:r>
        <w:t xml:space="preserve">Who can use KAPHOR</w:t>
      </w:r>
    </w:p>
    <w:p>
      <w:pPr>
        <w:spacing w:after="150"/>
      </w:pPr>
      <w:r>
        <w:rPr>
          <w:b w:val="false"/>
          <w:bCs w:val="false"/>
          <w:i w:val="false"/>
          <w:iCs w:val="false"/>
        </w:rPr>
        <w:t xml:space="preserve">You must be at least 18 years old and able to enter into a legal contract to buy, sell, rent or swap on KAPHOR. By creating an account, you agree to give accurate information and to keep your login secure.</w:t>
      </w:r>
    </w:p>
    <w:p>
      <w:pPr>
        <w:spacing w:after="180"/>
        <w:ind w:left="360"/>
      </w:pPr>
      <w:r>
        <w:rPr>
          <w:i/>
          <w:iCs/>
          <w:color w:val="555555"/>
          <w:sz w:val="18"/>
          <w:szCs w:val="18"/>
        </w:rPr>
        <w:t xml:space="preserve">Legal basis: Indian Contract Act, 1872 (capacity to contract); IT Rules, 2021 (user due-diligence).</w:t>
      </w:r>
    </w:p>
    <w:p>
      <w:pPr>
        <w:pStyle w:val="Heading3"/>
        <w:spacing w:after="100" w:before="200"/>
      </w:pPr>
      <w:r>
        <w:t xml:space="preserve">Payments</w:t>
      </w:r>
    </w:p>
    <w:p>
      <w:pPr>
        <w:spacing w:after="150"/>
      </w:pPr>
      <w:r>
        <w:rPr>
          <w:b w:val="false"/>
          <w:bCs w:val="false"/>
          <w:i w:val="false"/>
          <w:iCs w:val="false"/>
        </w:rPr>
        <w:t xml:space="preserve">All payments are processed through our payment partners (Stripe/Razorpay). We do not store your card details. Funds from a sale are held securely and released to the seller after the return window closes, in line with RBI's rules for online marketplaces.</w:t>
      </w:r>
    </w:p>
    <w:p>
      <w:pPr>
        <w:spacing w:after="180"/>
        <w:ind w:left="360"/>
      </w:pPr>
      <w:r>
        <w:rPr>
          <w:i/>
          <w:iCs/>
          <w:color w:val="555555"/>
          <w:sz w:val="18"/>
          <w:szCs w:val="18"/>
        </w:rPr>
        <w:t xml:space="preserve">Legal basis: Payment and Settlement Systems Act, 2007; RBI Master Directions on Payment Aggregators.</w:t>
      </w:r>
    </w:p>
    <w:p>
      <w:pPr>
        <w:pStyle w:val="Heading3"/>
        <w:spacing w:after="100" w:before="200"/>
      </w:pPr>
      <w:r>
        <w:t xml:space="preserve">What we're responsible for, and what we're not</w:t>
      </w:r>
    </w:p>
    <w:p>
      <w:pPr>
        <w:spacing w:after="150"/>
      </w:pPr>
      <w:r>
        <w:rPr>
          <w:b w:val="false"/>
          <w:bCs w:val="false"/>
          <w:i w:val="false"/>
          <w:iCs w:val="false"/>
        </w:rPr>
        <w:t xml:space="preserve">KAPHOR is a marketplace that connects buyers, sellers, renters and swappers — we are not the seller of items listed by other users. We take reasonable steps to remove illegal or fraudulent listings once we're made aware of them, but we don't pre-check every listing before it goes live.</w:t>
      </w:r>
    </w:p>
    <w:p>
      <w:pPr>
        <w:spacing w:after="180"/>
        <w:ind w:left="360"/>
      </w:pPr>
      <w:r>
        <w:rPr>
          <w:i/>
          <w:iCs/>
          <w:color w:val="555555"/>
          <w:sz w:val="18"/>
          <w:szCs w:val="18"/>
        </w:rPr>
        <w:t xml:space="preserve">Legal basis: Information Technology Act, 2000, Section 79 (intermediary safe harbour — conditional on following the due-diligence steps in the IT Rules, 2021, not automatic).</w:t>
      </w:r>
    </w:p>
    <w:p>
      <w:pPr>
        <w:pStyle w:val="Heading3"/>
        <w:spacing w:after="100" w:before="200"/>
      </w:pPr>
      <w:r>
        <w:t xml:space="preserve">If something goes wrong</w:t>
      </w:r>
    </w:p>
    <w:p>
      <w:pPr>
        <w:spacing w:after="150"/>
      </w:pPr>
      <w:r>
        <w:rPr>
          <w:b w:val="false"/>
          <w:bCs w:val="false"/>
          <w:i w:val="false"/>
          <w:iCs w:val="false"/>
        </w:rPr>
        <w:t xml:space="preserve">You can raise a complaint with our Grievance Officer (see the Grievance Redressal Policy). If we can't resolve it, either of us can refer the dispute to arbitration in [city], India. This does not stop you from filing a complaint with a Consumer Commission instead, if you'd prefer.</w:t>
      </w:r>
    </w:p>
    <w:p>
      <w:pPr>
        <w:spacing w:after="180"/>
        <w:ind w:left="360"/>
      </w:pPr>
      <w:r>
        <w:rPr>
          <w:i/>
          <w:iCs/>
          <w:color w:val="555555"/>
          <w:sz w:val="18"/>
          <w:szCs w:val="18"/>
        </w:rPr>
        <w:t xml:space="preserve">Legal basis: Arbitration and Conciliation Act, 1996; Consumer Protection Act, 2019 (courts have held an arbitration clause cannot block a consumer's right to approach a Consumer Commission).</w:t>
      </w:r>
    </w:p>
    <w:p>
      <w:pPr>
        <w:pStyle w:val="Heading2"/>
        <w:spacing w:after="150" w:before="300"/>
      </w:pPr>
      <w:r>
        <w:t xml:space="preserve">2. Privacy Policy</w:t>
      </w:r>
    </w:p>
    <w:p>
      <w:pPr>
        <w:pStyle w:val="Heading3"/>
        <w:spacing w:after="100" w:before="200"/>
      </w:pPr>
      <w:r>
        <w:t xml:space="preserve">What we collect</w:t>
      </w:r>
    </w:p>
    <w:p>
      <w:pPr>
        <w:spacing w:after="150"/>
      </w:pPr>
      <w:r>
        <w:rPr>
          <w:b w:val="false"/>
          <w:bCs w:val="false"/>
          <w:i w:val="false"/>
          <w:iCs w:val="false"/>
        </w:rPr>
        <w:t xml:space="preserve">Your name, email, and login details; your answers to the Style Quiz and the resulting Style Vector; photos you upload of garments (including for AI condition-checking); and how you use the app (views, saves, purchases).</w:t>
      </w:r>
    </w:p>
    <w:p>
      <w:pPr>
        <w:spacing w:after="180"/>
        <w:ind w:left="360"/>
      </w:pPr>
      <w:r>
        <w:rPr>
          <w:i/>
          <w:iCs/>
          <w:color w:val="555555"/>
          <w:sz w:val="18"/>
          <w:szCs w:val="18"/>
        </w:rPr>
        <w:t xml:space="preserve">Legal basis: Digital Personal Data Protection Act, 2023 and DPDP Rules, 2025 — notice must itemize what is collected.</w:t>
      </w:r>
    </w:p>
    <w:p>
      <w:pPr>
        <w:pStyle w:val="Heading3"/>
        <w:spacing w:after="100" w:before="200"/>
      </w:pPr>
      <w:r>
        <w:t xml:space="preserve">Why we collect it</w:t>
      </w:r>
    </w:p>
    <w:p>
      <w:pPr>
        <w:spacing w:after="150"/>
      </w:pPr>
      <w:r>
        <w:rPr>
          <w:b w:val="false"/>
          <w:bCs w:val="false"/>
          <w:i w:val="false"/>
          <w:iCs w:val="false"/>
        </w:rPr>
        <w:t xml:space="preserve">To personalize your feed, run the AI condition-check, process payments, and improve KAPHOR. We do not sell your personal data to third parties.</w:t>
      </w:r>
    </w:p>
    <w:p>
      <w:pPr>
        <w:spacing w:after="180"/>
        <w:ind w:left="360"/>
      </w:pPr>
      <w:r>
        <w:rPr>
          <w:i/>
          <w:iCs/>
          <w:color w:val="555555"/>
          <w:sz w:val="18"/>
          <w:szCs w:val="18"/>
        </w:rPr>
        <w:t xml:space="preserve">Legal basis: DPDP Act, 2023, Section 6 (consent must be tied to a stated purpose).</w:t>
      </w:r>
    </w:p>
    <w:p>
      <w:pPr>
        <w:pStyle w:val="Heading3"/>
        <w:spacing w:after="100" w:before="200"/>
      </w:pPr>
      <w:r>
        <w:t xml:space="preserve">Your rights</w:t>
      </w:r>
    </w:p>
    <w:p>
      <w:pPr>
        <w:spacing w:after="150"/>
      </w:pPr>
      <w:r>
        <w:rPr>
          <w:b w:val="false"/>
          <w:bCs w:val="false"/>
          <w:i w:val="false"/>
          <w:iCs w:val="false"/>
        </w:rPr>
        <w:t xml:space="preserve">You can ask to see the data we hold about you, correct it, or ask us to delete your account and data (subject to what we're legally required to keep, like transaction records for tax purposes). Write to our Grievance/Data Protection contact to exercise these rights.</w:t>
      </w:r>
    </w:p>
    <w:p>
      <w:pPr>
        <w:spacing w:after="180"/>
        <w:ind w:left="360"/>
      </w:pPr>
      <w:r>
        <w:rPr>
          <w:i/>
          <w:iCs/>
          <w:color w:val="555555"/>
          <w:sz w:val="18"/>
          <w:szCs w:val="18"/>
        </w:rPr>
        <w:t xml:space="preserve">Legal basis: DPDP Act, 2023, Sections 11–15 (right to access, correction, erasure, grievance redressal).</w:t>
      </w:r>
    </w:p>
    <w:p>
      <w:pPr>
        <w:pStyle w:val="Heading3"/>
        <w:spacing w:after="100" w:before="200"/>
      </w:pPr>
      <w:r>
        <w:t xml:space="preserve">Where your data is stored</w:t>
      </w:r>
    </w:p>
    <w:p>
      <w:pPr>
        <w:spacing w:after="150"/>
      </w:pPr>
      <w:r>
        <w:rPr>
          <w:b w:val="false"/>
          <w:bCs w:val="false"/>
          <w:i w:val="false"/>
          <w:iCs w:val="false"/>
        </w:rPr>
        <w:t xml:space="preserve">Images are stored on AWS servers; account and order data is stored in our database. If any data is processed outside India, we'll only do so in line with the DPDP Act's rules on transfers.</w:t>
      </w:r>
    </w:p>
    <w:p>
      <w:pPr>
        <w:spacing w:after="180"/>
        <w:ind w:left="360"/>
      </w:pPr>
      <w:r>
        <w:rPr>
          <w:i/>
          <w:iCs/>
          <w:color w:val="555555"/>
          <w:sz w:val="18"/>
          <w:szCs w:val="18"/>
        </w:rPr>
        <w:t xml:space="preserve">Legal basis: DPDP Act, 2023, Section 16 (cross-border transfer).</w:t>
      </w:r>
    </w:p>
    <w:p>
      <w:pPr>
        <w:pStyle w:val="Heading2"/>
        <w:spacing w:after="150" w:before="300"/>
      </w:pPr>
      <w:r>
        <w:t xml:space="preserve">3. Seller Terms</w:t>
      </w:r>
    </w:p>
    <w:p>
      <w:pPr>
        <w:pStyle w:val="Heading3"/>
        <w:spacing w:after="100" w:before="200"/>
      </w:pPr>
      <w:r>
        <w:t xml:space="preserve">You must own what you list, and describe it honestly</w:t>
      </w:r>
    </w:p>
    <w:p>
      <w:pPr>
        <w:spacing w:after="150"/>
      </w:pPr>
      <w:r>
        <w:rPr>
          <w:b w:val="false"/>
          <w:bCs w:val="false"/>
          <w:i w:val="false"/>
          <w:iCs w:val="false"/>
        </w:rPr>
        <w:t xml:space="preserve">You confirm the item is genuinely yours to sell/rent/swap, that it's authentic (not counterfeit), and that photos and descriptions accurately reflect its condition.</w:t>
      </w:r>
    </w:p>
    <w:p>
      <w:pPr>
        <w:spacing w:after="180"/>
        <w:ind w:left="360"/>
      </w:pPr>
      <w:r>
        <w:rPr>
          <w:i/>
          <w:iCs/>
          <w:color w:val="555555"/>
          <w:sz w:val="18"/>
          <w:szCs w:val="18"/>
        </w:rPr>
        <w:t xml:space="preserve">Legal basis: Sale of Goods Act, 1930; Trade Marks Act, 1999 (counterfeit-goods liability).</w:t>
      </w:r>
    </w:p>
    <w:p>
      <w:pPr>
        <w:pStyle w:val="Heading3"/>
        <w:spacing w:after="100" w:before="200"/>
      </w:pPr>
      <w:r>
        <w:t xml:space="preserve">Taxes on your sale</w:t>
      </w:r>
    </w:p>
    <w:p>
      <w:pPr>
        <w:spacing w:after="150"/>
      </w:pPr>
      <w:r>
        <w:rPr>
          <w:b w:val="false"/>
          <w:bCs w:val="false"/>
          <w:i w:val="false"/>
          <w:iCs w:val="false"/>
        </w:rPr>
        <w:t xml:space="preserve">As required by law, KAPHOR will deduct a small percentage of your payout as Tax Collected at Source (TCS) and Tax Deducted at Source (TDS), and remit these to the government on your behalf. Your payout summary will show these deductions.</w:t>
      </w:r>
    </w:p>
    <w:p>
      <w:pPr>
        <w:spacing w:after="180"/>
        <w:ind w:left="360"/>
      </w:pPr>
      <w:r>
        <w:rPr>
          <w:i/>
          <w:iCs/>
          <w:color w:val="555555"/>
          <w:sz w:val="18"/>
          <w:szCs w:val="18"/>
        </w:rPr>
        <w:t xml:space="preserve">Legal basis: CGST Act, 2017, Section 52 (TCS by e-commerce operators); Income Tax Act, 1961, Section 194-O (TDS).</w:t>
      </w:r>
    </w:p>
    <w:p>
      <w:pPr>
        <w:pStyle w:val="Heading3"/>
        <w:spacing w:after="100" w:before="200"/>
      </w:pPr>
      <w:r>
        <w:t xml:space="preserve">Counterfeit items</w:t>
      </w:r>
    </w:p>
    <w:p>
      <w:pPr>
        <w:spacing w:after="150"/>
      </w:pPr>
      <w:r>
        <w:rPr>
          <w:b w:val="false"/>
          <w:bCs w:val="false"/>
          <w:i w:val="false"/>
          <w:iCs w:val="false"/>
        </w:rPr>
        <w:t xml:space="preserve">Listing counterfeit or trademark-infringing goods is strictly prohibited and will result in listing removal and possible account suspension, and may expose you to legal action from the brand owner.</w:t>
      </w:r>
    </w:p>
    <w:p>
      <w:pPr>
        <w:spacing w:after="180"/>
        <w:ind w:left="360"/>
      </w:pPr>
      <w:r>
        <w:rPr>
          <w:i/>
          <w:iCs/>
          <w:color w:val="555555"/>
          <w:sz w:val="18"/>
          <w:szCs w:val="18"/>
        </w:rPr>
        <w:t xml:space="preserve">Legal basis: Trade Marks Act, 1999; Bharatiya Nyaya Sanhita, 2023 (cheating provisions).</w:t>
      </w:r>
    </w:p>
    <w:p>
      <w:pPr>
        <w:pStyle w:val="Heading2"/>
        <w:spacing w:after="150" w:before="300"/>
      </w:pPr>
      <w:r>
        <w:t xml:space="preserve">4. Rental Terms</w:t>
      </w:r>
    </w:p>
    <w:p>
      <w:pPr>
        <w:pStyle w:val="Heading3"/>
        <w:spacing w:after="100" w:before="200"/>
      </w:pPr>
      <w:r>
        <w:t xml:space="preserve">Rental period and deposit</w:t>
      </w:r>
    </w:p>
    <w:p>
      <w:pPr>
        <w:spacing w:after="150"/>
      </w:pPr>
      <w:r>
        <w:rPr>
          <w:b w:val="false"/>
          <w:bCs w:val="false"/>
          <w:i w:val="false"/>
          <w:iCs w:val="false"/>
        </w:rPr>
        <w:t xml:space="preserve">The rental period and refundable deposit amount will be shown before you confirm. The deposit is returned within [X] days of the item being received back in the condition it was sent, minus any damage or cleaning charges.</w:t>
      </w:r>
    </w:p>
    <w:p>
      <w:pPr>
        <w:spacing w:after="180"/>
        <w:ind w:left="360"/>
      </w:pPr>
      <w:r>
        <w:rPr>
          <w:i/>
          <w:iCs/>
          <w:color w:val="555555"/>
          <w:sz w:val="18"/>
          <w:szCs w:val="18"/>
        </w:rPr>
        <w:t xml:space="preserve">Legal basis: Indian Contract Act, 1872 (bailment provisions, Sections 148–171) — a rental is a bailment, not a sale, so the Sale of Goods Act does not apply here.</w:t>
      </w:r>
    </w:p>
    <w:p>
      <w:pPr>
        <w:pStyle w:val="Heading3"/>
        <w:spacing w:after="100" w:before="200"/>
      </w:pPr>
      <w:r>
        <w:t xml:space="preserve">Damage and late returns</w:t>
      </w:r>
    </w:p>
    <w:p>
      <w:pPr>
        <w:spacing w:after="150"/>
      </w:pPr>
      <w:r>
        <w:rPr>
          <w:b w:val="false"/>
          <w:bCs w:val="false"/>
          <w:i w:val="false"/>
          <w:iCs w:val="false"/>
        </w:rPr>
        <w:t xml:space="preserve">If the item is returned damaged beyond normal wear, or late, charges will be deducted from your deposit and, if the damage exceeds the deposit, you may be billed the difference.</w:t>
      </w:r>
    </w:p>
    <w:p>
      <w:pPr>
        <w:spacing w:after="180"/>
        <w:ind w:left="360"/>
      </w:pPr>
      <w:r>
        <w:rPr>
          <w:i/>
          <w:iCs/>
          <w:color w:val="555555"/>
          <w:sz w:val="18"/>
          <w:szCs w:val="18"/>
        </w:rPr>
        <w:t xml:space="preserve">Legal basis: Indian Contract Act, 1872, Section 151 (bailee's duty of care).</w:t>
      </w:r>
    </w:p>
    <w:p>
      <w:pPr>
        <w:pStyle w:val="Heading2"/>
        <w:spacing w:after="150" w:before="300"/>
      </w:pPr>
      <w:r>
        <w:t xml:space="preserve">5. Swap Terms</w:t>
      </w:r>
    </w:p>
    <w:p>
      <w:pPr>
        <w:pStyle w:val="Heading3"/>
        <w:spacing w:after="100" w:before="200"/>
      </w:pPr>
      <w:r>
        <w:t xml:space="preserve">How a swap works</w:t>
      </w:r>
    </w:p>
    <w:p>
      <w:pPr>
        <w:spacing w:after="150"/>
      </w:pPr>
      <w:r>
        <w:rPr>
          <w:b w:val="false"/>
          <w:bCs w:val="false"/>
          <w:i w:val="false"/>
          <w:iCs w:val="false"/>
        </w:rPr>
        <w:t xml:space="preserve">A swap is an exchange of items between two users, sometimes with a top-up payment if the items are of unequal value. Ownership of each item transfers once both sides confirm receipt.</w:t>
      </w:r>
    </w:p>
    <w:p>
      <w:pPr>
        <w:spacing w:after="180"/>
        <w:ind w:left="360"/>
      </w:pPr>
      <w:r>
        <w:rPr>
          <w:i/>
          <w:iCs/>
          <w:color w:val="555555"/>
          <w:sz w:val="18"/>
          <w:szCs w:val="18"/>
        </w:rPr>
        <w:t xml:space="preserve">Legal basis: Indian Contract Act, 1872 (barter is a contract under general contract law; the Sale of Goods Act's "sale for a price" definition does not cover pure exchanges).</w:t>
      </w:r>
    </w:p>
    <w:p>
      <w:pPr>
        <w:pStyle w:val="Heading3"/>
        <w:spacing w:after="100" w:before="200"/>
      </w:pPr>
      <w:r>
        <w:t xml:space="preserve">Failed swaps</w:t>
      </w:r>
    </w:p>
    <w:p>
      <w:pPr>
        <w:spacing w:after="150"/>
      </w:pPr>
      <w:r>
        <w:rPr>
          <w:b w:val="false"/>
          <w:bCs w:val="false"/>
          <w:i w:val="false"/>
          <w:iCs w:val="false"/>
        </w:rPr>
        <w:t xml:space="preserve">If a swap fails after one item has already shipped (e.g., the other party cancels), KAPHOR will help arrange the item's return and, where applicable, refund any top-up payment.</w:t>
      </w:r>
    </w:p>
    <w:p>
      <w:pPr>
        <w:spacing w:after="180"/>
        <w:ind w:left="360"/>
      </w:pPr>
      <w:r>
        <w:rPr>
          <w:i/>
          <w:iCs/>
          <w:color w:val="555555"/>
          <w:sz w:val="18"/>
          <w:szCs w:val="18"/>
        </w:rPr>
        <w:t xml:space="preserve">Legal basis: Consumer Protection Act, 2019 (unfair trade practice protections apply even to non-monetary/barter transactions facilitated by a platform).</w:t>
      </w:r>
    </w:p>
    <w:p>
      <w:pPr>
        <w:pStyle w:val="Heading2"/>
        <w:spacing w:after="150" w:before="300"/>
      </w:pPr>
      <w:r>
        <w:t xml:space="preserve">6. Refund &amp; Cancellation Policy</w:t>
      </w:r>
    </w:p>
    <w:p>
      <w:pPr>
        <w:pStyle w:val="Heading3"/>
        <w:spacing w:after="100" w:before="200"/>
      </w:pPr>
      <w:r>
        <w:t xml:space="preserve">Buyer refund window</w:t>
      </w:r>
    </w:p>
    <w:p>
      <w:pPr>
        <w:spacing w:after="150"/>
      </w:pPr>
      <w:r>
        <w:rPr>
          <w:b w:val="false"/>
          <w:bCs w:val="false"/>
          <w:i w:val="false"/>
          <w:iCs w:val="false"/>
        </w:rPr>
        <w:t xml:space="preserve">You can request a return within [X] days of delivery if the item is not as described. Refunds are issued to your original payment method within [Y] business days of us receiving the returned item.</w:t>
      </w:r>
    </w:p>
    <w:p>
      <w:pPr>
        <w:spacing w:after="180"/>
        <w:ind w:left="360"/>
      </w:pPr>
      <w:r>
        <w:rPr>
          <w:i/>
          <w:iCs/>
          <w:color w:val="555555"/>
          <w:sz w:val="18"/>
          <w:szCs w:val="18"/>
        </w:rPr>
        <w:t xml:space="preserve">Legal basis: Consumer Protection (E-Commerce) Rules, 2020, Rule 5 (refund/return/exchange terms must be clearly displayed).</w:t>
      </w:r>
    </w:p>
    <w:p>
      <w:pPr>
        <w:pStyle w:val="Heading3"/>
        <w:spacing w:after="100" w:before="200"/>
      </w:pPr>
      <w:r>
        <w:t xml:space="preserve">Why a refund might take a few extra days</w:t>
      </w:r>
    </w:p>
    <w:p>
      <w:pPr>
        <w:spacing w:after="150"/>
      </w:pPr>
      <w:r>
        <w:rPr>
          <w:b w:val="false"/>
          <w:bCs w:val="false"/>
          <w:i w:val="false"/>
          <w:iCs w:val="false"/>
        </w:rPr>
        <w:t xml:space="preserve">Because KAPHOR collects TCS on the original sale, a refund may be adjusted against future tax filings, which can occasionally add a short delay beyond the payment gateway's own processing time.</w:t>
      </w:r>
    </w:p>
    <w:p>
      <w:pPr>
        <w:spacing w:after="180"/>
        <w:ind w:left="360"/>
      </w:pPr>
      <w:r>
        <w:rPr>
          <w:i/>
          <w:iCs/>
          <w:color w:val="555555"/>
          <w:sz w:val="18"/>
          <w:szCs w:val="18"/>
        </w:rPr>
        <w:t xml:space="preserve">Legal basis: CGST Act, 2017, Section 52 (TCS mechanics on refunded transactions).</w:t>
      </w:r>
    </w:p>
    <w:p>
      <w:pPr>
        <w:pStyle w:val="Heading2"/>
        <w:spacing w:after="150" w:before="300"/>
      </w:pPr>
      <w:r>
        <w:t xml:space="preserve">7. Community &amp; Content Policy</w:t>
      </w:r>
    </w:p>
    <w:p>
      <w:pPr>
        <w:pStyle w:val="Heading3"/>
        <w:spacing w:after="100" w:before="200"/>
      </w:pPr>
      <w:r>
        <w:t xml:space="preserve">Your photos and descriptions</w:t>
      </w:r>
    </w:p>
    <w:p>
      <w:pPr>
        <w:spacing w:after="150"/>
      </w:pPr>
      <w:r>
        <w:rPr>
          <w:b w:val="false"/>
          <w:bCs w:val="false"/>
          <w:i w:val="false"/>
          <w:iCs w:val="false"/>
        </w:rPr>
        <w:t xml:space="preserve">You keep ownership of the photos and text you upload, but you give KAPHOR a license to display, resize and use them on the app to promote the listing.</w:t>
      </w:r>
    </w:p>
    <w:p>
      <w:pPr>
        <w:spacing w:after="180"/>
        <w:ind w:left="360"/>
      </w:pPr>
      <w:r>
        <w:rPr>
          <w:i/>
          <w:iCs/>
          <w:color w:val="555555"/>
          <w:sz w:val="18"/>
          <w:szCs w:val="18"/>
        </w:rPr>
        <w:t xml:space="preserve">Legal basis: Copyright Act, 1957 (ownership stays with the creator unless assigned; platform needs a license to display it).</w:t>
      </w:r>
    </w:p>
    <w:p>
      <w:pPr>
        <w:pStyle w:val="Heading3"/>
        <w:spacing w:after="100" w:before="200"/>
      </w:pPr>
      <w:r>
        <w:t xml:space="preserve">How we calculate environmental impact</w:t>
      </w:r>
    </w:p>
    <w:p>
      <w:pPr>
        <w:spacing w:after="150"/>
      </w:pPr>
      <w:r>
        <w:rPr>
          <w:b w:val="false"/>
          <w:bCs w:val="false"/>
          <w:i w:val="false"/>
          <w:iCs w:val="false"/>
        </w:rPr>
        <w:t xml:space="preserve">Figures shown on your Impact Dashboard (water saved, carbon offset, trees-equivalent) are estimates based on the calculation method described at [link to methodology page], using standard industry emission factors. They are estimates, not certified measurements.</w:t>
      </w:r>
    </w:p>
    <w:p>
      <w:pPr>
        <w:spacing w:after="180"/>
        <w:ind w:left="360"/>
      </w:pPr>
      <w:r>
        <w:rPr>
          <w:i/>
          <w:iCs/>
          <w:color w:val="555555"/>
          <w:sz w:val="18"/>
          <w:szCs w:val="18"/>
        </w:rPr>
        <w:t xml:space="preserve">Legal basis: CCPA Guidelines for Prevention of Misleading Advertisement &amp; Greenwashing, 2024 — environmental claims must disclose their basis and avoid implying certainty they don't have.</w:t>
      </w:r>
    </w:p>
    <w:p>
      <w:pPr>
        <w:pStyle w:val="Heading2"/>
        <w:spacing w:after="150" w:before="300"/>
      </w:pPr>
      <w:r>
        <w:t xml:space="preserve">8. Grievance Redressal Policy</w:t>
      </w:r>
    </w:p>
    <w:p>
      <w:pPr>
        <w:pStyle w:val="Heading3"/>
        <w:spacing w:after="100" w:before="200"/>
      </w:pPr>
      <w:r>
        <w:t xml:space="preserve">Our Grievance Officer</w:t>
      </w:r>
    </w:p>
    <w:p>
      <w:pPr>
        <w:spacing w:after="150"/>
      </w:pPr>
      <w:r>
        <w:rPr>
          <w:b w:val="false"/>
          <w:bCs w:val="false"/>
          <w:i w:val="false"/>
          <w:iCs w:val="false"/>
        </w:rPr>
        <w:t xml:space="preserve">Name: [Grievance Officer Name] · Email: [email] · We will acknowledge your complaint within 24 hours and resolve it within 15 days (or 72 hours for content-removal requests), as required by law.</w:t>
      </w:r>
    </w:p>
    <w:p>
      <w:pPr>
        <w:spacing w:after="180"/>
        <w:ind w:left="360"/>
      </w:pPr>
      <w:r>
        <w:rPr>
          <w:i/>
          <w:iCs/>
          <w:color w:val="555555"/>
          <w:sz w:val="18"/>
          <w:szCs w:val="18"/>
        </w:rPr>
        <w:t xml:space="preserve">Legal basis: IT (Intermediary Guidelines &amp; Digital Media Ethics Code) Rules, 2021, Rule 3(2).</w:t>
      </w:r>
    </w:p>
    <w:p>
      <w:pPr>
        <w:pStyle w:val="Heading3"/>
        <w:spacing w:after="100" w:before="200"/>
      </w:pPr>
      <w:r>
        <w:t xml:space="preserve">If you're still not satisfied</w:t>
      </w:r>
    </w:p>
    <w:p>
      <w:pPr>
        <w:spacing w:after="150"/>
      </w:pPr>
      <w:r>
        <w:rPr>
          <w:b w:val="false"/>
          <w:bCs w:val="false"/>
          <w:i w:val="false"/>
          <w:iCs w:val="false"/>
        </w:rPr>
        <w:t xml:space="preserve">You may escalate a consumer complaint to the National Consumer Helpline / Consumer Commission, or a data-protection complaint to the Data Protection Board of India.</w:t>
      </w:r>
    </w:p>
    <w:p>
      <w:pPr>
        <w:spacing w:after="180"/>
        <w:ind w:left="360"/>
      </w:pPr>
      <w:r>
        <w:rPr>
          <w:i/>
          <w:iCs/>
          <w:color w:val="555555"/>
          <w:sz w:val="18"/>
          <w:szCs w:val="18"/>
        </w:rPr>
        <w:t xml:space="preserve">Legal basis: Consumer Protection Act, 2019; DPDP Act, 2023, Section 18 (Data Protection Board).</w:t>
      </w:r>
    </w:p>
    <w:p>
      <w:pPr>
        <w:pageBreakBefore/>
      </w:pPr>
    </w:p>
    <w:p>
      <w:pPr>
        <w:pStyle w:val="Heading1"/>
        <w:spacing w:after="200" w:before="400"/>
      </w:pPr>
      <w:r>
        <w:t xml:space="preserve">A Reminder Before You Ship This</w:t>
      </w:r>
    </w:p>
    <w:p>
      <w:pPr>
        <w:spacing w:after="150"/>
      </w:pPr>
      <w:r>
        <w:rPr>
          <w:b w:val="false"/>
          <w:bCs w:val="false"/>
          <w:i w:val="false"/>
          <w:iCs w:val="false"/>
        </w:rPr>
        <w:t xml:space="preserve">This pack is meant to make your project's legal section accurate and presentable — it mirrors how a real circular-fashion marketplace in India would structure its policies, and it corrects and extends the earlier GPT answer with the current (2025-notified) DPDP Rules, plus the payments/tax/greenwashing gaps that answer missed. For an actual live app handling real money and real user data, a qualified lawyer should review and finalize the wording, especially the payments, tax and arbitration clauses.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2E4B3F"/>
      <w:sz w:val="30"/>
      <w:szCs w:val="30"/>
    </w:rPr>
  </w:style>
  <w:style w:type="paragraph" w:styleId="Heading2">
    <w:name w:val="Heading 2"/>
    <w:basedOn w:val="Normal"/>
    <w:next w:val="Normal"/>
    <w:qFormat/>
    <w:pPr>
      <w:spacing w:after="120" w:before="250"/>
    </w:pPr>
    <w:rPr>
      <w:b/>
      <w:bCs/>
      <w:color w:val="2E4B3F"/>
      <w:sz w:val="26"/>
      <w:szCs w:val="26"/>
    </w:rPr>
  </w:style>
  <w:style w:type="paragraph" w:styleId="Heading3">
    <w:name w:val="Heading 3"/>
    <w:basedOn w:val="Normal"/>
    <w:next w:val="Normal"/>
    <w:qFormat/>
    <w:pPr>
      <w:spacing w:after="80" w:before="180"/>
    </w:pPr>
    <w:rPr>
      <w:b/>
      <w:bCs/>
      <w:i w:val="false"/>
      <w:iCs w:val="false"/>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2026-09-18T11:55:08.195Z</dcterms:created>
  <dcterms:modified xsi:type="dcterms:W3CDTF">2026-09-18T11:55:08.204Z</dcterms:modified>
</cp:coreProperties>
</file>

<file path=docProps/custom.xml><?xml version="1.0" encoding="utf-8"?>
<Properties xmlns="http://schemas.openxmlformats.org/officeDocument/2006/custom-properties" xmlns:vt="http://schemas.openxmlformats.org/officeDocument/2006/docPropsVTypes"/>
</file>