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5</w:t>
      </w:r>
    </w:p>
    <w:p>
      <w:pPr>
        <w:pStyle w:val="Heading1"/>
        <w:jc w:val="center"/>
      </w:pPr>
      <w:r>
        <w:t>ESG Reporting Framework Implementation</w:t>
      </w:r>
    </w:p>
    <w:p>
      <w:pPr>
        <w:pStyle w:val="Heading1"/>
      </w:pPr>
      <w:r>
        <w:t>5.1 Introduction</w:t>
      </w:r>
    </w:p>
    <w:p>
      <w:r>
        <w:t>Building upon the ESGMKG ontology presented in Chapter 4, this chapter details the implementation of an ESG reporting framework that operationalises the conceptual model through a service-oriented architecture. The framework demonstrates how knowledge graph-based approaches can address practical challenges in ESG metric calculation, data integration, and report generation. By bridging ontological design with software engineering practice, the implementation validates the conceptual model while providing a functional prototype for ESG reporting automation. As outlined in the research methodology (Chapter 3, Section 3.4), this work constitutes the second contribution of this thesis. Whereas Chapter 4 addressed the first contribution—the design and formalisation of the ESGMKG ontology—the present chapter focuses on the practical realisation of that ontology through executable software services.</w:t>
      </w:r>
    </w:p>
    <w:p>
      <w:r>
        <w:t>The framework serves as a proof-of-concept that demonstrates the feasibility and utility of knowledge graph-based ESG reporting, following the Design Science Research methodology adopted in this thesis (Chapter 3, Section 3.2). It addresses three key requirements: (1) semantic navigation through the knowledge graph to discover applicable metrics for a given industry and framework; (2) automated metric calculation using both direct measurement retrieval and computational model execution; and (3) comprehensive report generation that provides full traceability from reported values to underlying data sources.</w:t>
      </w:r>
    </w:p>
    <w:p>
      <w:r>
        <w:t>The remainder of this chapter is organised as follows. Section 5.2 defines the system requirements and use cases. Section 5.3 describes the overall system architecture. Section 5.4 presents the service layer design with four microservices. Section 5.5 details the API layer. Section 5.6 describes the data layer components, including external data input specifications and internal data formats. Section 5.7 presents the user interface design. Section 5.8 presents sequence diagrams illustrating key use case workflows. Section 5.9 discusses scalability considerations. Section 5.10 concludes with a summary.</w:t>
      </w:r>
    </w:p>
    <w:p>
      <w:pPr>
        <w:pStyle w:val="Heading1"/>
      </w:pPr>
      <w:r>
        <w:t>5.2 Requirements and Use Cases</w:t>
      </w:r>
    </w:p>
    <w:p>
      <w:r>
        <w:t>This section defines the functional and non-functional requirements for the ESG reporting framework, along with the primary use cases that guide system design and implementation.</w:t>
      </w:r>
    </w:p>
    <w:p>
      <w:pPr>
        <w:pStyle w:val="Heading2"/>
      </w:pPr>
      <w:r>
        <w:t>5.2.1 Functional Requirements</w:t>
      </w:r>
    </w:p>
    <w:p>
      <w:r>
        <w:t>The ESG reporting framework must satisfy the following functional requirements derived from the ESGMKG competency questions and practical ESG reporting workflows: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Related CQ</w:t>
            </w:r>
          </w:p>
        </w:tc>
      </w:tr>
      <w:tr>
        <w:tc>
          <w:tcPr>
            <w:tcW w:type="dxa" w:w="2880"/>
          </w:tcPr>
          <w:p>
            <w:r>
              <w:t>FR1</w:t>
            </w:r>
          </w:p>
        </w:tc>
        <w:tc>
          <w:tcPr>
            <w:tcW w:type="dxa" w:w="2880"/>
          </w:tcPr>
          <w:p>
            <w:r>
              <w:t>The system shall enable users to discover applicable reporting frameworks for a given industry.</w:t>
            </w:r>
          </w:p>
        </w:tc>
        <w:tc>
          <w:tcPr>
            <w:tcW w:type="dxa" w:w="2880"/>
          </w:tcPr>
          <w:p>
            <w:r>
              <w:t>CQ1</w:t>
            </w:r>
          </w:p>
        </w:tc>
      </w:tr>
      <w:tr>
        <w:tc>
          <w:tcPr>
            <w:tcW w:type="dxa" w:w="2880"/>
          </w:tcPr>
          <w:p>
            <w:r>
              <w:t>FR2</w:t>
            </w:r>
          </w:p>
        </w:tc>
        <w:tc>
          <w:tcPr>
            <w:tcW w:type="dxa" w:w="2880"/>
          </w:tcPr>
          <w:p>
            <w:r>
              <w:t>The system shall display disclosure categories within a selected reporting framework.</w:t>
            </w:r>
          </w:p>
        </w:tc>
        <w:tc>
          <w:tcPr>
            <w:tcW w:type="dxa" w:w="2880"/>
          </w:tcPr>
          <w:p>
            <w:r>
              <w:t>CQ2</w:t>
            </w:r>
          </w:p>
        </w:tc>
      </w:tr>
      <w:tr>
        <w:tc>
          <w:tcPr>
            <w:tcW w:type="dxa" w:w="2880"/>
          </w:tcPr>
          <w:p>
            <w:r>
              <w:t>FR3</w:t>
            </w:r>
          </w:p>
        </w:tc>
        <w:tc>
          <w:tcPr>
            <w:tcW w:type="dxa" w:w="2880"/>
          </w:tcPr>
          <w:p>
            <w:r>
              <w:t>The system shall list metrics belonging to each disclosure category with their properties.</w:t>
            </w:r>
          </w:p>
        </w:tc>
        <w:tc>
          <w:tcPr>
            <w:tcW w:type="dxa" w:w="2880"/>
          </w:tcPr>
          <w:p>
            <w:r>
              <w:t>CQ3</w:t>
            </w:r>
          </w:p>
        </w:tc>
      </w:tr>
      <w:tr>
        <w:tc>
          <w:tcPr>
            <w:tcW w:type="dxa" w:w="2880"/>
          </w:tcPr>
          <w:p>
            <w:r>
              <w:t>FR4</w:t>
            </w:r>
          </w:p>
        </w:tc>
        <w:tc>
          <w:tcPr>
            <w:tcW w:type="dxa" w:w="2880"/>
          </w:tcPr>
          <w:p>
            <w:r>
              <w:t>The system shall determine and display the calculation method (direct or calculated) for each metric.</w:t>
            </w:r>
          </w:p>
        </w:tc>
        <w:tc>
          <w:tcPr>
            <w:tcW w:type="dxa" w:w="2880"/>
          </w:tcPr>
          <w:p>
            <w:r>
              <w:t>CQ4</w:t>
            </w:r>
          </w:p>
        </w:tc>
      </w:tr>
      <w:tr>
        <w:tc>
          <w:tcPr>
            <w:tcW w:type="dxa" w:w="2880"/>
          </w:tcPr>
          <w:p>
            <w:r>
              <w:t>FR5</w:t>
            </w:r>
          </w:p>
        </w:tc>
        <w:tc>
          <w:tcPr>
            <w:tcW w:type="dxa" w:w="2880"/>
          </w:tcPr>
          <w:p>
            <w:r>
              <w:t>The system shall identify and retrieve input metrics/variables required for calculated metrics.</w:t>
            </w:r>
          </w:p>
        </w:tc>
        <w:tc>
          <w:tcPr>
            <w:tcW w:type="dxa" w:w="2880"/>
          </w:tcPr>
          <w:p>
            <w:r>
              <w:t>CQ5</w:t>
            </w:r>
          </w:p>
        </w:tc>
      </w:tr>
      <w:tr>
        <w:tc>
          <w:tcPr>
            <w:tcW w:type="dxa" w:w="2880"/>
          </w:tcPr>
          <w:p>
            <w:r>
              <w:t>FR6</w:t>
            </w:r>
          </w:p>
        </w:tc>
        <w:tc>
          <w:tcPr>
            <w:tcW w:type="dxa" w:w="2880"/>
          </w:tcPr>
          <w:p>
            <w:r>
              <w:t>The system shall execute appropriate implementations to compute calculated metric values.</w:t>
            </w:r>
          </w:p>
        </w:tc>
        <w:tc>
          <w:tcPr>
            <w:tcW w:type="dxa" w:w="2880"/>
          </w:tcPr>
          <w:p>
            <w:r>
              <w:t>CQ6</w:t>
            </w:r>
          </w:p>
        </w:tc>
      </w:tr>
      <w:tr>
        <w:tc>
          <w:tcPr>
            <w:tcW w:type="dxa" w:w="2880"/>
          </w:tcPr>
          <w:p>
            <w:r>
              <w:t>FR7</w:t>
            </w:r>
          </w:p>
        </w:tc>
        <w:tc>
          <w:tcPr>
            <w:tcW w:type="dxa" w:w="2880"/>
          </w:tcPr>
          <w:p>
            <w:r>
              <w:t>The system shall trace and display the data provenance from metrics to original data sources.</w:t>
            </w:r>
          </w:p>
        </w:tc>
        <w:tc>
          <w:tcPr>
            <w:tcW w:type="dxa" w:w="2880"/>
          </w:tcPr>
          <w:p>
            <w:r>
              <w:t>CQ7</w:t>
            </w:r>
          </w:p>
        </w:tc>
      </w:tr>
      <w:tr>
        <w:tc>
          <w:tcPr>
            <w:tcW w:type="dxa" w:w="2880"/>
          </w:tcPr>
          <w:p>
            <w:r>
              <w:t>FR8</w:t>
            </w:r>
          </w:p>
        </w:tc>
        <w:tc>
          <w:tcPr>
            <w:tcW w:type="dxa" w:w="2880"/>
          </w:tcPr>
          <w:p>
            <w:r>
              <w:t>The system shall generate comprehensive ESG reports with full audit trails.</w:t>
            </w:r>
          </w:p>
        </w:tc>
        <w:tc>
          <w:tcPr>
            <w:tcW w:type="dxa" w:w="2880"/>
          </w:tcPr>
          <w:p>
            <w:r>
              <w:t>-</w:t>
            </w:r>
          </w:p>
        </w:tc>
      </w:tr>
    </w:tbl>
    <w:p/>
    <w:p>
      <w:r>
        <w:t>Table 5.1: Functional requirements aligned with competency questions.</w:t>
      </w:r>
    </w:p>
    <w:p>
      <w:pPr>
        <w:pStyle w:val="Heading2"/>
      </w:pPr>
      <w:r>
        <w:t>5.2.2 Non-Functional Requirements</w:t>
      </w:r>
    </w:p>
    <w:p>
      <w:r>
        <w:t>The system shall satisfy the following non-functional requirements:</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NFR1</w:t>
            </w:r>
          </w:p>
        </w:tc>
        <w:tc>
          <w:tcPr>
            <w:tcW w:type="dxa" w:w="4320"/>
          </w:tcPr>
          <w:p>
            <w:r>
              <w:t>Extensibility: The system shall support addition of new frameworks, metrics, and data sources without code changes.</w:t>
            </w:r>
          </w:p>
        </w:tc>
      </w:tr>
      <w:tr>
        <w:tc>
          <w:tcPr>
            <w:tcW w:type="dxa" w:w="4320"/>
          </w:tcPr>
          <w:p>
            <w:r>
              <w:t>NFR2</w:t>
            </w:r>
          </w:p>
        </w:tc>
        <w:tc>
          <w:tcPr>
            <w:tcW w:type="dxa" w:w="4320"/>
          </w:tcPr>
          <w:p>
            <w:r>
              <w:t>Traceability: All calculated values shall be traceable to their underlying data sources and computational models.</w:t>
            </w:r>
          </w:p>
        </w:tc>
      </w:tr>
      <w:tr>
        <w:tc>
          <w:tcPr>
            <w:tcW w:type="dxa" w:w="4320"/>
          </w:tcPr>
          <w:p>
            <w:r>
              <w:t>NFR3</w:t>
            </w:r>
          </w:p>
        </w:tc>
        <w:tc>
          <w:tcPr>
            <w:tcW w:type="dxa" w:w="4320"/>
          </w:tcPr>
          <w:p>
            <w:r>
              <w:t>Interoperability: The system shall use standard semantic web technologies (RDF, SPARQL, OWL).</w:t>
            </w:r>
          </w:p>
        </w:tc>
      </w:tr>
      <w:tr>
        <w:tc>
          <w:tcPr>
            <w:tcW w:type="dxa" w:w="4320"/>
          </w:tcPr>
          <w:p>
            <w:r>
              <w:t>NFR4</w:t>
            </w:r>
          </w:p>
        </w:tc>
        <w:tc>
          <w:tcPr>
            <w:tcW w:type="dxa" w:w="4320"/>
          </w:tcPr>
          <w:p>
            <w:r>
              <w:t>Usability: The user interface shall provide step-by-step guidance through the ESG reporting workflow.</w:t>
            </w:r>
          </w:p>
        </w:tc>
      </w:tr>
      <w:tr>
        <w:tc>
          <w:tcPr>
            <w:tcW w:type="dxa" w:w="4320"/>
          </w:tcPr>
          <w:p>
            <w:r>
              <w:t>NFR5</w:t>
            </w:r>
          </w:p>
        </w:tc>
        <w:tc>
          <w:tcPr>
            <w:tcW w:type="dxa" w:w="4320"/>
          </w:tcPr>
          <w:p>
            <w:r>
              <w:t>Performance: The system shall respond to API requests within 2 seconds under normal operating conditions.</w:t>
            </w:r>
          </w:p>
        </w:tc>
      </w:tr>
    </w:tbl>
    <w:p/>
    <w:p>
      <w:r>
        <w:t>Table 5.2: Non-functional requirements.</w:t>
      </w:r>
    </w:p>
    <w:p>
      <w:pPr>
        <w:pStyle w:val="Heading2"/>
      </w:pPr>
      <w:r>
        <w:t>5.2.3 Use Cases</w:t>
      </w:r>
    </w:p>
    <w:p>
      <w:r>
        <w:t>The framework supports three core use cases that address the primary workflows in ESG reporting: report generation, metric calculation, and data access. These use cases reflect core challenges faced by ESG analysts and map directly to the competency questions defined in Chapter 4.</w:t>
      </w:r>
    </w:p>
    <w:p>
      <w:pPr>
        <w:pStyle w:val="Heading3"/>
      </w:pPr>
      <w:r>
        <w:t>5.2.3.1 UC1: ESG Report Generation</w:t>
      </w:r>
    </w:p>
    <w:p>
      <w:r>
        <w:t>This use case automates the production of ESG reports aligned with relevant reporting frameworks. The workflow begins when a user selects an industry classification, triggering framework identification through CQ1. Once a framework is selected, the system enumerates disclosure categories via CQ2 and identifies required metrics through CQ3. For each metric, the system invokes UC2 (Metric Calculation) to obtain values, then assembles the complete report with framework-compliant structure and full data lineage documentation.</w:t>
      </w:r>
    </w:p>
    <w:p>
      <w:r>
        <w:t>Actor: ESG Reporting Officer / Sustainability Analyst</w:t>
      </w:r>
    </w:p>
    <w:p>
      <w:r>
        <w:t>Precondition: User has identified their industry sector and target company.</w:t>
      </w:r>
    </w:p>
    <w:p>
      <w:r>
        <w:t>Main Flow:</w:t>
      </w:r>
    </w:p>
    <w:p>
      <w:pPr>
        <w:pStyle w:val="ListNumber"/>
      </w:pPr>
      <w:r>
        <w:t>1. User selects industry classification (e.g., Semiconductors).</w:t>
      </w:r>
    </w:p>
    <w:p>
      <w:pPr>
        <w:pStyle w:val="ListNumber"/>
      </w:pPr>
      <w:r>
        <w:t>2. System identifies applicable reporting frameworks via CQ1.</w:t>
      </w:r>
    </w:p>
    <w:p>
      <w:pPr>
        <w:pStyle w:val="ListNumber"/>
      </w:pPr>
      <w:r>
        <w:t>3. User selects framework (e.g., SASB Semiconductors).</w:t>
      </w:r>
    </w:p>
    <w:p>
      <w:pPr>
        <w:pStyle w:val="ListNumber"/>
      </w:pPr>
      <w:r>
        <w:t>4. System enumerates disclosure categories via CQ2.</w:t>
      </w:r>
    </w:p>
    <w:p>
      <w:pPr>
        <w:pStyle w:val="ListNumber"/>
      </w:pPr>
      <w:r>
        <w:t>5. For each category, system identifies required metrics via CQ3.</w:t>
      </w:r>
    </w:p>
    <w:p>
      <w:pPr>
        <w:pStyle w:val="ListNumber"/>
      </w:pPr>
      <w:r>
        <w:t>6. System invokes UC2 to calculate each metric value.</w:t>
      </w:r>
    </w:p>
    <w:p>
      <w:pPr>
        <w:pStyle w:val="ListNumber"/>
      </w:pPr>
      <w:r>
        <w:t>7. System assembles report with metric values, methodology, and data lineage.</w:t>
      </w:r>
    </w:p>
    <w:p>
      <w:r>
        <w:t>Postcondition: Framework-compliant ESG report generated with full audit trail.</w:t>
      </w:r>
    </w:p>
    <w:p>
      <w:r>
        <w:t>Related Competency Questions: CQ1, CQ2, CQ3</w:t>
      </w:r>
    </w:p>
    <w:p>
      <w:pPr>
        <w:pStyle w:val="Heading3"/>
      </w:pPr>
      <w:r>
        <w:t>5.2.3.2 UC2: Metric Calculation</w:t>
      </w:r>
    </w:p>
    <w:p>
      <w:r>
        <w:t>This use case supports the transparent computation of individual ESG metrics. When a metric calculation is requested, the system first determines whether the metric value is obtained directly from a dataset variable (hasCalculationMethod: direct_measurement) or derived through a computational model (hasCalculationMethod: calculation_model) using CQ4. For calculated metrics, the system identifies required inputs via CQ5, recursively resolves any dependent metrics, and executes the appropriate model implementation identified through CQ6. The calculation process maintains complete provenance, recording how each value was derived.</w:t>
      </w:r>
    </w:p>
    <w:p>
      <w:r>
        <w:t>Actor: ESG Reporting Officer / Data Analyst</w:t>
      </w:r>
    </w:p>
    <w:p>
      <w:r>
        <w:t>Precondition: Metric has been identified for calculation (typically via UC1).</w:t>
      </w:r>
    </w:p>
    <w:p>
      <w:r>
        <w:t>Main Flow:</w:t>
      </w:r>
    </w:p>
    <w:p>
      <w:pPr>
        <w:pStyle w:val="ListNumber"/>
      </w:pPr>
      <w:r>
        <w:t>1. System determines calculation method via CQ4 (direct_measurement or calculation_model).</w:t>
      </w:r>
    </w:p>
    <w:p>
      <w:pPr>
        <w:pStyle w:val="ListNumber"/>
      </w:pPr>
      <w:r>
        <w:t>2. For direct metrics:</w:t>
      </w:r>
    </w:p>
    <w:p>
      <w:pPr>
        <w:pStyle w:val="ListBullet"/>
      </w:pPr>
      <w:r>
        <w:t xml:space="preserve">   - System identifies source dataset variable via ObtainedFrom relationship</w:t>
      </w:r>
    </w:p>
    <w:p>
      <w:pPr>
        <w:pStyle w:val="ListBullet"/>
      </w:pPr>
      <w:r>
        <w:t xml:space="preserve">   - System invokes UC3 to retrieve value from data source</w:t>
      </w:r>
    </w:p>
    <w:p>
      <w:pPr>
        <w:pStyle w:val="ListNumber"/>
      </w:pPr>
      <w:r>
        <w:t>3. For calculated metrics:</w:t>
      </w:r>
    </w:p>
    <w:p>
      <w:pPr>
        <w:pStyle w:val="ListBullet"/>
      </w:pPr>
      <w:r>
        <w:t xml:space="preserve">   - System identifies required inputs via CQ5 (metrics or variables)</w:t>
      </w:r>
    </w:p>
    <w:p>
      <w:pPr>
        <w:pStyle w:val="ListBullet"/>
      </w:pPr>
      <w:r>
        <w:t xml:space="preserve">   - System recursively calculates any dependent metrics</w:t>
      </w:r>
    </w:p>
    <w:p>
      <w:pPr>
        <w:pStyle w:val="ListBullet"/>
      </w:pPr>
      <w:r>
        <w:t xml:space="preserve">   - System identifies model implementation via CQ6</w:t>
      </w:r>
    </w:p>
    <w:p>
      <w:pPr>
        <w:pStyle w:val="ListBullet"/>
      </w:pPr>
      <w:r>
        <w:t xml:space="preserve">   - System executes calculation with resolved inputs</w:t>
      </w:r>
    </w:p>
    <w:p>
      <w:pPr>
        <w:pStyle w:val="ListNumber"/>
      </w:pPr>
      <w:r>
        <w:t>4. System returns calculated value with complete derivation provenance.</w:t>
      </w:r>
    </w:p>
    <w:p>
      <w:r>
        <w:t>Postcondition: Metric value calculated with transparent methodology and provenance.</w:t>
      </w:r>
    </w:p>
    <w:p>
      <w:r>
        <w:t>Related Competency Questions: CQ4, CQ5, CQ6</w:t>
      </w:r>
    </w:p>
    <w:p>
      <w:pPr>
        <w:pStyle w:val="Heading3"/>
      </w:pPr>
      <w:r>
        <w:t>5.2.3.3 UC3: Data Access</w:t>
      </w:r>
    </w:p>
    <w:p>
      <w:r>
        <w:t>This use case traces the raw sources of metric inputs through direct access to ESG datasets and metadata. For each dataset variable involved in a metric, the system invokes CQ7 to identify the original data source, retrieves the requested value, and records provenance metadata including source attribution, temporal coverage, and data quality indicators. This use case ensures that all reported values can be traced back to their authoritative sources.</w:t>
      </w:r>
    </w:p>
    <w:p>
      <w:r>
        <w:t>Actor: Data Analyst / Auditor</w:t>
      </w:r>
    </w:p>
    <w:p>
      <w:r>
        <w:t>Precondition: Dataset variable has been identified (typically via UC2).</w:t>
      </w:r>
    </w:p>
    <w:p>
      <w:r>
        <w:t>Main Flow:</w:t>
      </w:r>
    </w:p>
    <w:p>
      <w:pPr>
        <w:pStyle w:val="ListNumber"/>
      </w:pPr>
      <w:r>
        <w:t>1. System identifies data source for variable via CQ7 (e.g., Eurofidai, WRDS).</w:t>
      </w:r>
    </w:p>
    <w:p>
      <w:pPr>
        <w:pStyle w:val="ListNumber"/>
      </w:pPr>
      <w:r>
        <w:t>2. System routes request based on hasDataDomain (ESG or Financial).</w:t>
      </w:r>
    </w:p>
    <w:p>
      <w:pPr>
        <w:pStyle w:val="ListNumber"/>
      </w:pPr>
      <w:r>
        <w:t>3. System retrieves value for specified company and time period.</w:t>
      </w:r>
    </w:p>
    <w:p>
      <w:pPr>
        <w:pStyle w:val="ListNumber"/>
      </w:pPr>
      <w:r>
        <w:t>4. System records provenance metadata (source, timestamp, quality indicators).</w:t>
      </w:r>
    </w:p>
    <w:p>
      <w:pPr>
        <w:pStyle w:val="ListNumber"/>
      </w:pPr>
      <w:r>
        <w:t>5. System returns value with complete source attribution.</w:t>
      </w:r>
    </w:p>
    <w:p>
      <w:r>
        <w:t>Postcondition: Data value retrieved with full provenance to original source.</w:t>
      </w:r>
    </w:p>
    <w:p>
      <w:r>
        <w:t>Related Competency Questions: CQ7</w:t>
      </w:r>
    </w:p>
    <w:p/>
    <w:p>
      <w:r>
        <w:t>Table 5.3 provides the detailed mapping between use cases and competency questions.</w:t>
      </w:r>
    </w:p>
    <w:tbl>
      <w:tblPr>
        <w:tblStyle w:val="TableGrid"/>
        <w:tblW w:type="auto" w:w="0"/>
        <w:tblLook w:firstColumn="1" w:firstRow="1" w:lastColumn="0" w:lastRow="0" w:noHBand="0" w:noVBand="1" w:val="04A0"/>
      </w:tblPr>
      <w:tblGrid>
        <w:gridCol w:w="2880"/>
        <w:gridCol w:w="2880"/>
        <w:gridCol w:w="2880"/>
      </w:tblGrid>
      <w:tr>
        <w:tc>
          <w:tcPr>
            <w:tcW w:type="dxa" w:w="2880"/>
          </w:tcPr>
          <w:p>
            <w:r>
              <w:t>Use Case</w:t>
            </w:r>
          </w:p>
        </w:tc>
        <w:tc>
          <w:tcPr>
            <w:tcW w:type="dxa" w:w="2880"/>
          </w:tcPr>
          <w:p>
            <w:r>
              <w:t>Competency Questions</w:t>
            </w:r>
          </w:p>
        </w:tc>
        <w:tc>
          <w:tcPr>
            <w:tcW w:type="dxa" w:w="2880"/>
          </w:tcPr>
          <w:p>
            <w:r>
              <w:t>Primary Output</w:t>
            </w:r>
          </w:p>
        </w:tc>
      </w:tr>
      <w:tr>
        <w:tc>
          <w:tcPr>
            <w:tcW w:type="dxa" w:w="2880"/>
          </w:tcPr>
          <w:p>
            <w:r>
              <w:t>UC1: ESG Report Generation</w:t>
            </w:r>
          </w:p>
        </w:tc>
        <w:tc>
          <w:tcPr>
            <w:tcW w:type="dxa" w:w="2880"/>
          </w:tcPr>
          <w:p>
            <w:r>
              <w:t>CQ1, CQ2, CQ3</w:t>
            </w:r>
          </w:p>
        </w:tc>
        <w:tc>
          <w:tcPr>
            <w:tcW w:type="dxa" w:w="2880"/>
          </w:tcPr>
          <w:p>
            <w:r>
              <w:t>Framework-compliant ESG report</w:t>
            </w:r>
          </w:p>
        </w:tc>
      </w:tr>
      <w:tr>
        <w:tc>
          <w:tcPr>
            <w:tcW w:type="dxa" w:w="2880"/>
          </w:tcPr>
          <w:p>
            <w:r>
              <w:t>UC2: Metric Calculation</w:t>
            </w:r>
          </w:p>
        </w:tc>
        <w:tc>
          <w:tcPr>
            <w:tcW w:type="dxa" w:w="2880"/>
          </w:tcPr>
          <w:p>
            <w:r>
              <w:t>CQ4, CQ5, CQ6</w:t>
            </w:r>
          </w:p>
        </w:tc>
        <w:tc>
          <w:tcPr>
            <w:tcW w:type="dxa" w:w="2880"/>
          </w:tcPr>
          <w:p>
            <w:r>
              <w:t>Calculated metric values with provenance</w:t>
            </w:r>
          </w:p>
        </w:tc>
      </w:tr>
      <w:tr>
        <w:tc>
          <w:tcPr>
            <w:tcW w:type="dxa" w:w="2880"/>
          </w:tcPr>
          <w:p>
            <w:r>
              <w:t>UC3: Data Access</w:t>
            </w:r>
          </w:p>
        </w:tc>
        <w:tc>
          <w:tcPr>
            <w:tcW w:type="dxa" w:w="2880"/>
          </w:tcPr>
          <w:p>
            <w:r>
              <w:t>CQ7</w:t>
            </w:r>
          </w:p>
        </w:tc>
        <w:tc>
          <w:tcPr>
            <w:tcW w:type="dxa" w:w="2880"/>
          </w:tcPr>
          <w:p>
            <w:r>
              <w:t>Raw data values with source attribution</w:t>
            </w:r>
          </w:p>
        </w:tc>
      </w:tr>
    </w:tbl>
    <w:p/>
    <w:p>
      <w:r>
        <w:t>Table 5.3: Use Case to Competency Question Mapping.</w:t>
      </w:r>
    </w:p>
    <w:p/>
    <w:p>
      <w:r>
        <w:t>[FIGURE 5.1: Use case diagram showing the three core ESG reporting use cases (UC1: Report Generation, UC2: Metric Calculation, UC3: Data Access) and their relationships to competency questions CQ1-CQ7.]</w:t>
      </w:r>
    </w:p>
    <w:p>
      <w:pPr>
        <w:pStyle w:val="Heading1"/>
      </w:pPr>
      <w:r>
        <w:t>5.3 System Architecture</w:t>
      </w:r>
    </w:p>
    <w:p>
      <w:r>
        <w:t>The ESG reporting framework follows a four-layer service-oriented architecture that separates concerns and enables modularity. Figure 5.2 illustrates the overall system architecture.</w:t>
      </w:r>
    </w:p>
    <w:p>
      <w:r>
        <w:t>[FIGURE 5.2: Four-layer system architecture showing Presentation, API Gateway, Service, and Data layers.]</w:t>
      </w:r>
    </w:p>
    <w:p>
      <w:pPr>
        <w:pStyle w:val="Heading2"/>
      </w:pPr>
      <w:r>
        <w:t>5.3.1 Architectural Layers</w:t>
      </w:r>
    </w:p>
    <w:p>
      <w:r>
        <w:t>The system comprises four distinct layers:</w:t>
      </w:r>
    </w:p>
    <w:p>
      <w:r>
        <w:rPr>
          <w:b/>
        </w:rPr>
        <w:t xml:space="preserve">Presentation Layer. </w:t>
      </w:r>
      <w:r>
        <w:t>A web-based user interface that enables users to select industries, frameworks, and metrics, then view calculated results and generated reports. The interface provides a step-by-step workflow guiding users through the ESG reporting process.</w:t>
      </w:r>
    </w:p>
    <w:p>
      <w:r>
        <w:rPr>
          <w:b/>
        </w:rPr>
        <w:t xml:space="preserve">API Gateway Layer. </w:t>
      </w:r>
      <w:r>
        <w:t>A RESTful API implemented using Flask that exposes service functionality to the presentation layer and external consumers. The API gateway handles request routing, response formatting, and error handling.</w:t>
      </w:r>
    </w:p>
    <w:p>
      <w:r>
        <w:rPr>
          <w:b/>
        </w:rPr>
        <w:t xml:space="preserve">Service Layer. </w:t>
      </w:r>
      <w:r>
        <w:t>Four microservices that implement the core business logic: Knowledge Graph Service for ontology navigation, Data Retrieval Service for data access, Calculation Service for metric computation, and Report Service for summary generation.</w:t>
      </w:r>
    </w:p>
    <w:p>
      <w:r>
        <w:rPr>
          <w:b/>
        </w:rPr>
        <w:t xml:space="preserve">Data Layer. </w:t>
      </w:r>
      <w:r>
        <w:t>Persistent storage comprising the RDF knowledge graph (stored in Turtle format), ESG data repositories (CSV files from Eurofidai), financial data repositories (CSV files from WRDS), and the model repository containing calculation model definitions and implementations.</w:t>
      </w:r>
    </w:p>
    <w:p>
      <w:pPr>
        <w:pStyle w:val="Heading1"/>
      </w:pPr>
      <w:r>
        <w:t>5.4 Service Layer Design</w:t>
      </w:r>
    </w:p>
    <w:p>
      <w:r>
        <w:t>The service layer implements four microservices, each with a specific responsibility aligned with the ESGMKG ontology structure. These services interact through well-defined interfaces to support the ESG reporting workflow.</w:t>
      </w:r>
    </w:p>
    <w:p>
      <w:pPr>
        <w:pStyle w:val="Heading2"/>
      </w:pPr>
      <w:r>
        <w:t>5.4.1 Knowledge Graph Service</w:t>
      </w:r>
    </w:p>
    <w:p>
      <w:r>
        <w:t>The Knowledge Graph Service provides semantic navigation capabilities over the ESGMKG ontology. It loads the RDF knowledge graph from Turtle format and executes SPARQL queries to answer the competency questions defined in Chapter 4.</w:t>
      </w:r>
    </w:p>
    <w:p>
      <w:r>
        <w:t>The service implements the following query operations aligned with competency questions:</w:t>
      </w:r>
    </w:p>
    <w:tbl>
      <w:tblPr>
        <w:tblStyle w:val="TableGrid"/>
        <w:tblW w:type="auto" w:w="0"/>
        <w:tblLook w:firstColumn="1" w:firstRow="1" w:lastColumn="0" w:lastRow="0" w:noHBand="0" w:noVBand="1" w:val="04A0"/>
      </w:tblPr>
      <w:tblGrid>
        <w:gridCol w:w="2880"/>
        <w:gridCol w:w="2880"/>
        <w:gridCol w:w="2880"/>
      </w:tblGrid>
      <w:tr>
        <w:tc>
          <w:tcPr>
            <w:tcW w:type="dxa" w:w="2880"/>
          </w:tcPr>
          <w:p>
            <w:r>
              <w:t>Operation</w:t>
            </w:r>
          </w:p>
        </w:tc>
        <w:tc>
          <w:tcPr>
            <w:tcW w:type="dxa" w:w="2880"/>
          </w:tcPr>
          <w:p>
            <w:r>
              <w:t>Competency Question</w:t>
            </w:r>
          </w:p>
        </w:tc>
        <w:tc>
          <w:tcPr>
            <w:tcW w:type="dxa" w:w="2880"/>
          </w:tcPr>
          <w:p>
            <w:r>
              <w:t>Description</w:t>
            </w:r>
          </w:p>
        </w:tc>
      </w:tr>
      <w:tr>
        <w:tc>
          <w:tcPr>
            <w:tcW w:type="dxa" w:w="2880"/>
          </w:tcPr>
          <w:p>
            <w:r>
              <w:t>get_frameworks_for_industry()</w:t>
            </w:r>
          </w:p>
        </w:tc>
        <w:tc>
          <w:tcPr>
            <w:tcW w:type="dxa" w:w="2880"/>
          </w:tcPr>
          <w:p>
            <w:r>
              <w:t>CQ1</w:t>
            </w:r>
          </w:p>
        </w:tc>
        <w:tc>
          <w:tcPr>
            <w:tcW w:type="dxa" w:w="2880"/>
          </w:tcPr>
          <w:p>
            <w:r>
              <w:t>Returns applicable reporting frameworks for an industry</w:t>
            </w:r>
          </w:p>
        </w:tc>
      </w:tr>
      <w:tr>
        <w:tc>
          <w:tcPr>
            <w:tcW w:type="dxa" w:w="2880"/>
          </w:tcPr>
          <w:p>
            <w:r>
              <w:t>get_categories_for_framework()</w:t>
            </w:r>
          </w:p>
        </w:tc>
        <w:tc>
          <w:tcPr>
            <w:tcW w:type="dxa" w:w="2880"/>
          </w:tcPr>
          <w:p>
            <w:r>
              <w:t>CQ2</w:t>
            </w:r>
          </w:p>
        </w:tc>
        <w:tc>
          <w:tcPr>
            <w:tcW w:type="dxa" w:w="2880"/>
          </w:tcPr>
          <w:p>
            <w:r>
              <w:t>Returns disclosure categories within a framework</w:t>
            </w:r>
          </w:p>
        </w:tc>
      </w:tr>
      <w:tr>
        <w:tc>
          <w:tcPr>
            <w:tcW w:type="dxa" w:w="2880"/>
          </w:tcPr>
          <w:p>
            <w:r>
              <w:t>get_metrics_for_category()</w:t>
            </w:r>
          </w:p>
        </w:tc>
        <w:tc>
          <w:tcPr>
            <w:tcW w:type="dxa" w:w="2880"/>
          </w:tcPr>
          <w:p>
            <w:r>
              <w:t>CQ3</w:t>
            </w:r>
          </w:p>
        </w:tc>
        <w:tc>
          <w:tcPr>
            <w:tcW w:type="dxa" w:w="2880"/>
          </w:tcPr>
          <w:p>
            <w:r>
              <w:t>Returns metrics belonging to a category</w:t>
            </w:r>
          </w:p>
        </w:tc>
      </w:tr>
      <w:tr>
        <w:tc>
          <w:tcPr>
            <w:tcW w:type="dxa" w:w="2880"/>
          </w:tcPr>
          <w:p>
            <w:r>
              <w:t>get_calculation_method()</w:t>
            </w:r>
          </w:p>
        </w:tc>
        <w:tc>
          <w:tcPr>
            <w:tcW w:type="dxa" w:w="2880"/>
          </w:tcPr>
          <w:p>
            <w:r>
              <w:t>CQ4</w:t>
            </w:r>
          </w:p>
        </w:tc>
        <w:tc>
          <w:tcPr>
            <w:tcW w:type="dxa" w:w="2880"/>
          </w:tcPr>
          <w:p>
            <w:r>
              <w:t>Returns model or variable for metric derivation</w:t>
            </w:r>
          </w:p>
        </w:tc>
      </w:tr>
      <w:tr>
        <w:tc>
          <w:tcPr>
            <w:tcW w:type="dxa" w:w="2880"/>
          </w:tcPr>
          <w:p>
            <w:r>
              <w:t>get_model_inputs()</w:t>
            </w:r>
          </w:p>
        </w:tc>
        <w:tc>
          <w:tcPr>
            <w:tcW w:type="dxa" w:w="2880"/>
          </w:tcPr>
          <w:p>
            <w:r>
              <w:t>CQ5</w:t>
            </w:r>
          </w:p>
        </w:tc>
        <w:tc>
          <w:tcPr>
            <w:tcW w:type="dxa" w:w="2880"/>
          </w:tcPr>
          <w:p>
            <w:r>
              <w:t>Returns input metrics/variables for a model</w:t>
            </w:r>
          </w:p>
        </w:tc>
      </w:tr>
      <w:tr>
        <w:tc>
          <w:tcPr>
            <w:tcW w:type="dxa" w:w="2880"/>
          </w:tcPr>
          <w:p>
            <w:r>
              <w:t>get_model_implementation()</w:t>
            </w:r>
          </w:p>
        </w:tc>
        <w:tc>
          <w:tcPr>
            <w:tcW w:type="dxa" w:w="2880"/>
          </w:tcPr>
          <w:p>
            <w:r>
              <w:t>CQ6</w:t>
            </w:r>
          </w:p>
        </w:tc>
        <w:tc>
          <w:tcPr>
            <w:tcW w:type="dxa" w:w="2880"/>
          </w:tcPr>
          <w:p>
            <w:r>
              <w:t>Returns implementation details for a model</w:t>
            </w:r>
          </w:p>
        </w:tc>
      </w:tr>
      <w:tr>
        <w:tc>
          <w:tcPr>
            <w:tcW w:type="dxa" w:w="2880"/>
          </w:tcPr>
          <w:p>
            <w:r>
              <w:t>get_variable_source()</w:t>
            </w:r>
          </w:p>
        </w:tc>
        <w:tc>
          <w:tcPr>
            <w:tcW w:type="dxa" w:w="2880"/>
          </w:tcPr>
          <w:p>
            <w:r>
              <w:t>CQ7</w:t>
            </w:r>
          </w:p>
        </w:tc>
        <w:tc>
          <w:tcPr>
            <w:tcW w:type="dxa" w:w="2880"/>
          </w:tcPr>
          <w:p>
            <w:r>
              <w:t>Returns data source for a dataset variable</w:t>
            </w:r>
          </w:p>
        </w:tc>
      </w:tr>
    </w:tbl>
    <w:p/>
    <w:p>
      <w:r>
        <w:t>Table 5.4: Knowledge Graph Service operations aligned with competency questions.</w:t>
      </w:r>
    </w:p>
    <w:p>
      <w:r>
        <w:t>The service uses RDFLib to parse and query the knowledge graph, providing an abstraction layer that shields other services from SPARQL syntax details.</w:t>
      </w:r>
    </w:p>
    <w:p>
      <w:pPr>
        <w:pStyle w:val="Heading2"/>
      </w:pPr>
      <w:r>
        <w:t>5.4.2 Data Retrieval Service</w:t>
      </w:r>
    </w:p>
    <w:p>
      <w:r>
        <w:t>The Data Retrieval Service manages access to underlying data repositories, retrieving values for dataset variables from their respective data sources. The service implements the data provenance chain: Metric → ObtainedFrom → DatasetVariable → SourcesFrom → DataSource.</w:t>
      </w:r>
    </w:p>
    <w:p>
      <w:r>
        <w:t>The service provides the following capabilities:</w:t>
      </w:r>
    </w:p>
    <w:p>
      <w:pPr>
        <w:pStyle w:val="ListBullet"/>
      </w:pPr>
      <w:r>
        <w:t>Company Discovery: Retrieves available companies by industry sector from the data repositories.</w:t>
      </w:r>
    </w:p>
    <w:p>
      <w:pPr>
        <w:pStyle w:val="ListBullet"/>
      </w:pPr>
      <w:r>
        <w:t>Variable Retrieval: Fetches values for dataset variables given a company and time period.</w:t>
      </w:r>
    </w:p>
    <w:p>
      <w:pPr>
        <w:pStyle w:val="ListBullet"/>
      </w:pPr>
      <w:r>
        <w:t>Multi-Source Integration: Handles data from multiple sources (Eurofidai for ESG, WRDS for Financial) using the hasDataDomain property to route requests appropriately.</w:t>
      </w:r>
    </w:p>
    <w:p>
      <w:pPr>
        <w:pStyle w:val="ListBullet"/>
      </w:pPr>
      <w:r>
        <w:t>Unit Conversion: Applies necessary unit conversions based on metadata in the knowledge graph.</w:t>
      </w:r>
    </w:p>
    <w:p>
      <w:pPr>
        <w:pStyle w:val="Heading2"/>
      </w:pPr>
      <w:r>
        <w:t>5.4.3 Calculation Service</w:t>
      </w:r>
    </w:p>
    <w:p>
      <w:r>
        <w:t>The Calculation Service implements the metric derivation logic defined in ESGMKG. It handles both direct measurement retrieval and computational model execution, following the dual derivation paths described in Chapter 4.</w:t>
      </w:r>
    </w:p>
    <w:p>
      <w:r>
        <w:t>The calculation workflow proceeds as follows:</w:t>
      </w:r>
    </w:p>
    <w:p>
      <w:pPr>
        <w:pStyle w:val="ListNumber"/>
      </w:pPr>
      <w:r>
        <w:t>Step 1 (CQ4): Query the knowledge graph to determine the calculation method for the requested metric (direct_measurement or calculation_model).</w:t>
      </w:r>
    </w:p>
    <w:p>
      <w:pPr>
        <w:pStyle w:val="ListNumber"/>
      </w:pPr>
      <w:r>
        <w:t>Step 2a - Direct Path: If hasCalculationMethod is "direct_measurement", query CQ7 to identify the data source, then retrieve the value via the Data Retrieval Service.</w:t>
      </w:r>
    </w:p>
    <w:p>
      <w:pPr>
        <w:pStyle w:val="ListNumber"/>
      </w:pPr>
      <w:r>
        <w:t>Step 2b - Calculated Path: If hasCalculationMethod is "calculation_model", proceed to Step 3.</w:t>
      </w:r>
    </w:p>
    <w:p>
      <w:pPr>
        <w:pStyle w:val="ListNumber"/>
      </w:pPr>
      <w:r>
        <w:t>Step 3 (CQ5): Query the knowledge graph to identify input metrics/variables required by the model.</w:t>
      </w:r>
    </w:p>
    <w:p>
      <w:pPr>
        <w:pStyle w:val="ListNumber"/>
      </w:pPr>
      <w:r>
        <w:t>Step 4: For each input, recursively apply Steps 1-3 to obtain values (handles metrics from both ESG and Financial domains based on hasDataDomain).</w:t>
      </w:r>
    </w:p>
    <w:p>
      <w:pPr>
        <w:pStyle w:val="ListNumber"/>
      </w:pPr>
      <w:r>
        <w:t>Step 5 (CQ6): Query the knowledge graph to identify the model implementation.</w:t>
      </w:r>
    </w:p>
    <w:p>
      <w:pPr>
        <w:pStyle w:val="ListNumber"/>
      </w:pPr>
      <w:r>
        <w:t>Step 6: Execute the implementation with the gathered input values and return the calculated result.</w:t>
      </w:r>
    </w:p>
    <w:p>
      <w:r>
        <w:t>Figure 5.4 illustrates the calculation service workflow.</w:t>
      </w:r>
    </w:p>
    <w:p>
      <w:r>
        <w:t>[FIGURE 5.4: Calculation Service workflow showing dual derivation paths and recursive input resolution.]</w:t>
      </w:r>
    </w:p>
    <w:p>
      <w:r>
        <w:t>Error handling is implemented at each step. If any required input is unavailable or a calculation fails, the service returns a detailed error message indicating the failure point while continuing to process other metrics where possible.</w:t>
      </w:r>
    </w:p>
    <w:p>
      <w:pPr>
        <w:pStyle w:val="Heading2"/>
      </w:pPr>
      <w:r>
        <w:t>5.4.4 Report Service</w:t>
      </w:r>
    </w:p>
    <w:p>
      <w:r>
        <w:t>The Report Service aggregates calculation results into comprehensive ESG reports. It provides summary statistics, visualisations, and full audit trails documenting how each reported value was derived.</w:t>
      </w:r>
    </w:p>
    <w:p>
      <w:r>
        <w:t>The service generates reports containing:</w:t>
      </w:r>
    </w:p>
    <w:p>
      <w:pPr>
        <w:pStyle w:val="ListBullet"/>
      </w:pPr>
      <w:r>
        <w:t>Metric Summary: Calculated values for all requested metrics with units and descriptions.</w:t>
      </w:r>
    </w:p>
    <w:p>
      <w:pPr>
        <w:pStyle w:val="ListBullet"/>
      </w:pPr>
      <w:r>
        <w:t>Derivation Audit Trail: For each metric, the complete chain from reported value through model execution to underlying data sources.</w:t>
      </w:r>
    </w:p>
    <w:p>
      <w:pPr>
        <w:pStyle w:val="ListBullet"/>
      </w:pPr>
      <w:r>
        <w:t>Data Provenance: Source attribution for all dataset variables used in calculations.</w:t>
      </w:r>
    </w:p>
    <w:p>
      <w:pPr>
        <w:pStyle w:val="ListBullet"/>
      </w:pPr>
      <w:r>
        <w:t>Visualisations: Charts and graphs summarising ESG performance across categories.</w:t>
      </w:r>
    </w:p>
    <w:p>
      <w:pPr>
        <w:pStyle w:val="Heading1"/>
      </w:pPr>
      <w:r>
        <w:t>5.5 API Layer</w:t>
      </w:r>
    </w:p>
    <w:p>
      <w:r>
        <w:t>The API layer exposes service functionality through RESTful endpoints. Table 5.5 summarises the available API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Method</w:t>
            </w:r>
          </w:p>
        </w:tc>
        <w:tc>
          <w:tcPr>
            <w:tcW w:type="dxa" w:w="2160"/>
          </w:tcPr>
          <w:p>
            <w:r>
              <w:t>Description</w:t>
            </w:r>
          </w:p>
        </w:tc>
        <w:tc>
          <w:tcPr>
            <w:tcW w:type="dxa" w:w="2160"/>
          </w:tcPr>
          <w:p>
            <w:r>
              <w:t>Related CQ</w:t>
            </w:r>
          </w:p>
        </w:tc>
      </w:tr>
      <w:tr>
        <w:tc>
          <w:tcPr>
            <w:tcW w:type="dxa" w:w="2160"/>
          </w:tcPr>
          <w:p>
            <w:r>
              <w:t>/industries</w:t>
            </w:r>
          </w:p>
        </w:tc>
        <w:tc>
          <w:tcPr>
            <w:tcW w:type="dxa" w:w="2160"/>
          </w:tcPr>
          <w:p>
            <w:r>
              <w:t>GET</w:t>
            </w:r>
          </w:p>
        </w:tc>
        <w:tc>
          <w:tcPr>
            <w:tcW w:type="dxa" w:w="2160"/>
          </w:tcPr>
          <w:p>
            <w:r>
              <w:t>List all available industries</w:t>
            </w:r>
          </w:p>
        </w:tc>
        <w:tc>
          <w:tcPr>
            <w:tcW w:type="dxa" w:w="2160"/>
          </w:tcPr>
          <w:p>
            <w:r>
              <w:t>—</w:t>
            </w:r>
          </w:p>
        </w:tc>
      </w:tr>
      <w:tr>
        <w:tc>
          <w:tcPr>
            <w:tcW w:type="dxa" w:w="2160"/>
          </w:tcPr>
          <w:p>
            <w:r>
              <w:t>/industries/{id}/frameworks</w:t>
            </w:r>
          </w:p>
        </w:tc>
        <w:tc>
          <w:tcPr>
            <w:tcW w:type="dxa" w:w="2160"/>
          </w:tcPr>
          <w:p>
            <w:r>
              <w:t>GET</w:t>
            </w:r>
          </w:p>
        </w:tc>
        <w:tc>
          <w:tcPr>
            <w:tcW w:type="dxa" w:w="2160"/>
          </w:tcPr>
          <w:p>
            <w:r>
              <w:t>Retrieve reporting frameworks for an industry</w:t>
            </w:r>
          </w:p>
        </w:tc>
        <w:tc>
          <w:tcPr>
            <w:tcW w:type="dxa" w:w="2160"/>
          </w:tcPr>
          <w:p>
            <w:r>
              <w:t>CQ1</w:t>
            </w:r>
          </w:p>
        </w:tc>
      </w:tr>
      <w:tr>
        <w:tc>
          <w:tcPr>
            <w:tcW w:type="dxa" w:w="2160"/>
          </w:tcPr>
          <w:p>
            <w:r>
              <w:t>/frameworks/{id}/categories</w:t>
            </w:r>
          </w:p>
        </w:tc>
        <w:tc>
          <w:tcPr>
            <w:tcW w:type="dxa" w:w="2160"/>
          </w:tcPr>
          <w:p>
            <w:r>
              <w:t>GET</w:t>
            </w:r>
          </w:p>
        </w:tc>
        <w:tc>
          <w:tcPr>
            <w:tcW w:type="dxa" w:w="2160"/>
          </w:tcPr>
          <w:p>
            <w:r>
              <w:t>Retrieve disclosure categories within a framework</w:t>
            </w:r>
          </w:p>
        </w:tc>
        <w:tc>
          <w:tcPr>
            <w:tcW w:type="dxa" w:w="2160"/>
          </w:tcPr>
          <w:p>
            <w:r>
              <w:t>CQ2</w:t>
            </w:r>
          </w:p>
        </w:tc>
      </w:tr>
      <w:tr>
        <w:tc>
          <w:tcPr>
            <w:tcW w:type="dxa" w:w="2160"/>
          </w:tcPr>
          <w:p>
            <w:r>
              <w:t>/categories/{id}/metrics</w:t>
            </w:r>
          </w:p>
        </w:tc>
        <w:tc>
          <w:tcPr>
            <w:tcW w:type="dxa" w:w="2160"/>
          </w:tcPr>
          <w:p>
            <w:r>
              <w:t>GET</w:t>
            </w:r>
          </w:p>
        </w:tc>
        <w:tc>
          <w:tcPr>
            <w:tcW w:type="dxa" w:w="2160"/>
          </w:tcPr>
          <w:p>
            <w:r>
              <w:t>Retrieve metrics within a category</w:t>
            </w:r>
          </w:p>
        </w:tc>
        <w:tc>
          <w:tcPr>
            <w:tcW w:type="dxa" w:w="2160"/>
          </w:tcPr>
          <w:p>
            <w:r>
              <w:t>CQ3</w:t>
            </w:r>
          </w:p>
        </w:tc>
      </w:tr>
      <w:tr>
        <w:tc>
          <w:tcPr>
            <w:tcW w:type="dxa" w:w="2160"/>
          </w:tcPr>
          <w:p>
            <w:r>
              <w:t>/metrics/{id}</w:t>
            </w:r>
          </w:p>
        </w:tc>
        <w:tc>
          <w:tcPr>
            <w:tcW w:type="dxa" w:w="2160"/>
          </w:tcPr>
          <w:p>
            <w:r>
              <w:t>GET</w:t>
            </w:r>
          </w:p>
        </w:tc>
        <w:tc>
          <w:tcPr>
            <w:tcW w:type="dxa" w:w="2160"/>
          </w:tcPr>
          <w:p>
            <w:r>
              <w:t>Retrieve metric definition and calculation method</w:t>
            </w:r>
          </w:p>
        </w:tc>
        <w:tc>
          <w:tcPr>
            <w:tcW w:type="dxa" w:w="2160"/>
          </w:tcPr>
          <w:p>
            <w:r>
              <w:t>CQ4</w:t>
            </w:r>
          </w:p>
        </w:tc>
      </w:tr>
      <w:tr>
        <w:tc>
          <w:tcPr>
            <w:tcW w:type="dxa" w:w="2160"/>
          </w:tcPr>
          <w:p>
            <w:r>
              <w:t>/metrics/{id}/inputs</w:t>
            </w:r>
          </w:p>
        </w:tc>
        <w:tc>
          <w:tcPr>
            <w:tcW w:type="dxa" w:w="2160"/>
          </w:tcPr>
          <w:p>
            <w:r>
              <w:t>GET</w:t>
            </w:r>
          </w:p>
        </w:tc>
        <w:tc>
          <w:tcPr>
            <w:tcW w:type="dxa" w:w="2160"/>
          </w:tcPr>
          <w:p>
            <w:r>
              <w:t>Retrieve required inputs for a derived metric</w:t>
            </w:r>
          </w:p>
        </w:tc>
        <w:tc>
          <w:tcPr>
            <w:tcW w:type="dxa" w:w="2160"/>
          </w:tcPr>
          <w:p>
            <w:r>
              <w:t>CQ5</w:t>
            </w:r>
          </w:p>
        </w:tc>
      </w:tr>
      <w:tr>
        <w:tc>
          <w:tcPr>
            <w:tcW w:type="dxa" w:w="2160"/>
          </w:tcPr>
          <w:p>
            <w:r>
              <w:t>/calculate</w:t>
            </w:r>
          </w:p>
        </w:tc>
        <w:tc>
          <w:tcPr>
            <w:tcW w:type="dxa" w:w="2160"/>
          </w:tcPr>
          <w:p>
            <w:r>
              <w:t>POST</w:t>
            </w:r>
          </w:p>
        </w:tc>
        <w:tc>
          <w:tcPr>
            <w:tcW w:type="dxa" w:w="2160"/>
          </w:tcPr>
          <w:p>
            <w:r>
              <w:t>Compute metric value for a specified company and period</w:t>
            </w:r>
          </w:p>
        </w:tc>
        <w:tc>
          <w:tcPr>
            <w:tcW w:type="dxa" w:w="2160"/>
          </w:tcPr>
          <w:p>
            <w:r>
              <w:t>CQ6</w:t>
            </w:r>
          </w:p>
        </w:tc>
      </w:tr>
      <w:tr>
        <w:tc>
          <w:tcPr>
            <w:tcW w:type="dxa" w:w="2160"/>
          </w:tcPr>
          <w:p>
            <w:r>
              <w:t>/calculations/{id}/lineage</w:t>
            </w:r>
          </w:p>
        </w:tc>
        <w:tc>
          <w:tcPr>
            <w:tcW w:type="dxa" w:w="2160"/>
          </w:tcPr>
          <w:p>
            <w:r>
              <w:t>GET</w:t>
            </w:r>
          </w:p>
        </w:tc>
        <w:tc>
          <w:tcPr>
            <w:tcW w:type="dxa" w:w="2160"/>
          </w:tcPr>
          <w:p>
            <w:r>
              <w:t>Retrieve provenance and lineage for a calculation</w:t>
            </w:r>
          </w:p>
        </w:tc>
        <w:tc>
          <w:tcPr>
            <w:tcW w:type="dxa" w:w="2160"/>
          </w:tcPr>
          <w:p>
            <w:r>
              <w:t>CQ7</w:t>
            </w:r>
          </w:p>
        </w:tc>
      </w:tr>
      <w:tr>
        <w:tc>
          <w:tcPr>
            <w:tcW w:type="dxa" w:w="2160"/>
          </w:tcPr>
          <w:p>
            <w:r>
              <w:t>/reports/generate</w:t>
            </w:r>
          </w:p>
        </w:tc>
        <w:tc>
          <w:tcPr>
            <w:tcW w:type="dxa" w:w="2160"/>
          </w:tcPr>
          <w:p>
            <w:r>
              <w:t>POST</w:t>
            </w:r>
          </w:p>
        </w:tc>
        <w:tc>
          <w:tcPr>
            <w:tcW w:type="dxa" w:w="2160"/>
          </w:tcPr>
          <w:p>
            <w:r>
              <w:t>Generate an ESG report with aggregated results</w:t>
            </w:r>
          </w:p>
        </w:tc>
        <w:tc>
          <w:tcPr>
            <w:tcW w:type="dxa" w:w="2160"/>
          </w:tcPr>
          <w:p>
            <w:r>
              <w:t>UC3</w:t>
            </w:r>
          </w:p>
        </w:tc>
      </w:tr>
    </w:tbl>
    <w:p/>
    <w:p>
      <w:r>
        <w:t>Table 5.5: REST API endpoints mapped to competency questions.</w:t>
      </w:r>
    </w:p>
    <w:p>
      <w:r>
        <w:t>The API follows resource-oriented REST conventions, using domain concepts (industries, frameworks, categories, metrics) as URL nouns rather than exposing internal service structure. This design decouples clients from implementation details and enables backend refactoring without breaking API contracts. All responses follow a consistent JSON format including status, data payload, and error information where applicable.</w:t>
      </w:r>
    </w:p>
    <w:p>
      <w:pPr>
        <w:pStyle w:val="Heading1"/>
      </w:pPr>
      <w:r>
        <w:t>5.6 Data Layer</w:t>
      </w:r>
    </w:p>
    <w:p>
      <w:r>
        <w:t>The data layer comprises three core components: the knowledge graph repository storing ESGMKG entities and relationships, the external data sources providing raw ESG and financial data, and the model repository containing calculation definitions. This section details each component and specifies the data formats required for system integration.</w:t>
      </w:r>
    </w:p>
    <w:p>
      <w:pPr>
        <w:pStyle w:val="Heading2"/>
      </w:pPr>
      <w:r>
        <w:t>5.6.1 Knowledge Graph Repository</w:t>
      </w:r>
    </w:p>
    <w:p>
      <w:r>
        <w:t>The knowledge graph is stored in RDF Turtle (.ttl) format, implementing the ESGMKG ontology defined in Chapter 4. The graph is loaded into memory using RDFLib and queried via SPARQL. The current instantiation includes:</w:t>
      </w:r>
    </w:p>
    <w:p>
      <w:pPr>
        <w:pStyle w:val="ListBullet"/>
      </w:pPr>
      <w:r>
        <w:t>2 Industries: Commercial Banks, Semiconductors</w:t>
      </w:r>
    </w:p>
    <w:p>
      <w:pPr>
        <w:pStyle w:val="ListBullet"/>
      </w:pPr>
      <w:r>
        <w:t>2 Reporting Frameworks: SASB Commercial Banks, SASB Semiconductors</w:t>
      </w:r>
    </w:p>
    <w:p>
      <w:pPr>
        <w:pStyle w:val="ListBullet"/>
      </w:pPr>
      <w:r>
        <w:t>14 Disclosure Categories spanning environmental, social, and governance topics</w:t>
      </w:r>
    </w:p>
    <w:p>
      <w:pPr>
        <w:pStyle w:val="ListBullet"/>
      </w:pPr>
      <w:r>
        <w:t>29 Metrics with hasCalculationMethod and hasDataDomain properties</w:t>
      </w:r>
    </w:p>
    <w:p>
      <w:pPr>
        <w:pStyle w:val="ListBullet"/>
      </w:pPr>
      <w:r>
        <w:t>6 Computational Models with mathematical formulas and input specifications</w:t>
      </w:r>
    </w:p>
    <w:p>
      <w:pPr>
        <w:pStyle w:val="ListBullet"/>
      </w:pPr>
      <w:r>
        <w:t>6 Implementations with Python function bindings</w:t>
      </w:r>
    </w:p>
    <w:p>
      <w:pPr>
        <w:pStyle w:val="ListBullet"/>
      </w:pPr>
      <w:r>
        <w:t>15 Dataset Variables with alignment metadata</w:t>
      </w:r>
    </w:p>
    <w:p>
      <w:pPr>
        <w:pStyle w:val="ListBullet"/>
      </w:pPr>
      <w:r>
        <w:t>2 Data Sources: Eurofidai (ESG), WRDS (Financial)</w:t>
      </w:r>
    </w:p>
    <w:p>
      <w:r>
        <w:t>The knowledge graph file is located at data/rdf/esg_knowledge_graph.ttl and is automatically loaded by the UnifiedKnowledgeGraphService at system startup.</w:t>
      </w:r>
    </w:p>
    <w:p>
      <w:pPr>
        <w:pStyle w:val="Heading2"/>
      </w:pPr>
      <w:r>
        <w:t>5.6.2 External Data Sources</w:t>
      </w:r>
    </w:p>
    <w:p>
      <w:r>
        <w:t>The system integrates data from external ESG and financial data providers. This section documents the data sources, their CSV formats, and the requirements for adding new data sources to the system.</w:t>
      </w:r>
    </w:p>
    <w:p>
      <w:pPr>
        <w:pStyle w:val="Heading3"/>
      </w:pPr>
      <w:r>
        <w:t>5.6.2.1 Available Data Sources</w:t>
      </w:r>
    </w:p>
    <w:p>
      <w:r>
        <w:t>Table 5.6 summarises the external data sources currently integrated into the system.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 Source</w:t>
            </w:r>
          </w:p>
        </w:tc>
        <w:tc>
          <w:tcPr>
            <w:tcW w:type="dxa" w:w="2160"/>
          </w:tcPr>
          <w:p>
            <w:r>
              <w:t>Data Domain</w:t>
            </w:r>
          </w:p>
        </w:tc>
        <w:tc>
          <w:tcPr>
            <w:tcW w:type="dxa" w:w="2160"/>
          </w:tcPr>
          <w:p>
            <w:r>
              <w:t>File Location</w:t>
            </w:r>
          </w:p>
        </w:tc>
        <w:tc>
          <w:tcPr>
            <w:tcW w:type="dxa" w:w="2160"/>
          </w:tcPr>
          <w:p>
            <w:r>
              <w:t>Record Count</w:t>
            </w:r>
          </w:p>
        </w:tc>
      </w:tr>
      <w:tr>
        <w:tc>
          <w:tcPr>
            <w:tcW w:type="dxa" w:w="2160"/>
          </w:tcPr>
          <w:p>
            <w:r>
              <w:t>Eurofidai (Semiconductors)</w:t>
            </w:r>
          </w:p>
        </w:tc>
        <w:tc>
          <w:tcPr>
            <w:tcW w:type="dxa" w:w="2160"/>
          </w:tcPr>
          <w:p>
            <w:r>
              <w:t>ESG</w:t>
            </w:r>
          </w:p>
        </w:tc>
        <w:tc>
          <w:tcPr>
            <w:tcW w:type="dxa" w:w="2160"/>
          </w:tcPr>
          <w:p>
            <w:r>
              <w:t>data/External dataset/Semiconductors_Eurofidai_EnvironmentData.csv</w:t>
            </w:r>
          </w:p>
        </w:tc>
        <w:tc>
          <w:tcPr>
            <w:tcW w:type="dxa" w:w="2160"/>
          </w:tcPr>
          <w:p>
            <w:r>
              <w:t>~105,000</w:t>
            </w:r>
          </w:p>
        </w:tc>
      </w:tr>
      <w:tr>
        <w:tc>
          <w:tcPr>
            <w:tcW w:type="dxa" w:w="2160"/>
          </w:tcPr>
          <w:p>
            <w:r>
              <w:t>Eurofidai (Commercial Banks)</w:t>
            </w:r>
          </w:p>
        </w:tc>
        <w:tc>
          <w:tcPr>
            <w:tcW w:type="dxa" w:w="2160"/>
          </w:tcPr>
          <w:p>
            <w:r>
              <w:t>ESG</w:t>
            </w:r>
          </w:p>
        </w:tc>
        <w:tc>
          <w:tcPr>
            <w:tcW w:type="dxa" w:w="2160"/>
          </w:tcPr>
          <w:p>
            <w:r>
              <w:t>data/External dataset/Commercial_Banks_Eurofidai_EnvironmentData.csv</w:t>
            </w:r>
          </w:p>
        </w:tc>
        <w:tc>
          <w:tcPr>
            <w:tcW w:type="dxa" w:w="2160"/>
          </w:tcPr>
          <w:p>
            <w:r>
              <w:t>~317,000</w:t>
            </w:r>
          </w:p>
        </w:tc>
      </w:tr>
      <w:tr>
        <w:tc>
          <w:tcPr>
            <w:tcW w:type="dxa" w:w="2160"/>
          </w:tcPr>
          <w:p>
            <w:r>
              <w:t>WRDS Compustat</w:t>
            </w:r>
          </w:p>
        </w:tc>
        <w:tc>
          <w:tcPr>
            <w:tcW w:type="dxa" w:w="2160"/>
          </w:tcPr>
          <w:p>
            <w:r>
              <w:t>Financial</w:t>
            </w:r>
          </w:p>
        </w:tc>
        <w:tc>
          <w:tcPr>
            <w:tcW w:type="dxa" w:w="2160"/>
          </w:tcPr>
          <w:p>
            <w:r>
              <w:t>data/External dataset/Semiconductor_WRDS_FinancialData.csv</w:t>
            </w:r>
          </w:p>
        </w:tc>
        <w:tc>
          <w:tcPr>
            <w:tcW w:type="dxa" w:w="2160"/>
          </w:tcPr>
          <w:p>
            <w:r>
              <w:t>~500</w:t>
            </w:r>
          </w:p>
        </w:tc>
      </w:tr>
    </w:tbl>
    <w:p/>
    <w:p>
      <w:r>
        <w:t>Table 5.6: External data sources integrated into the system.</w:t>
      </w:r>
    </w:p>
    <w:p>
      <w:pPr>
        <w:pStyle w:val="Heading3"/>
      </w:pPr>
      <w:r>
        <w:t>5.6.2.2 Eurofidai ESG Data Format</w:t>
      </w:r>
    </w:p>
    <w:p>
      <w:r>
        <w:t>ESG data from Eurofidai (sourced from Clarity AI) uses a "long format" CSV structure where each row represents a single metric observation for a company. This normalised format enables flexible storage of diverse metrics. Table 5.7 specifies the CSV schema.</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Description</w:t>
            </w:r>
          </w:p>
        </w:tc>
        <w:tc>
          <w:tcPr>
            <w:tcW w:type="dxa" w:w="2880"/>
          </w:tcPr>
          <w:p>
            <w:r>
              <w:t>Example</w:t>
            </w:r>
          </w:p>
        </w:tc>
      </w:tr>
      <w:tr>
        <w:tc>
          <w:tcPr>
            <w:tcW w:type="dxa" w:w="2880"/>
          </w:tcPr>
          <w:p>
            <w:r>
              <w:t>company_name</w:t>
            </w:r>
          </w:p>
        </w:tc>
        <w:tc>
          <w:tcPr>
            <w:tcW w:type="dxa" w:w="2880"/>
          </w:tcPr>
          <w:p>
            <w:r>
              <w:t>Company legal name</w:t>
            </w:r>
          </w:p>
        </w:tc>
        <w:tc>
          <w:tcPr>
            <w:tcW w:type="dxa" w:w="2880"/>
          </w:tcPr>
          <w:p>
            <w:r>
              <w:t>NVIDIA Corp</w:t>
            </w:r>
          </w:p>
        </w:tc>
      </w:tr>
      <w:tr>
        <w:tc>
          <w:tcPr>
            <w:tcW w:type="dxa" w:w="2880"/>
          </w:tcPr>
          <w:p>
            <w:r>
              <w:t>perm_id</w:t>
            </w:r>
          </w:p>
        </w:tc>
        <w:tc>
          <w:tcPr>
            <w:tcW w:type="dxa" w:w="2880"/>
          </w:tcPr>
          <w:p>
            <w:r>
              <w:t>Permanent company identifier</w:t>
            </w:r>
          </w:p>
        </w:tc>
        <w:tc>
          <w:tcPr>
            <w:tcW w:type="dxa" w:w="2880"/>
          </w:tcPr>
          <w:p>
            <w:r>
              <w:t>4295914405</w:t>
            </w:r>
          </w:p>
        </w:tc>
      </w:tr>
      <w:tr>
        <w:tc>
          <w:tcPr>
            <w:tcW w:type="dxa" w:w="2880"/>
          </w:tcPr>
          <w:p>
            <w:r>
              <w:t>metric_name</w:t>
            </w:r>
          </w:p>
        </w:tc>
        <w:tc>
          <w:tcPr>
            <w:tcW w:type="dxa" w:w="2880"/>
          </w:tcPr>
          <w:p>
            <w:r>
              <w:t>Variable identifier for ESGMKG mapping</w:t>
            </w:r>
          </w:p>
        </w:tc>
        <w:tc>
          <w:tcPr>
            <w:tcW w:type="dxa" w:w="2880"/>
          </w:tcPr>
          <w:p>
            <w:r>
              <w:t>SOXEMISSIONS</w:t>
            </w:r>
          </w:p>
        </w:tc>
      </w:tr>
      <w:tr>
        <w:tc>
          <w:tcPr>
            <w:tcW w:type="dxa" w:w="2880"/>
          </w:tcPr>
          <w:p>
            <w:r>
              <w:t>metric_value</w:t>
            </w:r>
          </w:p>
        </w:tc>
        <w:tc>
          <w:tcPr>
            <w:tcW w:type="dxa" w:w="2880"/>
          </w:tcPr>
          <w:p>
            <w:r>
              <w:t>Numeric value of the metric</w:t>
            </w:r>
          </w:p>
        </w:tc>
        <w:tc>
          <w:tcPr>
            <w:tcW w:type="dxa" w:w="2880"/>
          </w:tcPr>
          <w:p>
            <w:r>
              <w:t>125.5</w:t>
            </w:r>
          </w:p>
        </w:tc>
      </w:tr>
      <w:tr>
        <w:tc>
          <w:tcPr>
            <w:tcW w:type="dxa" w:w="2880"/>
          </w:tcPr>
          <w:p>
            <w:r>
              <w:t>metric_unit</w:t>
            </w:r>
          </w:p>
        </w:tc>
        <w:tc>
          <w:tcPr>
            <w:tcW w:type="dxa" w:w="2880"/>
          </w:tcPr>
          <w:p>
            <w:r>
              <w:t>Unit of measurement</w:t>
            </w:r>
          </w:p>
        </w:tc>
        <w:tc>
          <w:tcPr>
            <w:tcW w:type="dxa" w:w="2880"/>
          </w:tcPr>
          <w:p>
            <w:r>
              <w:t>Tons of SOx</w:t>
            </w:r>
          </w:p>
        </w:tc>
      </w:tr>
      <w:tr>
        <w:tc>
          <w:tcPr>
            <w:tcW w:type="dxa" w:w="2880"/>
          </w:tcPr>
          <w:p>
            <w:r>
              <w:t>metric_year</w:t>
            </w:r>
          </w:p>
        </w:tc>
        <w:tc>
          <w:tcPr>
            <w:tcW w:type="dxa" w:w="2880"/>
          </w:tcPr>
          <w:p>
            <w:r>
              <w:t>Reporting period end date</w:t>
            </w:r>
          </w:p>
        </w:tc>
        <w:tc>
          <w:tcPr>
            <w:tcW w:type="dxa" w:w="2880"/>
          </w:tcPr>
          <w:p>
            <w:r>
              <w:t>2022-12-31</w:t>
            </w:r>
          </w:p>
        </w:tc>
      </w:tr>
      <w:tr>
        <w:tc>
          <w:tcPr>
            <w:tcW w:type="dxa" w:w="2880"/>
          </w:tcPr>
          <w:p>
            <w:r>
              <w:t>disclosure</w:t>
            </w:r>
          </w:p>
        </w:tc>
        <w:tc>
          <w:tcPr>
            <w:tcW w:type="dxa" w:w="2880"/>
          </w:tcPr>
          <w:p>
            <w:r>
              <w:t>Data origin (REPORTED/CALCULATED/ESTIMATED)</w:t>
            </w:r>
          </w:p>
        </w:tc>
        <w:tc>
          <w:tcPr>
            <w:tcW w:type="dxa" w:w="2880"/>
          </w:tcPr>
          <w:p>
            <w:r>
              <w:t>ESTIMATED</w:t>
            </w:r>
          </w:p>
        </w:tc>
      </w:tr>
      <w:tr>
        <w:tc>
          <w:tcPr>
            <w:tcW w:type="dxa" w:w="2880"/>
          </w:tcPr>
          <w:p>
            <w:r>
              <w:t>pillar</w:t>
            </w:r>
          </w:p>
        </w:tc>
        <w:tc>
          <w:tcPr>
            <w:tcW w:type="dxa" w:w="2880"/>
          </w:tcPr>
          <w:p>
            <w:r>
              <w:t>ESG pillar (E, S, G)</w:t>
            </w:r>
          </w:p>
        </w:tc>
        <w:tc>
          <w:tcPr>
            <w:tcW w:type="dxa" w:w="2880"/>
          </w:tcPr>
          <w:p>
            <w:r>
              <w:t>E</w:t>
            </w:r>
          </w:p>
        </w:tc>
      </w:tr>
      <w:tr>
        <w:tc>
          <w:tcPr>
            <w:tcW w:type="dxa" w:w="2880"/>
          </w:tcPr>
          <w:p>
            <w:r>
              <w:t>provider_name</w:t>
            </w:r>
          </w:p>
        </w:tc>
        <w:tc>
          <w:tcPr>
            <w:tcW w:type="dxa" w:w="2880"/>
          </w:tcPr>
          <w:p>
            <w:r>
              <w:t>Data provider</w:t>
            </w:r>
          </w:p>
        </w:tc>
        <w:tc>
          <w:tcPr>
            <w:tcW w:type="dxa" w:w="2880"/>
          </w:tcPr>
          <w:p>
            <w:r>
              <w:t>Clarity AI</w:t>
            </w:r>
          </w:p>
        </w:tc>
      </w:tr>
      <w:tr>
        <w:tc>
          <w:tcPr>
            <w:tcW w:type="dxa" w:w="2880"/>
          </w:tcPr>
          <w:p>
            <w:r>
              <w:t>industry</w:t>
            </w:r>
          </w:p>
        </w:tc>
        <w:tc>
          <w:tcPr>
            <w:tcW w:type="dxa" w:w="2880"/>
          </w:tcPr>
          <w:p>
            <w:r>
              <w:t>Industry classification</w:t>
            </w:r>
          </w:p>
        </w:tc>
        <w:tc>
          <w:tcPr>
            <w:tcW w:type="dxa" w:w="2880"/>
          </w:tcPr>
          <w:p>
            <w:r>
              <w:t>Semiconductors</w:t>
            </w:r>
          </w:p>
        </w:tc>
      </w:tr>
    </w:tbl>
    <w:p/>
    <w:p>
      <w:r>
        <w:t>Table 5.7: Eurofidai ESG data CSV schema.</w:t>
      </w:r>
    </w:p>
    <w:p>
      <w:r>
        <w:t>Example rows from the Eurofidai dataset:</w:t>
      </w:r>
    </w:p>
    <w:p>
      <w:pPr/>
      <w:r>
        <w:t>company_name,metric_name,metric_value,metric_unit,metric_year,pillar</w:t>
        <w:br/>
        <w:t>NVIDIA Corp,CO2DIRECTSCOPE1,125000.5,Tons of CO2,2022-12-31,E</w:t>
        <w:br/>
        <w:t>NVIDIA Corp,SOXEMISSIONS,0.04,Tons of SOx,2022-12-31,E</w:t>
        <w:br/>
        <w:t>NVIDIA Corp,VOCEMISSIONS,12.5,Tons of VOC,2022-12-31,E</w:t>
      </w:r>
    </w:p>
    <w:p>
      <w:r>
        <w:t>Key metric_name values used by ESGMKG: CO2DIRECTSCOPE1, CO2INDIRECTSCOPE2 (GHG emissions), SOXEMISSIONS, NOXEMISSIONS, VOCEMISSIONS (air quality), WATERCONSUMPTIONTOTAL, ENERGYUSETOTAL, HAZARDOUSWASTE.</w:t>
      </w:r>
    </w:p>
    <w:p>
      <w:pPr>
        <w:pStyle w:val="Heading3"/>
      </w:pPr>
      <w:r>
        <w:t>5.6.2.3 WRDS Financial Data Format</w:t>
      </w:r>
    </w:p>
    <w:p>
      <w:r>
        <w:t>Financial data from WRDS Compustat uses a similar long format. Table 5.8 specifies the schema.</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Description</w:t>
            </w:r>
          </w:p>
        </w:tc>
        <w:tc>
          <w:tcPr>
            <w:tcW w:type="dxa" w:w="2880"/>
          </w:tcPr>
          <w:p>
            <w:r>
              <w:t>Example</w:t>
            </w:r>
          </w:p>
        </w:tc>
      </w:tr>
      <w:tr>
        <w:tc>
          <w:tcPr>
            <w:tcW w:type="dxa" w:w="2880"/>
          </w:tcPr>
          <w:p>
            <w:r>
              <w:t>companyname</w:t>
            </w:r>
          </w:p>
        </w:tc>
        <w:tc>
          <w:tcPr>
            <w:tcW w:type="dxa" w:w="2880"/>
          </w:tcPr>
          <w:p>
            <w:r>
              <w:t>Company name</w:t>
            </w:r>
          </w:p>
        </w:tc>
        <w:tc>
          <w:tcPr>
            <w:tcW w:type="dxa" w:w="2880"/>
          </w:tcPr>
          <w:p>
            <w:r>
              <w:t>NVIDIA CORP</w:t>
            </w:r>
          </w:p>
        </w:tc>
      </w:tr>
      <w:tr>
        <w:tc>
          <w:tcPr>
            <w:tcW w:type="dxa" w:w="2880"/>
          </w:tcPr>
          <w:p>
            <w:r>
              <w:t>FinancialVariable</w:t>
            </w:r>
          </w:p>
        </w:tc>
        <w:tc>
          <w:tcPr>
            <w:tcW w:type="dxa" w:w="2880"/>
          </w:tcPr>
          <w:p>
            <w:r>
              <w:t>Variable identifier (e.g., revt)</w:t>
            </w:r>
          </w:p>
        </w:tc>
        <w:tc>
          <w:tcPr>
            <w:tcW w:type="dxa" w:w="2880"/>
          </w:tcPr>
          <w:p>
            <w:r>
              <w:t>revt</w:t>
            </w:r>
          </w:p>
        </w:tc>
      </w:tr>
      <w:tr>
        <w:tc>
          <w:tcPr>
            <w:tcW w:type="dxa" w:w="2880"/>
          </w:tcPr>
          <w:p>
            <w:r>
              <w:t>Datadate</w:t>
            </w:r>
          </w:p>
        </w:tc>
        <w:tc>
          <w:tcPr>
            <w:tcW w:type="dxa" w:w="2880"/>
          </w:tcPr>
          <w:p>
            <w:r>
              <w:t>Fiscal period end date</w:t>
            </w:r>
          </w:p>
        </w:tc>
        <w:tc>
          <w:tcPr>
            <w:tcW w:type="dxa" w:w="2880"/>
          </w:tcPr>
          <w:p>
            <w:r>
              <w:t>31/12/2022</w:t>
            </w:r>
          </w:p>
        </w:tc>
      </w:tr>
      <w:tr>
        <w:tc>
          <w:tcPr>
            <w:tcW w:type="dxa" w:w="2880"/>
          </w:tcPr>
          <w:p>
            <w:r>
              <w:t>Unit</w:t>
            </w:r>
          </w:p>
        </w:tc>
        <w:tc>
          <w:tcPr>
            <w:tcW w:type="dxa" w:w="2880"/>
          </w:tcPr>
          <w:p>
            <w:r>
              <w:t>Unit of measurement</w:t>
            </w:r>
          </w:p>
        </w:tc>
        <w:tc>
          <w:tcPr>
            <w:tcW w:type="dxa" w:w="2880"/>
          </w:tcPr>
          <w:p>
            <w:r>
              <w:t>USD million</w:t>
            </w:r>
          </w:p>
        </w:tc>
      </w:tr>
      <w:tr>
        <w:tc>
          <w:tcPr>
            <w:tcW w:type="dxa" w:w="2880"/>
          </w:tcPr>
          <w:p>
            <w:r>
              <w:t>Value</w:t>
            </w:r>
          </w:p>
        </w:tc>
        <w:tc>
          <w:tcPr>
            <w:tcW w:type="dxa" w:w="2880"/>
          </w:tcPr>
          <w:p>
            <w:r>
              <w:t>Numeric value</w:t>
            </w:r>
          </w:p>
        </w:tc>
        <w:tc>
          <w:tcPr>
            <w:tcW w:type="dxa" w:w="2880"/>
          </w:tcPr>
          <w:p>
            <w:r>
              <w:t>26914.0</w:t>
            </w:r>
          </w:p>
        </w:tc>
      </w:tr>
    </w:tbl>
    <w:p/>
    <w:p>
      <w:r>
        <w:t>Table 5.8: WRDS Compustat financial data CSV schema.</w:t>
      </w:r>
    </w:p>
    <w:p>
      <w:r>
        <w:t>Example rows:</w:t>
      </w:r>
    </w:p>
    <w:p>
      <w:pPr/>
      <w:r>
        <w:t>companyname,FinancialVariable,Datadate,Unit,Value</w:t>
        <w:br/>
        <w:t>NVIDIA CORP,revt,31/12/2022,USD million,26914.0</w:t>
        <w:br/>
        <w:t>NVIDIA CORP,revt,31/12/2023,USD million,60922.0</w:t>
      </w:r>
    </w:p>
    <w:p>
      <w:pPr>
        <w:pStyle w:val="Heading3"/>
      </w:pPr>
      <w:r>
        <w:t>5.6.2.4 Adding New Data Sources</w:t>
      </w:r>
    </w:p>
    <w:p>
      <w:r>
        <w:t>To integrate a new external data source, the following requirements must be satisfied:</w:t>
      </w:r>
    </w:p>
    <w:p>
      <w:pPr>
        <w:pStyle w:val="ListNumber"/>
      </w:pPr>
      <w:r>
        <w:t>1. CSV Format: Data must be in CSV format with UTF-8 encoding.</w:t>
      </w:r>
    </w:p>
    <w:p>
      <w:pPr>
        <w:pStyle w:val="ListNumber"/>
      </w:pPr>
      <w:r>
        <w:t>2. Company Identifier: A column must uniquely identify companies.</w:t>
      </w:r>
    </w:p>
    <w:p>
      <w:pPr>
        <w:pStyle w:val="ListNumber"/>
      </w:pPr>
      <w:r>
        <w:t>3. Temporal Key: A date/year column must indicate the reporting period.</w:t>
      </w:r>
    </w:p>
    <w:p>
      <w:pPr>
        <w:pStyle w:val="ListNumber"/>
      </w:pPr>
      <w:r>
        <w:t>4. Metric Identifier: A column must contain variable names mapping to ESGMKG DatasetVariables.</w:t>
      </w:r>
    </w:p>
    <w:p>
      <w:pPr>
        <w:pStyle w:val="ListNumber"/>
      </w:pPr>
      <w:r>
        <w:t>5. Value Column: A numeric column must contain metric values.</w:t>
      </w:r>
    </w:p>
    <w:p>
      <w:r>
        <w:t>Once the CSV is prepared, add a new DataSource entity to the knowledge graph with SourcesFrom relationships linking relevant DatasetVariable entities. Update the DataRetrievalService to recognise and load the new data source.</w:t>
      </w:r>
    </w:p>
    <w:p>
      <w:pPr>
        <w:pStyle w:val="Heading3"/>
      </w:pPr>
      <w:r>
        <w:t>5.6.2.5 Dataset Variables and Domain Classification</w:t>
      </w:r>
    </w:p>
    <w:p>
      <w:r>
        <w:t>Dataset variables are classified by their data domain (ESG or Financial) through the hasDataDomain property. This enables correct routing of data requests and proper combination of data from heterogeneous sources for intensity calculations.</w:t>
      </w:r>
    </w:p>
    <w:p>
      <w:pPr>
        <w:pStyle w:val="ListBullet"/>
      </w:pPr>
      <w:r>
        <w:t>ESG Domain variables include: CO2DIRECTSCOPE1, CO2INDIRECTSCOPE2, SOXEMISSIONS, NOXEMISSIONS, VOCEMISSIONS, WATERCONSUMPTIONTOTAL, ENERGYUSETOTAL, HAZARDOUSWASTE (sourced from Eurofidai).</w:t>
      </w:r>
    </w:p>
    <w:p>
      <w:pPr>
        <w:pStyle w:val="ListBullet"/>
      </w:pPr>
      <w:r>
        <w:t>Financial Domain variables include: revt (revenue), at (total assets) (sourced from WRDS).</w:t>
      </w:r>
    </w:p>
    <w:p>
      <w:pPr>
        <w:pStyle w:val="Heading2"/>
      </w:pPr>
      <w:r>
        <w:t>5.6.3 Model Repository</w:t>
      </w:r>
    </w:p>
    <w:p>
      <w:r>
        <w:t>The Model Repository stores computational model definitions that specify how calculated metrics are derived from their inputs. Each model is represented as an ESGMKG entity with explicit relationships to its inputs and implementation.</w:t>
      </w:r>
    </w:p>
    <w:p>
      <w:pPr>
        <w:pStyle w:val="Heading3"/>
      </w:pPr>
      <w:r>
        <w:t>5.6.3.1 Model Structure</w:t>
      </w:r>
    </w:p>
    <w:p>
      <w:r>
        <w:t>Each model in the repository includes:</w:t>
      </w:r>
    </w:p>
    <w:p>
      <w:pPr>
        <w:pStyle w:val="ListBullet"/>
      </w:pPr>
      <w:r>
        <w:t>Mathematical Formula: The computation logic (e.g., "(scope1 + scope2) / revenue")</w:t>
      </w:r>
    </w:p>
    <w:p>
      <w:pPr>
        <w:pStyle w:val="ListBullet"/>
      </w:pPr>
      <w:r>
        <w:t>Input Requirements: References to required metrics or dataset variables via RequiresInputFrom</w:t>
      </w:r>
    </w:p>
    <w:p>
      <w:pPr>
        <w:pStyle w:val="ListBullet"/>
      </w:pPr>
      <w:r>
        <w:t>Implementation Reference: Link to executable code via ExecutesWith</w:t>
      </w:r>
    </w:p>
    <w:p>
      <w:pPr>
        <w:pStyle w:val="ListBullet"/>
      </w:pPr>
      <w:r>
        <w:t>Calculation Type: Classification of the computation (e.g., "intensity_ratio", "percentage_ratio")</w:t>
      </w:r>
    </w:p>
    <w:p>
      <w:pPr>
        <w:pStyle w:val="Heading3"/>
      </w:pPr>
      <w:r>
        <w:t>5.6.3.2 Implemented Models</w:t>
      </w:r>
    </w:p>
    <w:p>
      <w:r>
        <w:t>The current system includes the following calculation 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Formula</w:t>
            </w:r>
          </w:p>
        </w:tc>
        <w:tc>
          <w:tcPr>
            <w:tcW w:type="dxa" w:w="2160"/>
          </w:tcPr>
          <w:p>
            <w:r>
              <w:t>Inputs</w:t>
            </w:r>
          </w:p>
        </w:tc>
        <w:tc>
          <w:tcPr>
            <w:tcW w:type="dxa" w:w="2160"/>
          </w:tcPr>
          <w:p>
            <w:r>
              <w:t>Output Unit</w:t>
            </w:r>
          </w:p>
        </w:tc>
      </w:tr>
      <w:tr>
        <w:tc>
          <w:tcPr>
            <w:tcW w:type="dxa" w:w="2160"/>
          </w:tcPr>
          <w:p>
            <w:r>
              <w:t>GHGEmissionIntensityModel</w:t>
            </w:r>
          </w:p>
        </w:tc>
        <w:tc>
          <w:tcPr>
            <w:tcW w:type="dxa" w:w="2160"/>
          </w:tcPr>
          <w:p>
            <w:r>
              <w:t>(Scope1 + Scope2) / Revenue</w:t>
            </w:r>
          </w:p>
        </w:tc>
        <w:tc>
          <w:tcPr>
            <w:tcW w:type="dxa" w:w="2160"/>
          </w:tcPr>
          <w:p>
            <w:r>
              <w:t>Scope1, Scope2, Revenue</w:t>
            </w:r>
          </w:p>
        </w:tc>
        <w:tc>
          <w:tcPr>
            <w:tcW w:type="dxa" w:w="2160"/>
          </w:tcPr>
          <w:p>
            <w:r>
              <w:t>tonnes CO2-e per M USD</w:t>
            </w:r>
          </w:p>
        </w:tc>
      </w:tr>
      <w:tr>
        <w:tc>
          <w:tcPr>
            <w:tcW w:type="dxa" w:w="2160"/>
          </w:tcPr>
          <w:p>
            <w:r>
              <w:t>GridElectricityRateModel</w:t>
            </w:r>
          </w:p>
        </w:tc>
        <w:tc>
          <w:tcPr>
            <w:tcW w:type="dxa" w:w="2160"/>
          </w:tcPr>
          <w:p>
            <w:r>
              <w:t>(Grid / Total) x 100</w:t>
            </w:r>
          </w:p>
        </w:tc>
        <w:tc>
          <w:tcPr>
            <w:tcW w:type="dxa" w:w="2160"/>
          </w:tcPr>
          <w:p>
            <w:r>
              <w:t>GridElectricity, TotalEnergy</w:t>
            </w:r>
          </w:p>
        </w:tc>
        <w:tc>
          <w:tcPr>
            <w:tcW w:type="dxa" w:w="2160"/>
          </w:tcPr>
          <w:p>
            <w:r>
              <w:t>Percentage (%)</w:t>
            </w:r>
          </w:p>
        </w:tc>
      </w:tr>
      <w:tr>
        <w:tc>
          <w:tcPr>
            <w:tcW w:type="dxa" w:w="2160"/>
          </w:tcPr>
          <w:p>
            <w:r>
              <w:t>RenewableEnergyRateModel</w:t>
            </w:r>
          </w:p>
        </w:tc>
        <w:tc>
          <w:tcPr>
            <w:tcW w:type="dxa" w:w="2160"/>
          </w:tcPr>
          <w:p>
            <w:r>
              <w:t>(Renewable / Total) x 100</w:t>
            </w:r>
          </w:p>
        </w:tc>
        <w:tc>
          <w:tcPr>
            <w:tcW w:type="dxa" w:w="2160"/>
          </w:tcPr>
          <w:p>
            <w:r>
              <w:t>RenewableEnergy, TotalEnergy</w:t>
            </w:r>
          </w:p>
        </w:tc>
        <w:tc>
          <w:tcPr>
            <w:tcW w:type="dxa" w:w="2160"/>
          </w:tcPr>
          <w:p>
            <w:r>
              <w:t>Percentage (%)</w:t>
            </w:r>
          </w:p>
        </w:tc>
      </w:tr>
      <w:tr>
        <w:tc>
          <w:tcPr>
            <w:tcW w:type="dxa" w:w="2160"/>
          </w:tcPr>
          <w:p>
            <w:r>
              <w:t>HazardousWasteRecyclingRateModel</w:t>
            </w:r>
          </w:p>
        </w:tc>
        <w:tc>
          <w:tcPr>
            <w:tcW w:type="dxa" w:w="2160"/>
          </w:tcPr>
          <w:p>
            <w:r>
              <w:t>(Recycled / Total) x 100</w:t>
            </w:r>
          </w:p>
        </w:tc>
        <w:tc>
          <w:tcPr>
            <w:tcW w:type="dxa" w:w="2160"/>
          </w:tcPr>
          <w:p>
            <w:r>
              <w:t>RecycledWaste, TotalWaste</w:t>
            </w:r>
          </w:p>
        </w:tc>
        <w:tc>
          <w:tcPr>
            <w:tcW w:type="dxa" w:w="2160"/>
          </w:tcPr>
          <w:p>
            <w:r>
              <w:t>Percentage (%)</w:t>
            </w:r>
          </w:p>
        </w:tc>
      </w:tr>
      <w:tr>
        <w:tc>
          <w:tcPr>
            <w:tcW w:type="dxa" w:w="2160"/>
          </w:tcPr>
          <w:p>
            <w:r>
              <w:t>HighStressWaterConsumptionModel</w:t>
            </w:r>
          </w:p>
        </w:tc>
        <w:tc>
          <w:tcPr>
            <w:tcW w:type="dxa" w:w="2160"/>
          </w:tcPr>
          <w:p>
            <w:r>
              <w:t>(HighStress / Total) x 100</w:t>
            </w:r>
          </w:p>
        </w:tc>
        <w:tc>
          <w:tcPr>
            <w:tcW w:type="dxa" w:w="2160"/>
          </w:tcPr>
          <w:p>
            <w:r>
              <w:t>HighStressWater, TotalWater</w:t>
            </w:r>
          </w:p>
        </w:tc>
        <w:tc>
          <w:tcPr>
            <w:tcW w:type="dxa" w:w="2160"/>
          </w:tcPr>
          <w:p>
            <w:r>
              <w:t>Percentage (%)</w:t>
            </w:r>
          </w:p>
        </w:tc>
      </w:tr>
      <w:tr>
        <w:tc>
          <w:tcPr>
            <w:tcW w:type="dxa" w:w="2160"/>
          </w:tcPr>
          <w:p>
            <w:r>
              <w:t>HighStressWaterWithdrawalModel</w:t>
            </w:r>
          </w:p>
        </w:tc>
        <w:tc>
          <w:tcPr>
            <w:tcW w:type="dxa" w:w="2160"/>
          </w:tcPr>
          <w:p>
            <w:r>
              <w:t>(HighStress / Total) x 100</w:t>
            </w:r>
          </w:p>
        </w:tc>
        <w:tc>
          <w:tcPr>
            <w:tcW w:type="dxa" w:w="2160"/>
          </w:tcPr>
          <w:p>
            <w:r>
              <w:t>HighStressWater, TotalWater</w:t>
            </w:r>
          </w:p>
        </w:tc>
        <w:tc>
          <w:tcPr>
            <w:tcW w:type="dxa" w:w="2160"/>
          </w:tcPr>
          <w:p>
            <w:r>
              <w:t>Percentage (%)</w:t>
            </w:r>
          </w:p>
        </w:tc>
      </w:tr>
    </w:tbl>
    <w:p/>
    <w:p>
      <w:r>
        <w:t>Table 5.9: Implemented calculation models.</w:t>
      </w:r>
    </w:p>
    <w:p>
      <w:pPr>
        <w:pStyle w:val="Heading3"/>
      </w:pPr>
      <w:r>
        <w:t>5.6.3.3 Implementation Bindings</w:t>
      </w:r>
    </w:p>
    <w:p>
      <w:r>
        <w:t>Each model is bound to a Python implementation through the ExecutesWith relationship. Implementation metadata includes:</w:t>
      </w:r>
    </w:p>
    <w:p>
      <w:pPr>
        <w:pStyle w:val="ListBullet"/>
      </w:pPr>
      <w:r>
        <w:t>File Path: Location of the implementation script</w:t>
      </w:r>
    </w:p>
    <w:p>
      <w:pPr>
        <w:pStyle w:val="ListBullet"/>
      </w:pPr>
      <w:r>
        <w:t>Function Name: The callable function that executes the model</w:t>
      </w:r>
    </w:p>
    <w:p>
      <w:pPr>
        <w:pStyle w:val="ListBullet"/>
      </w:pPr>
      <w:r>
        <w:t>Input Parameters: Expected parameter names and types</w:t>
      </w:r>
    </w:p>
    <w:p>
      <w:pPr>
        <w:pStyle w:val="ListBullet"/>
      </w:pPr>
      <w:r>
        <w:t>Validation Rules: Constraints to prevent errors (e.g., division by zero checks)</w:t>
      </w:r>
    </w:p>
    <w:p>
      <w:r>
        <w:t>This separation of model definitions from implementations follows the principle of separating concerns, allowing the same computational logic to be realised through different technical means while maintaining consistent semantics.</w:t>
      </w:r>
    </w:p>
    <w:p>
      <w:pPr>
        <w:pStyle w:val="Heading2"/>
      </w:pPr>
      <w:r>
        <w:t>5.6.4 Internal Data Formats</w:t>
      </w:r>
    </w:p>
    <w:p>
      <w:r>
        <w:t>This section documents the internal data representations used within the system for processing, storage, and inter-service communication.</w:t>
      </w:r>
    </w:p>
    <w:p>
      <w:pPr>
        <w:pStyle w:val="Heading3"/>
      </w:pPr>
      <w:r>
        <w:t>5.6.4.1 Knowledge Graph Format (RDF/Turtle)</w:t>
      </w:r>
    </w:p>
    <w:p>
      <w:r>
        <w:t>The knowledge graph is stored in RDF Turtle (.ttl) format. Table 5.10 presents the RDF schema structure for each ESGMKG entity type.</w:t>
      </w:r>
    </w:p>
    <w:tbl>
      <w:tblPr>
        <w:tblStyle w:val="TableGrid"/>
        <w:tblW w:type="auto" w:w="0"/>
        <w:tblLook w:firstColumn="1" w:firstRow="1" w:lastColumn="0" w:lastRow="0" w:noHBand="0" w:noVBand="1" w:val="04A0"/>
      </w:tblPr>
      <w:tblGrid>
        <w:gridCol w:w="2880"/>
        <w:gridCol w:w="2880"/>
        <w:gridCol w:w="2880"/>
      </w:tblGrid>
      <w:tr>
        <w:tc>
          <w:tcPr>
            <w:tcW w:type="dxa" w:w="2880"/>
          </w:tcPr>
          <w:p>
            <w:r>
              <w:t>Entity Class</w:t>
            </w:r>
          </w:p>
        </w:tc>
        <w:tc>
          <w:tcPr>
            <w:tcW w:type="dxa" w:w="2880"/>
          </w:tcPr>
          <w:p>
            <w:r>
              <w:t>Key Properties</w:t>
            </w:r>
          </w:p>
        </w:tc>
        <w:tc>
          <w:tcPr>
            <w:tcW w:type="dxa" w:w="2880"/>
          </w:tcPr>
          <w:p>
            <w:r>
              <w:t>Property Datatypes</w:t>
            </w:r>
          </w:p>
        </w:tc>
      </w:tr>
      <w:tr>
        <w:tc>
          <w:tcPr>
            <w:tcW w:type="dxa" w:w="2880"/>
          </w:tcPr>
          <w:p>
            <w:r>
              <w:t>esg:Industry</w:t>
            </w:r>
          </w:p>
        </w:tc>
        <w:tc>
          <w:tcPr>
            <w:tcW w:type="dxa" w:w="2880"/>
          </w:tcPr>
          <w:p>
            <w:r>
              <w:t>rdfs:label, esg:industryCode</w:t>
            </w:r>
          </w:p>
        </w:tc>
        <w:tc>
          <w:tcPr>
            <w:tcW w:type="dxa" w:w="2880"/>
          </w:tcPr>
          <w:p>
            <w:r>
              <w:t>xsd:string</w:t>
            </w:r>
          </w:p>
        </w:tc>
      </w:tr>
      <w:tr>
        <w:tc>
          <w:tcPr>
            <w:tcW w:type="dxa" w:w="2880"/>
          </w:tcPr>
          <w:p>
            <w:r>
              <w:t>esg:ReportingFramework</w:t>
            </w:r>
          </w:p>
        </w:tc>
        <w:tc>
          <w:tcPr>
            <w:tcW w:type="dxa" w:w="2880"/>
          </w:tcPr>
          <w:p>
            <w:r>
              <w:t>rdfs:label, esg:frameworkVersion</w:t>
            </w:r>
          </w:p>
        </w:tc>
        <w:tc>
          <w:tcPr>
            <w:tcW w:type="dxa" w:w="2880"/>
          </w:tcPr>
          <w:p>
            <w:r>
              <w:t>xsd:string</w:t>
            </w:r>
          </w:p>
        </w:tc>
      </w:tr>
      <w:tr>
        <w:tc>
          <w:tcPr>
            <w:tcW w:type="dxa" w:w="2880"/>
          </w:tcPr>
          <w:p>
            <w:r>
              <w:t>esg:Category</w:t>
            </w:r>
          </w:p>
        </w:tc>
        <w:tc>
          <w:tcPr>
            <w:tcW w:type="dxa" w:w="2880"/>
          </w:tcPr>
          <w:p>
            <w:r>
              <w:t>rdfs:label, esg:categoryCode</w:t>
            </w:r>
          </w:p>
        </w:tc>
        <w:tc>
          <w:tcPr>
            <w:tcW w:type="dxa" w:w="2880"/>
          </w:tcPr>
          <w:p>
            <w:r>
              <w:t>xsd:string</w:t>
            </w:r>
          </w:p>
        </w:tc>
      </w:tr>
      <w:tr>
        <w:tc>
          <w:tcPr>
            <w:tcW w:type="dxa" w:w="2880"/>
          </w:tcPr>
          <w:p>
            <w:r>
              <w:t>esg:Metric</w:t>
            </w:r>
          </w:p>
        </w:tc>
        <w:tc>
          <w:tcPr>
            <w:tcW w:type="dxa" w:w="2880"/>
          </w:tcPr>
          <w:p>
            <w:r>
              <w:t>rdfs:label, esg:hasCalculationMethod, esg:hasDataDomain</w:t>
            </w:r>
          </w:p>
        </w:tc>
        <w:tc>
          <w:tcPr>
            <w:tcW w:type="dxa" w:w="2880"/>
          </w:tcPr>
          <w:p>
            <w:r>
              <w:t>xsd:string</w:t>
            </w:r>
          </w:p>
        </w:tc>
      </w:tr>
      <w:tr>
        <w:tc>
          <w:tcPr>
            <w:tcW w:type="dxa" w:w="2880"/>
          </w:tcPr>
          <w:p>
            <w:r>
              <w:t>esg:Model</w:t>
            </w:r>
          </w:p>
        </w:tc>
        <w:tc>
          <w:tcPr>
            <w:tcW w:type="dxa" w:w="2880"/>
          </w:tcPr>
          <w:p>
            <w:r>
              <w:t>rdfs:label, esg:formula, esg:calculationType</w:t>
            </w:r>
          </w:p>
        </w:tc>
        <w:tc>
          <w:tcPr>
            <w:tcW w:type="dxa" w:w="2880"/>
          </w:tcPr>
          <w:p>
            <w:r>
              <w:t>xsd:string</w:t>
            </w:r>
          </w:p>
        </w:tc>
      </w:tr>
      <w:tr>
        <w:tc>
          <w:tcPr>
            <w:tcW w:type="dxa" w:w="2880"/>
          </w:tcPr>
          <w:p>
            <w:r>
              <w:t>esg:Implementation</w:t>
            </w:r>
          </w:p>
        </w:tc>
        <w:tc>
          <w:tcPr>
            <w:tcW w:type="dxa" w:w="2880"/>
          </w:tcPr>
          <w:p>
            <w:r>
              <w:t>esg:filePath, esg:functionName</w:t>
            </w:r>
          </w:p>
        </w:tc>
        <w:tc>
          <w:tcPr>
            <w:tcW w:type="dxa" w:w="2880"/>
          </w:tcPr>
          <w:p>
            <w:r>
              <w:t>xsd:string</w:t>
            </w:r>
          </w:p>
        </w:tc>
      </w:tr>
      <w:tr>
        <w:tc>
          <w:tcPr>
            <w:tcW w:type="dxa" w:w="2880"/>
          </w:tcPr>
          <w:p>
            <w:r>
              <w:t>esg:DatasetVariable</w:t>
            </w:r>
          </w:p>
        </w:tc>
        <w:tc>
          <w:tcPr>
            <w:tcW w:type="dxa" w:w="2880"/>
          </w:tcPr>
          <w:p>
            <w:r>
              <w:t>esg:variableName, esg:alignmentReason, esg:confidenceScore</w:t>
            </w:r>
          </w:p>
        </w:tc>
        <w:tc>
          <w:tcPr>
            <w:tcW w:type="dxa" w:w="2880"/>
          </w:tcPr>
          <w:p>
            <w:r>
              <w:t>xsd:string, xsd:decimal</w:t>
            </w:r>
          </w:p>
        </w:tc>
      </w:tr>
      <w:tr>
        <w:tc>
          <w:tcPr>
            <w:tcW w:type="dxa" w:w="2880"/>
          </w:tcPr>
          <w:p>
            <w:r>
              <w:t>esg:DataSource</w:t>
            </w:r>
          </w:p>
        </w:tc>
        <w:tc>
          <w:tcPr>
            <w:tcW w:type="dxa" w:w="2880"/>
          </w:tcPr>
          <w:p>
            <w:r>
              <w:t>rdfs:label, esg:provider, esg:dataFormat</w:t>
            </w:r>
          </w:p>
        </w:tc>
        <w:tc>
          <w:tcPr>
            <w:tcW w:type="dxa" w:w="2880"/>
          </w:tcPr>
          <w:p>
            <w:r>
              <w:t>xsd:string</w:t>
            </w:r>
          </w:p>
        </w:tc>
      </w:tr>
    </w:tbl>
    <w:p/>
    <w:p>
      <w:r>
        <w:t>Table 5.10: RDF schema structure for ESGMKG entities.</w:t>
      </w:r>
    </w:p>
    <w:p>
      <w:pPr>
        <w:pStyle w:val="Heading3"/>
      </w:pPr>
      <w:r>
        <w:t>5.6.4.2 Service Communication Format (JSON)</w:t>
      </w:r>
    </w:p>
    <w:p>
      <w:r>
        <w:t>Inter-service communication and API responses use JSON format. Table 5.11 documents the key response schemas for external API consumers.</w:t>
      </w:r>
    </w:p>
    <w:tbl>
      <w:tblPr>
        <w:tblStyle w:val="TableGrid"/>
        <w:tblW w:type="auto" w:w="0"/>
        <w:tblLook w:firstColumn="1" w:firstRow="1" w:lastColumn="0" w:lastRow="0" w:noHBand="0" w:noVBand="1" w:val="04A0"/>
      </w:tblPr>
      <w:tblGrid>
        <w:gridCol w:w="2880"/>
        <w:gridCol w:w="2880"/>
        <w:gridCol w:w="2880"/>
      </w:tblGrid>
      <w:tr>
        <w:tc>
          <w:tcPr>
            <w:tcW w:type="dxa" w:w="2880"/>
          </w:tcPr>
          <w:p>
            <w:r>
              <w:t>Endpoint</w:t>
            </w:r>
          </w:p>
        </w:tc>
        <w:tc>
          <w:tcPr>
            <w:tcW w:type="dxa" w:w="2880"/>
          </w:tcPr>
          <w:p>
            <w:r>
              <w:t>Response Structure</w:t>
            </w:r>
          </w:p>
        </w:tc>
        <w:tc>
          <w:tcPr>
            <w:tcW w:type="dxa" w:w="2880"/>
          </w:tcPr>
          <w:p>
            <w:r>
              <w:t>Key Fields</w:t>
            </w:r>
          </w:p>
        </w:tc>
      </w:tr>
      <w:tr>
        <w:tc>
          <w:tcPr>
            <w:tcW w:type="dxa" w:w="2880"/>
          </w:tcPr>
          <w:p>
            <w:r>
              <w:t>/api/metrics</w:t>
            </w:r>
          </w:p>
        </w:tc>
        <w:tc>
          <w:tcPr>
            <w:tcW w:type="dxa" w:w="2880"/>
          </w:tcPr>
          <w:p>
            <w:r>
              <w:t>{"metrics": [...]}</w:t>
            </w:r>
          </w:p>
        </w:tc>
        <w:tc>
          <w:tcPr>
            <w:tcW w:type="dxa" w:w="2880"/>
          </w:tcPr>
          <w:p>
            <w:r>
              <w:t>id, label, unit, hasCalculationMethod, hasDataDomain</w:t>
            </w:r>
          </w:p>
        </w:tc>
      </w:tr>
      <w:tr>
        <w:tc>
          <w:tcPr>
            <w:tcW w:type="dxa" w:w="2880"/>
          </w:tcPr>
          <w:p>
            <w:r>
              <w:t>/api/calculate</w:t>
            </w:r>
          </w:p>
        </w:tc>
        <w:tc>
          <w:tcPr>
            <w:tcW w:type="dxa" w:w="2880"/>
          </w:tcPr>
          <w:p>
            <w:r>
              <w:t>{"results": [...]}</w:t>
            </w:r>
          </w:p>
        </w:tc>
        <w:tc>
          <w:tcPr>
            <w:tcW w:type="dxa" w:w="2880"/>
          </w:tcPr>
          <w:p>
            <w:r>
              <w:t>metric_id, value, unit, status, derivation_path</w:t>
            </w:r>
          </w:p>
        </w:tc>
      </w:tr>
      <w:tr>
        <w:tc>
          <w:tcPr>
            <w:tcW w:type="dxa" w:w="2880"/>
          </w:tcPr>
          <w:p>
            <w:r>
              <w:t>/api/reports/generate</w:t>
            </w:r>
          </w:p>
        </w:tc>
        <w:tc>
          <w:tcPr>
            <w:tcW w:type="dxa" w:w="2880"/>
          </w:tcPr>
          <w:p>
            <w:r>
              <w:t>{"report": {...}}</w:t>
            </w:r>
          </w:p>
        </w:tc>
        <w:tc>
          <w:tcPr>
            <w:tcW w:type="dxa" w:w="2880"/>
          </w:tcPr>
          <w:p>
            <w:r>
              <w:t>summary, metrics, audit_trail, data_sources</w:t>
            </w:r>
          </w:p>
        </w:tc>
      </w:tr>
      <w:tr>
        <w:tc>
          <w:tcPr>
            <w:tcW w:type="dxa" w:w="2880"/>
          </w:tcPr>
          <w:p>
            <w:r>
              <w:t>/api/companies/{id}/data</w:t>
            </w:r>
          </w:p>
        </w:tc>
        <w:tc>
          <w:tcPr>
            <w:tcW w:type="dxa" w:w="2880"/>
          </w:tcPr>
          <w:p>
            <w:r>
              <w:t>{"data": {...}}</w:t>
            </w:r>
          </w:p>
        </w:tc>
        <w:tc>
          <w:tcPr>
            <w:tcW w:type="dxa" w:w="2880"/>
          </w:tcPr>
          <w:p>
            <w:r>
              <w:t>company, year, variables, provenance</w:t>
            </w:r>
          </w:p>
        </w:tc>
      </w:tr>
    </w:tbl>
    <w:p/>
    <w:p>
      <w:r>
        <w:t>Table 5.11: API response JSON schemas.</w:t>
      </w:r>
    </w:p>
    <w:p>
      <w:r>
        <w:t>Example calculation response with full derivation provenance:</w:t>
      </w:r>
    </w:p>
    <w:p>
      <w:pPr/>
      <w:r>
        <w:t>{</w:t>
        <w:br/>
        <w:t xml:space="preserve">  "metric_id": "GHGEmissionIntensity",</w:t>
        <w:br/>
        <w:t xml:space="preserve">  "value": 42.35,</w:t>
        <w:br/>
        <w:t xml:space="preserve">  "unit": "tonnes CO2-e per M USD",</w:t>
        <w:br/>
        <w:t xml:space="preserve">  "status": "success",</w:t>
        <w:br/>
        <w:t xml:space="preserve">  "derivation_path": {</w:t>
        <w:br/>
        <w:t xml:space="preserve">    "method": "calculation_model",</w:t>
        <w:br/>
        <w:t xml:space="preserve">    "model": "GHGEmissionIntensityModel",</w:t>
        <w:br/>
        <w:t xml:space="preserve">    "inputs": [</w:t>
        <w:br/>
        <w:t xml:space="preserve">      {"name": "Scope1", "value": 125000, "source": "Eurofidai"},</w:t>
        <w:br/>
        <w:t xml:space="preserve">      {"name": "Scope2", "value": 85000, "source": "Eurofidai"},</w:t>
        <w:br/>
        <w:t xml:space="preserve">      {"name": "Revenue", "value": 4958, "source": "WRDS"}</w:t>
        <w:br/>
        <w:t xml:space="preserve">    ]</w:t>
        <w:br/>
        <w:t xml:space="preserve">  }</w:t>
        <w:br/>
        <w:t>}</w:t>
      </w:r>
    </w:p>
    <w:p>
      <w:pPr>
        <w:pStyle w:val="Heading3"/>
      </w:pPr>
      <w:r>
        <w:t>5.6.4.3 Runtime Data Structures</w:t>
      </w:r>
    </w:p>
    <w:p>
      <w:r>
        <w:t>Table 5.12 summarises the Python data structures used internally for runtime processing.</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Data Structure</w:t>
            </w:r>
          </w:p>
        </w:tc>
        <w:tc>
          <w:tcPr>
            <w:tcW w:type="dxa" w:w="2880"/>
          </w:tcPr>
          <w:p>
            <w:r>
              <w:t>Purpose</w:t>
            </w:r>
          </w:p>
        </w:tc>
      </w:tr>
      <w:tr>
        <w:tc>
          <w:tcPr>
            <w:tcW w:type="dxa" w:w="2880"/>
          </w:tcPr>
          <w:p>
            <w:r>
              <w:t>Knowledge Graph</w:t>
            </w:r>
          </w:p>
        </w:tc>
        <w:tc>
          <w:tcPr>
            <w:tcW w:type="dxa" w:w="2880"/>
          </w:tcPr>
          <w:p>
            <w:r>
              <w:t>rdflib.Graph</w:t>
            </w:r>
          </w:p>
        </w:tc>
        <w:tc>
          <w:tcPr>
            <w:tcW w:type="dxa" w:w="2880"/>
          </w:tcPr>
          <w:p>
            <w:r>
              <w:t>In-memory RDF store with SPARQL query interface</w:t>
            </w:r>
          </w:p>
        </w:tc>
      </w:tr>
      <w:tr>
        <w:tc>
          <w:tcPr>
            <w:tcW w:type="dxa" w:w="2880"/>
          </w:tcPr>
          <w:p>
            <w:r>
              <w:t>Data Cache</w:t>
            </w:r>
          </w:p>
        </w:tc>
        <w:tc>
          <w:tcPr>
            <w:tcW w:type="dxa" w:w="2880"/>
          </w:tcPr>
          <w:p>
            <w:r>
              <w:t>pandas.DataFrame</w:t>
            </w:r>
          </w:p>
        </w:tc>
        <w:tc>
          <w:tcPr>
            <w:tcW w:type="dxa" w:w="2880"/>
          </w:tcPr>
          <w:p>
            <w:r>
              <w:t>Tabular ESG/Financial data indexed by (company, year)</w:t>
            </w:r>
          </w:p>
        </w:tc>
      </w:tr>
      <w:tr>
        <w:tc>
          <w:tcPr>
            <w:tcW w:type="dxa" w:w="2880"/>
          </w:tcPr>
          <w:p>
            <w:r>
              <w:t>Calculation Results</w:t>
            </w:r>
          </w:p>
        </w:tc>
        <w:tc>
          <w:tcPr>
            <w:tcW w:type="dxa" w:w="2880"/>
          </w:tcPr>
          <w:p>
            <w:r>
              <w:t>Dict[str, Any]</w:t>
            </w:r>
          </w:p>
        </w:tc>
        <w:tc>
          <w:tcPr>
            <w:tcW w:type="dxa" w:w="2880"/>
          </w:tcPr>
          <w:p>
            <w:r>
              <w:t>Metric values with computation provenance</w:t>
            </w:r>
          </w:p>
        </w:tc>
      </w:tr>
      <w:tr>
        <w:tc>
          <w:tcPr>
            <w:tcW w:type="dxa" w:w="2880"/>
          </w:tcPr>
          <w:p>
            <w:r>
              <w:t>Audit Trail</w:t>
            </w:r>
          </w:p>
        </w:tc>
        <w:tc>
          <w:tcPr>
            <w:tcW w:type="dxa" w:w="2880"/>
          </w:tcPr>
          <w:p>
            <w:r>
              <w:t>List[Dict]</w:t>
            </w:r>
          </w:p>
        </w:tc>
        <w:tc>
          <w:tcPr>
            <w:tcW w:type="dxa" w:w="2880"/>
          </w:tcPr>
          <w:p>
            <w:r>
              <w:t>Ordered derivation steps for traceability</w:t>
            </w:r>
          </w:p>
        </w:tc>
      </w:tr>
    </w:tbl>
    <w:p/>
    <w:p>
      <w:r>
        <w:t>Table 5.12: Runtime data structures.</w:t>
      </w:r>
    </w:p>
    <w:p>
      <w:pPr>
        <w:pStyle w:val="Heading1"/>
      </w:pPr>
      <w:r>
        <w:t>5.7 User Interface Design</w:t>
      </w:r>
    </w:p>
    <w:p>
      <w:r>
        <w:t>The ESG reporting framework includes a web-based user interface that guides users through the complete ESG reporting workflow. This section presents the interface design and key screens.</w:t>
      </w:r>
    </w:p>
    <w:p>
      <w:pPr>
        <w:pStyle w:val="Heading2"/>
      </w:pPr>
      <w:r>
        <w:t>5.7.1 Interface Overview</w:t>
      </w:r>
    </w:p>
    <w:p>
      <w:r>
        <w:t>The user interface implements a step-by-step wizard pattern that guides users through the four primary use cases: framework discovery, metric exploration, metric calculation, and report generation. The interface is organised into panels that correspond to the logical workflow stages.</w:t>
      </w:r>
    </w:p>
    <w:p>
      <w:r>
        <w:t>The interface comprises the following main components:</w:t>
      </w:r>
    </w:p>
    <w:p>
      <w:pPr>
        <w:pStyle w:val="ListBullet"/>
      </w:pPr>
      <w:r>
        <w:t>Industry Selection Panel: Allows users to select their industry sector, triggering framework discovery (UC1).</w:t>
      </w:r>
    </w:p>
    <w:p>
      <w:pPr>
        <w:pStyle w:val="ListBullet"/>
      </w:pPr>
      <w:r>
        <w:t>Framework Display Panel: Shows applicable reporting frameworks with descriptions and category counts.</w:t>
      </w:r>
    </w:p>
    <w:p>
      <w:pPr>
        <w:pStyle w:val="ListBullet"/>
      </w:pPr>
      <w:r>
        <w:t>Category and Metric Explorer: Displays categories and metrics with their properties, including calculation method indicators (UC2).</w:t>
      </w:r>
    </w:p>
    <w:p>
      <w:pPr>
        <w:pStyle w:val="ListBullet"/>
      </w:pPr>
      <w:r>
        <w:t>Company Selection Panel: Lists available companies for the selected industry with data availability status.</w:t>
      </w:r>
    </w:p>
    <w:p>
      <w:pPr>
        <w:pStyle w:val="ListBullet"/>
      </w:pPr>
      <w:r>
        <w:t>Calculation Results Panel: Displays computed metric values with derivation details and provenance (UC3).</w:t>
      </w:r>
    </w:p>
    <w:p>
      <w:pPr>
        <w:pStyle w:val="ListBullet"/>
      </w:pPr>
      <w:r>
        <w:t>Report Generation Panel: Provides options for generating comprehensive reports with audit trails (UC4).</w:t>
      </w:r>
    </w:p>
    <w:p>
      <w:pPr>
        <w:pStyle w:val="Heading2"/>
      </w:pPr>
      <w:r>
        <w:t>5.7.2 Screen Layouts</w:t>
      </w:r>
    </w:p>
    <w:p>
      <w:r>
        <w:t>The following figures illustrate the key screens of the user interface.</w:t>
      </w:r>
    </w:p>
    <w:p/>
    <w:p>
      <w:r>
        <w:t>[FIGURE 5.5: Main dashboard showing industry selection and framework discovery interface.]</w:t>
      </w:r>
    </w:p>
    <w:p/>
    <w:p>
      <w:r>
        <w:t>[FIGURE 5.6: Category and metric explorer with calculation method indicators.]</w:t>
      </w:r>
    </w:p>
    <w:p/>
    <w:p>
      <w:r>
        <w:t>[FIGURE 5.7: Calculation results display showing computed values with provenance details.]</w:t>
      </w:r>
    </w:p>
    <w:p/>
    <w:p>
      <w:r>
        <w:t>[FIGURE 5.8: Report generation interface with audit trail preview.]</w:t>
      </w:r>
    </w:p>
    <w:p>
      <w:pPr>
        <w:pStyle w:val="Heading2"/>
      </w:pPr>
      <w:r>
        <w:t>5.7.3 Visual Design Principles</w:t>
      </w:r>
    </w:p>
    <w:p>
      <w:r>
        <w:t>The interface design follows these principles:</w:t>
      </w:r>
    </w:p>
    <w:p>
      <w:pPr>
        <w:pStyle w:val="ListBullet"/>
      </w:pPr>
      <w:r>
        <w:t>Progressive Disclosure: Information is revealed progressively as users advance through the workflow, reducing cognitive load.</w:t>
      </w:r>
    </w:p>
    <w:p>
      <w:pPr>
        <w:pStyle w:val="ListBullet"/>
      </w:pPr>
      <w:r>
        <w:t>Visual Feedback: Calculation methods (direct vs. calculated) are distinguished using colour coding and icons for quick identification.</w:t>
      </w:r>
    </w:p>
    <w:p>
      <w:pPr>
        <w:pStyle w:val="ListBullet"/>
      </w:pPr>
      <w:r>
        <w:t>Traceability Visualisation: Derivation paths are displayed as expandable trees, allowing users to trace metrics to their sources.</w:t>
      </w:r>
    </w:p>
    <w:p>
      <w:pPr>
        <w:pStyle w:val="ListBullet"/>
      </w:pPr>
      <w:r>
        <w:t>Responsive Layout: The interface adapts to different screen sizes while maintaining usability.</w:t>
      </w:r>
    </w:p>
    <w:p>
      <w:pPr>
        <w:pStyle w:val="Heading1"/>
      </w:pPr>
      <w:r>
        <w:t>5.8 Sequence Diagrams</w:t>
      </w:r>
    </w:p>
    <w:p>
      <w:r>
        <w:t>This section presents sequence diagrams illustrating the interactions between system components for each primary use case. These diagrams show the message flow from user action through the architectural layers to data retrieval and response.</w:t>
      </w:r>
    </w:p>
    <w:p>
      <w:pPr>
        <w:pStyle w:val="Heading2"/>
      </w:pPr>
      <w:r>
        <w:t>5.8.1 UC1: ESG Report Generation</w:t>
      </w:r>
    </w:p>
    <w:p>
      <w:r>
        <w:t>Figure 5.9 illustrates the sequence of interactions for report generation. The workflow begins with framework identification and proceeds through category enumeration, metric identification, and report assembly. This use case orchestrates UC2 and UC3 for metric values.</w:t>
      </w:r>
    </w:p>
    <w:p>
      <w:r>
        <w:t>The sequence involves the following steps:</w:t>
      </w:r>
    </w:p>
    <w:p>
      <w:pPr>
        <w:pStyle w:val="ListNumber"/>
      </w:pPr>
      <w:r>
        <w:t>1. User selects industry in the Web Interface.</w:t>
      </w:r>
    </w:p>
    <w:p>
      <w:pPr>
        <w:pStyle w:val="ListNumber"/>
      </w:pPr>
      <w:r>
        <w:t>2. API Gateway routes request to Report Service.</w:t>
      </w:r>
    </w:p>
    <w:p>
      <w:pPr>
        <w:pStyle w:val="ListNumber"/>
      </w:pPr>
      <w:r>
        <w:t>3. Report Service invokes KG Service for framework identification (CQ1).</w:t>
      </w:r>
    </w:p>
    <w:p>
      <w:pPr>
        <w:pStyle w:val="ListNumber"/>
      </w:pPr>
      <w:r>
        <w:t>4. User selects framework; Report Service retrieves categories (CQ2).</w:t>
      </w:r>
    </w:p>
    <w:p>
      <w:pPr>
        <w:pStyle w:val="ListNumber"/>
      </w:pPr>
      <w:r>
        <w:t>5. Report Service retrieves metrics for each category (CQ3).</w:t>
      </w:r>
    </w:p>
    <w:p>
      <w:pPr>
        <w:pStyle w:val="ListNumber"/>
      </w:pPr>
      <w:r>
        <w:t>6. For each metric, Report Service invokes UC2 (Metric Calculation).</w:t>
      </w:r>
    </w:p>
    <w:p>
      <w:pPr>
        <w:pStyle w:val="ListNumber"/>
      </w:pPr>
      <w:r>
        <w:t>7. Report Service assembles report with values and provenance.</w:t>
      </w:r>
    </w:p>
    <w:p>
      <w:pPr>
        <w:pStyle w:val="ListNumber"/>
      </w:pPr>
      <w:r>
        <w:t>8. Report returned to user with full audit trail.</w:t>
      </w:r>
    </w:p>
    <w:p/>
    <w:p>
      <w:r>
        <w:t>[FIGURE 5.9: Sequence diagram for UC1 - ESG Report Generation showing interaction flow from User through Web Interface, API Gateway, Report Service, to KG Service, demonstrating CQ1, CQ2, CQ3.]</w:t>
      </w:r>
    </w:p>
    <w:p>
      <w:pPr>
        <w:pStyle w:val="Heading2"/>
      </w:pPr>
      <w:r>
        <w:t>5.8.2 UC2: Metric Calculation</w:t>
      </w:r>
    </w:p>
    <w:p>
      <w:r>
        <w:t>Figure 5.10 illustrates the metric calculation sequence. This is the most complex sequence in the system, demonstrating the distinction between direct and calculated metrics, and showing how the Calculation Service orchestrates data retrieval and model execution.</w:t>
      </w:r>
    </w:p>
    <w:p>
      <w:r>
        <w:t>Key aspects of this sequence include:</w:t>
      </w:r>
    </w:p>
    <w:p>
      <w:pPr>
        <w:pStyle w:val="ListBullet"/>
      </w:pPr>
      <w:r>
        <w:t>Derivation Method Check: The Calculation Service first queries CQ4 to determine if the metric uses direct_measurement or calculation_model.</w:t>
      </w:r>
    </w:p>
    <w:p>
      <w:pPr>
        <w:pStyle w:val="ListBullet"/>
      </w:pPr>
      <w:r>
        <w:t>Direct Path: For direct metrics (hasCalculationMethod: direct_measurement), the service identifies the dataset variable via ObtainedFrom and invokes UC3 for data retrieval.</w:t>
      </w:r>
    </w:p>
    <w:p>
      <w:pPr>
        <w:pStyle w:val="ListBullet"/>
      </w:pPr>
      <w:r>
        <w:t>Calculated Path: For calculated metrics (hasCalculationMethod: calculation_model), the service queries CQ5 for required inputs, recursively resolves dependent metrics, identifies the model implementation via CQ6, and executes the calculation.</w:t>
      </w:r>
    </w:p>
    <w:p>
      <w:pPr>
        <w:pStyle w:val="ListBullet"/>
      </w:pPr>
      <w:r>
        <w:t>Cross-Domain Data: When inputs span ESG and Financial domains (hasDataDomain), the Data Retrieval Service routes requests to appropriate repositories (Eurofidai for ESG, WRDS for Financial).</w:t>
      </w:r>
    </w:p>
    <w:p/>
    <w:p>
      <w:r>
        <w:t>[FIGURE 5.10: Sequence diagram for UC2 - Metric Calculation showing interaction between Report Service, Calculation Service, KG Service, and Model Repository, demonstrating CQ4, CQ5, CQ6 and dual derivation paths.]</w:t>
      </w:r>
    </w:p>
    <w:p>
      <w:pPr>
        <w:pStyle w:val="Heading2"/>
      </w:pPr>
      <w:r>
        <w:t>5.8.3 UC3: Data Access</w:t>
      </w:r>
    </w:p>
    <w:p>
      <w:r>
        <w:t>Figure 5.11 shows the data access sequence. This sequence demonstrates how the system traces metric inputs to their original data sources and retrieves values with full provenance.</w:t>
      </w:r>
    </w:p>
    <w:p>
      <w:r>
        <w:t>The sequence involves the following steps:</w:t>
      </w:r>
    </w:p>
    <w:p>
      <w:pPr>
        <w:pStyle w:val="ListNumber"/>
      </w:pPr>
      <w:r>
        <w:t>1. Calculation Service identifies dataset variable needed for metric.</w:t>
      </w:r>
    </w:p>
    <w:p>
      <w:pPr>
        <w:pStyle w:val="ListNumber"/>
      </w:pPr>
      <w:r>
        <w:t>2. Calculation Service invokes Data Retrieval Service.</w:t>
      </w:r>
    </w:p>
    <w:p>
      <w:pPr>
        <w:pStyle w:val="ListNumber"/>
      </w:pPr>
      <w:r>
        <w:t>3. Data Retrieval Service queries KG Service for data source (CQ7).</w:t>
      </w:r>
    </w:p>
    <w:p>
      <w:pPr>
        <w:pStyle w:val="ListNumber"/>
      </w:pPr>
      <w:r>
        <w:t>4. KG Service returns source identifier (e.g., Eurofidai, WRDS).</w:t>
      </w:r>
    </w:p>
    <w:p>
      <w:pPr>
        <w:pStyle w:val="ListNumber"/>
      </w:pPr>
      <w:r>
        <w:t>5. Data Retrieval Service routes request based on hasDataDomain.</w:t>
      </w:r>
    </w:p>
    <w:p>
      <w:pPr>
        <w:pStyle w:val="ListNumber"/>
      </w:pPr>
      <w:r>
        <w:t>6. ESG Data Repository or Financial Data Repository returns value.</w:t>
      </w:r>
    </w:p>
    <w:p>
      <w:pPr>
        <w:pStyle w:val="ListNumber"/>
      </w:pPr>
      <w:r>
        <w:t>7. Data Retrieval Service records provenance metadata.</w:t>
      </w:r>
    </w:p>
    <w:p>
      <w:pPr>
        <w:pStyle w:val="ListNumber"/>
      </w:pPr>
      <w:r>
        <w:t>8. Value with source attribution returned to Calculation Service.</w:t>
      </w:r>
    </w:p>
    <w:p/>
    <w:p>
      <w:r>
        <w:t>[FIGURE 5.11: Sequence diagram for UC3 - Data Access showing interaction between Calculation Service, Data Retrieval Service, KG Service, and ESG Data Repository, demonstrating CQ7.]</w:t>
      </w:r>
    </w:p>
    <w:p>
      <w:pPr>
        <w:pStyle w:val="Heading1"/>
      </w:pPr>
      <w:r>
        <w:t>5.9 Scalability and Extensibility</w:t>
      </w:r>
    </w:p>
    <w:p>
      <w:r>
        <w:t>The framework is designed with scalability and extensibility as core architectural principles, enabling adaptation to evolving ESG reporting requirements.</w:t>
      </w:r>
    </w:p>
    <w:p>
      <w:pPr>
        <w:pStyle w:val="Heading2"/>
      </w:pPr>
      <w:r>
        <w:t>5.9.1 Framework Extensibility</w:t>
      </w:r>
    </w:p>
    <w:p>
      <w:r>
        <w:t>New reporting frameworks (e.g., GRI, CDP, TNFD) can be added by:</w:t>
      </w:r>
    </w:p>
    <w:p>
      <w:pPr>
        <w:pStyle w:val="ListNumber"/>
      </w:pPr>
      <w:r>
        <w:t>Creating new ReportingFramework entities in the knowledge graph</w:t>
      </w:r>
    </w:p>
    <w:p>
      <w:pPr>
        <w:pStyle w:val="ListNumber"/>
      </w:pPr>
      <w:r>
        <w:t>Defining Category entities for each framework section</w:t>
      </w:r>
    </w:p>
    <w:p>
      <w:pPr>
        <w:pStyle w:val="ListNumber"/>
      </w:pPr>
      <w:r>
        <w:t>Mapping existing or new Metric entities to categories via ConsistsOf relationships</w:t>
      </w:r>
    </w:p>
    <w:p>
      <w:r>
        <w:t>No code changes are required; the system automatically discovers and exposes new frameworks through the API.</w:t>
      </w:r>
    </w:p>
    <w:p>
      <w:pPr>
        <w:pStyle w:val="Heading2"/>
      </w:pPr>
      <w:r>
        <w:t>5.9.2 Metric Extensibility</w:t>
      </w:r>
    </w:p>
    <w:p>
      <w:r>
        <w:t>New metrics are added by:</w:t>
      </w:r>
    </w:p>
    <w:p>
      <w:pPr>
        <w:pStyle w:val="ListNumber"/>
      </w:pPr>
      <w:r>
        <w:t>For direct metrics: Creating a Metric entity with hasCalculationMethod: "direct_measurement" and linking to a DatasetVariable via ObtainedFrom</w:t>
      </w:r>
    </w:p>
    <w:p>
      <w:pPr>
        <w:pStyle w:val="ListNumber"/>
      </w:pPr>
      <w:r>
        <w:t>For calculated metrics: Creating a Metric entity with hasCalculationMethod: "calculation_model", defining a Model with RequiresInputFrom relationships, and binding an Implementation</w:t>
      </w:r>
    </w:p>
    <w:p>
      <w:pPr>
        <w:pStyle w:val="Heading2"/>
      </w:pPr>
      <w:r>
        <w:t>5.9.3 Data Source Extensibility</w:t>
      </w:r>
    </w:p>
    <w:p>
      <w:r>
        <w:t>New data sources are integrated by:</w:t>
      </w:r>
    </w:p>
    <w:p>
      <w:pPr>
        <w:pStyle w:val="ListNumber"/>
      </w:pPr>
      <w:r>
        <w:t>Creating DataSource entities with provider metadata</w:t>
      </w:r>
    </w:p>
    <w:p>
      <w:pPr>
        <w:pStyle w:val="ListNumber"/>
      </w:pPr>
      <w:r>
        <w:t>Mapping DatasetVariable entities via SourcesFrom relationships</w:t>
      </w:r>
    </w:p>
    <w:p>
      <w:pPr>
        <w:pStyle w:val="ListNumber"/>
      </w:pPr>
      <w:r>
        <w:t>Implementing data retrieval adapters in the Data Retrieval Service</w:t>
      </w:r>
    </w:p>
    <w:p>
      <w:pPr>
        <w:pStyle w:val="Heading2"/>
      </w:pPr>
      <w:r>
        <w:t>5.9.4 Industry Extensibility</w:t>
      </w:r>
    </w:p>
    <w:p>
      <w:r>
        <w:t>The SASB framework covers 77 industries across 11 sectors. Adding a new industry requires:</w:t>
      </w:r>
    </w:p>
    <w:p>
      <w:pPr>
        <w:pStyle w:val="ListNumber"/>
      </w:pPr>
      <w:r>
        <w:t>Creating an Industry entity</w:t>
      </w:r>
    </w:p>
    <w:p>
      <w:pPr>
        <w:pStyle w:val="ListNumber"/>
      </w:pPr>
      <w:r>
        <w:t>Linking to appropriate ReportingFramework entities via ReportsUsing</w:t>
      </w:r>
    </w:p>
    <w:p>
      <w:pPr>
        <w:pStyle w:val="ListNumber"/>
      </w:pPr>
      <w:r>
        <w:t>Populating industry-specific metrics and data mappings</w:t>
      </w:r>
    </w:p>
    <w:p>
      <w:r>
        <w:t>This modular design ensures that the system can scale to accommodate the full breadth of ESG reporting requirements across industries, frameworks, and data providers without architectural changes.</w:t>
      </w:r>
    </w:p>
    <w:p>
      <w:pPr>
        <w:pStyle w:val="Heading1"/>
      </w:pPr>
      <w:r>
        <w:t>5.10 Summary</w:t>
      </w:r>
    </w:p>
    <w:p>
      <w:r>
        <w:t>This chapter presented the implementation of an ESG reporting framework that operationalises the ESGMKG ontology. The four-layer architecture separates presentation, API, service, and data concerns, enabling modularity and maintainability. Four microservices implement the core functionality: the Knowledge Graph Service for semantic navigation, the Data Retrieval Service for data access across multiple sources, the Calculation Service for metric derivation using both direct and calculated paths, and the Report Service for comprehensive report generation.</w:t>
      </w:r>
    </w:p>
    <w:p>
      <w:r>
        <w:t>Key implementation features include:</w:t>
      </w:r>
    </w:p>
    <w:p>
      <w:pPr>
        <w:pStyle w:val="ListBullet"/>
      </w:pPr>
      <w:r>
        <w:t>Full implementation of all seven competency questions through SPARQL queries</w:t>
      </w:r>
    </w:p>
    <w:p>
      <w:pPr>
        <w:pStyle w:val="ListBullet"/>
      </w:pPr>
      <w:r>
        <w:t>Support for both direct measurement retrieval and computational model execution</w:t>
      </w:r>
    </w:p>
    <w:p>
      <w:pPr>
        <w:pStyle w:val="ListBullet"/>
      </w:pPr>
      <w:r>
        <w:t>Cross-domain data integration using hasDataDomain to combine ESG and Financial data</w:t>
      </w:r>
    </w:p>
    <w:p>
      <w:pPr>
        <w:pStyle w:val="ListBullet"/>
      </w:pPr>
      <w:r>
        <w:t>Complete audit trail from reported values to underlying data sources</w:t>
      </w:r>
    </w:p>
    <w:p>
      <w:pPr>
        <w:pStyle w:val="ListBullet"/>
      </w:pPr>
      <w:r>
        <w:t>Extensible architecture supporting new frameworks, metrics, and data sources</w:t>
      </w:r>
    </w:p>
    <w:p>
      <w:r>
        <w:t>The implementation validates the ESGMKG ontology design by demonstrating that the conceptual model can be effectively operationalised to support practical ESG reporting workflows. The separation of ontological knowledge from procedural logic enables flexibility and adaptability as ESG reporting requirements evolve.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