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ESG COMPLIANCE REPORT</w:t>
      </w:r>
    </w:p>
    <w:p/>
    <w:p>
      <w:pPr>
        <w:pStyle w:val="Heading1"/>
        <w:jc w:val="center"/>
      </w:pPr>
      <w:r>
        <w:t>STMicroelectronics NV</w:t>
      </w:r>
    </w:p>
    <w:p>
      <w:pPr>
        <w:jc w:val="center"/>
      </w:pPr>
      <w:r>
        <w:rPr>
          <w:sz w:val="28"/>
        </w:rPr>
        <w:t>Reporting Year: 2020</w:t>
      </w:r>
    </w:p>
    <w:p>
      <w:pPr>
        <w:jc w:val="center"/>
      </w:pPr>
      <w:r>
        <w:rPr>
          <w:sz w:val="24"/>
        </w:rPr>
        <w:t>Industry: Semiconductors</w:t>
      </w:r>
    </w:p>
    <w:p>
      <w:pPr>
        <w:jc w:val="center"/>
      </w:pPr>
      <w:r>
        <w:rPr>
          <w:sz w:val="24"/>
        </w:rPr>
        <w:t>Framework: SASB Semiconductors</w:t>
      </w:r>
    </w:p>
    <w:p/>
    <w:p/>
    <w:p>
      <w:pPr>
        <w:jc w:val="center"/>
      </w:pPr>
      <w:r>
        <w:rPr>
          <w:i/>
          <w:sz w:val="20"/>
        </w:rPr>
        <w:t>Generated: February 03, 2026</w:t>
      </w:r>
    </w:p>
    <w:p>
      <w:pPr>
        <w:jc w:val="center"/>
      </w:pPr>
      <w:r>
        <w:rPr>
          <w:i/>
          <w:color w:val="808080"/>
          <w:sz w:val="18"/>
        </w:rPr>
        <w:t>Generated by ESG Knowledge Graph System</w:t>
      </w:r>
    </w:p>
    <w:p>
      <w:r>
        <w:br w:type="page"/>
      </w:r>
    </w:p>
    <w:p>
      <w:pPr>
        <w:pStyle w:val="Heading1"/>
      </w:pPr>
      <w:r>
        <w:t>Executive Summary</w:t>
      </w:r>
    </w:p>
    <w:p>
      <w:r>
        <w:t>This report presents the Environmental, Social, and Governance (ESG) performance assessment for STMicroelectronics NV for the reporting year 2020. The assessment is based on the SASB (Sustainability Accounting Standards Board) framework specific to the semiconductors industry.</w:t>
      </w:r>
    </w:p>
    <w:p/>
    <w:p>
      <w:pPr>
        <w:pStyle w:val="Heading2"/>
      </w:pPr>
      <w:r>
        <w:t>Key Highlights</w:t>
      </w:r>
    </w:p>
    <w:p>
      <w:r>
        <w:rPr>
          <w:b/>
        </w:rPr>
        <w:t>• Total Metrics Assessed: 2</w:t>
        <w:br/>
      </w:r>
      <w:r>
        <w:t>• Successfully Calculated: 2</w:t>
        <w:br/>
      </w:r>
      <w:r>
        <w:t>• Data Quality Score: 88%</w:t>
        <w:br/>
      </w:r>
      <w:r>
        <w:t>• Framework: SASB Semiconductors</w:t>
        <w:br/>
      </w:r>
    </w:p>
    <w:p>
      <w:r>
        <w:br w:type="page"/>
      </w:r>
    </w:p>
    <w:p>
      <w:pPr>
        <w:pStyle w:val="Heading1"/>
      </w:pPr>
      <w:r>
        <w:t>Company Profile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STMicroelectronics NV</w:t>
            </w:r>
          </w:p>
        </w:tc>
      </w:tr>
      <w:tr>
        <w:tc>
          <w:tcPr>
            <w:tcW w:type="dxa" w:w="4320"/>
          </w:tcPr>
          <w:p>
            <w:r>
              <w:rPr>
                <w:b/>
              </w:rPr>
              <w:t>Industry</w:t>
            </w:r>
          </w:p>
        </w:tc>
        <w:tc>
          <w:tcPr>
            <w:tcW w:type="dxa" w:w="4320"/>
          </w:tcPr>
          <w:p>
            <w:r>
              <w:t>Semiconductors</w:t>
            </w:r>
          </w:p>
        </w:tc>
      </w:tr>
      <w:tr>
        <w:tc>
          <w:tcPr>
            <w:tcW w:type="dxa" w:w="4320"/>
          </w:tcPr>
          <w:p>
            <w:r>
              <w:rPr>
                <w:b/>
              </w:rPr>
              <w:t>Reporting Year</w:t>
            </w:r>
          </w:p>
        </w:tc>
        <w:tc>
          <w:tcPr>
            <w:tcW w:type="dxa" w:w="4320"/>
          </w:tcPr>
          <w:p>
            <w:r>
              <w:t>2020</w:t>
            </w:r>
          </w:p>
        </w:tc>
      </w:tr>
      <w:tr>
        <w:tc>
          <w:tcPr>
            <w:tcW w:type="dxa" w:w="4320"/>
          </w:tcPr>
          <w:p>
            <w:r>
              <w:rPr>
                <w:b/>
              </w:rPr>
              <w:t>Reporting Framework</w:t>
            </w:r>
          </w:p>
        </w:tc>
        <w:tc>
          <w:tcPr>
            <w:tcW w:type="dxa" w:w="4320"/>
          </w:tcPr>
          <w:p>
            <w:r>
              <w:t>SASB Semiconductors</w:t>
            </w:r>
          </w:p>
        </w:tc>
      </w:tr>
      <w:tr>
        <w:tc>
          <w:tcPr>
            <w:tcW w:type="dxa" w:w="4320"/>
          </w:tcPr>
          <w:p>
            <w:r>
              <w:rPr>
                <w:b/>
              </w:rPr>
              <w:t>Assessment Date</w:t>
            </w:r>
          </w:p>
        </w:tc>
        <w:tc>
          <w:tcPr>
            <w:tcW w:type="dxa" w:w="4320"/>
          </w:tcPr>
          <w:p>
            <w:r>
              <w:t>February 03, 2026</w:t>
            </w:r>
          </w:p>
        </w:tc>
      </w:tr>
    </w:tbl>
    <w:p>
      <w:r>
        <w:br w:type="page"/>
      </w:r>
    </w:p>
    <w:p>
      <w:pPr>
        <w:pStyle w:val="Heading1"/>
      </w:pPr>
      <w:r>
        <w:t>ESG Metrics Performance</w:t>
      </w:r>
    </w:p>
    <w:p>
      <w:pPr>
        <w:pStyle w:val="Heading2"/>
      </w:pPr>
      <w:r>
        <w:t>Greenhouse Gas Emissions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Unit</w:t>
            </w:r>
          </w:p>
        </w:tc>
        <w:tc>
          <w:tcPr>
            <w:tcW w:type="dxa" w:w="2160"/>
          </w:tcPr>
          <w:p>
            <w:r>
              <w:rPr>
                <w:b/>
              </w:rPr>
              <w:t>Method</w:t>
            </w:r>
          </w:p>
        </w:tc>
      </w:tr>
      <w:tr>
        <w:tc>
          <w:tcPr>
            <w:tcW w:type="dxa" w:w="2160"/>
          </w:tcPr>
          <w:p>
            <w:r>
              <w:t>GHGEmissionIntensity</w:t>
            </w:r>
          </w:p>
        </w:tc>
        <w:tc>
          <w:tcPr>
            <w:tcW w:type="dxa" w:w="2160"/>
          </w:tcPr>
          <w:p>
            <w:r>
              <w:t>0.045</w:t>
            </w:r>
          </w:p>
        </w:tc>
        <w:tc>
          <w:tcPr>
            <w:tcW w:type="dxa" w:w="2160"/>
          </w:tcPr>
          <w:p>
            <w:r>
              <w:t>Metric tonnes (t) CO₂-e per million USD</w:t>
            </w:r>
          </w:p>
        </w:tc>
        <w:tc>
          <w:tcPr>
            <w:tcW w:type="dxa" w:w="2160"/>
          </w:tcPr>
          <w:p>
            <w:r>
              <w:t>Calculated</w:t>
            </w:r>
          </w:p>
        </w:tc>
      </w:tr>
    </w:tbl>
    <w:p/>
    <w:p>
      <w:pPr>
        <w:pStyle w:val="Heading2"/>
      </w:pPr>
      <w:r>
        <w:t>Energy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Unit</w:t>
            </w:r>
          </w:p>
        </w:tc>
        <w:tc>
          <w:tcPr>
            <w:tcW w:type="dxa" w:w="2160"/>
          </w:tcPr>
          <w:p>
            <w:r>
              <w:rPr>
                <w:b/>
              </w:rPr>
              <w:t>Method</w:t>
            </w:r>
          </w:p>
        </w:tc>
      </w:tr>
      <w:tr>
        <w:tc>
          <w:tcPr>
            <w:tcW w:type="dxa" w:w="2160"/>
          </w:tcPr>
          <w:p>
            <w:r>
              <w:t>Energy Grid Rate</w:t>
            </w:r>
          </w:p>
        </w:tc>
        <w:tc>
          <w:tcPr>
            <w:tcW w:type="dxa" w:w="2160"/>
          </w:tcPr>
          <w:p>
            <w:r>
              <w:t>75%</w:t>
            </w:r>
          </w:p>
        </w:tc>
        <w:tc>
          <w:tcPr>
            <w:tcW w:type="dxa" w:w="2160"/>
          </w:tcPr>
          <w:p>
            <w:r>
              <w:t>Percentage (%)</w:t>
            </w:r>
          </w:p>
        </w:tc>
        <w:tc>
          <w:tcPr>
            <w:tcW w:type="dxa" w:w="2160"/>
          </w:tcPr>
          <w:p>
            <w:r>
              <w:t>Calculated</w:t>
            </w:r>
          </w:p>
        </w:tc>
      </w:tr>
    </w:tbl>
    <w:p/>
    <w:p>
      <w:r>
        <w:br w:type="page"/>
      </w:r>
    </w:p>
    <w:p>
      <w:pPr>
        <w:pStyle w:val="Heading1"/>
      </w:pPr>
      <w:r>
        <w:t>Data Lineage &amp; Transparency</w:t>
      </w:r>
    </w:p>
    <w:p>
      <w:r>
        <w:t>This section provides complete transparency about the data sources, calculation methods, and dataset variables used for each metric.</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Method</w:t>
            </w:r>
          </w:p>
        </w:tc>
        <w:tc>
          <w:tcPr>
            <w:tcW w:type="dxa" w:w="1728"/>
          </w:tcPr>
          <w:p>
            <w:r>
              <w:rPr>
                <w:b/>
              </w:rPr>
              <w:t>Dataset Variables</w:t>
            </w:r>
          </w:p>
        </w:tc>
        <w:tc>
          <w:tcPr>
            <w:tcW w:type="dxa" w:w="1728"/>
          </w:tcPr>
          <w:p>
            <w:r>
              <w:rPr>
                <w:b/>
              </w:rPr>
              <w:t>Model/Formula</w:t>
            </w:r>
          </w:p>
        </w:tc>
        <w:tc>
          <w:tcPr>
            <w:tcW w:type="dxa" w:w="1728"/>
          </w:tcPr>
          <w:p>
            <w:r>
              <w:rPr>
                <w:b/>
              </w:rPr>
              <w:t>Data Source</w:t>
            </w:r>
          </w:p>
        </w:tc>
      </w:tr>
      <w:tr>
        <w:tc>
          <w:tcPr>
            <w:tcW w:type="dxa" w:w="1728"/>
          </w:tcPr>
          <w:p>
            <w:r>
              <w:t>GHGEmissionIntensity</w:t>
            </w:r>
          </w:p>
        </w:tc>
        <w:tc>
          <w:tcPr>
            <w:tcW w:type="dxa" w:w="1728"/>
          </w:tcPr>
          <w:p>
            <w:r>
              <w:t>Calculated</w:t>
            </w:r>
          </w:p>
        </w:tc>
        <w:tc>
          <w:tcPr>
            <w:tcW w:type="dxa" w:w="1728"/>
          </w:tcPr>
          <w:p>
            <w:r>
              <w:t>CO2DIRECTSCOPE1, CO2INDIRECTSCOPE2, revt</w:t>
            </w:r>
          </w:p>
        </w:tc>
        <w:tc>
          <w:tcPr>
            <w:tcW w:type="dxa" w:w="1728"/>
          </w:tcPr>
          <w:p>
            <w:r>
              <w:t>(scope1_emissions + scope2_emissions) / revenue</w:t>
            </w:r>
          </w:p>
        </w:tc>
        <w:tc>
          <w:tcPr>
            <w:tcW w:type="dxa" w:w="1728"/>
          </w:tcPr>
          <w:p>
            <w:r>
              <w:t>Eurofidai + WRDS</w:t>
            </w:r>
          </w:p>
        </w:tc>
      </w:tr>
      <w:tr>
        <w:tc>
          <w:tcPr>
            <w:tcW w:type="dxa" w:w="1728"/>
          </w:tcPr>
          <w:p>
            <w:r>
              <w:t>Energy Grid Rate</w:t>
            </w:r>
          </w:p>
        </w:tc>
        <w:tc>
          <w:tcPr>
            <w:tcW w:type="dxa" w:w="1728"/>
          </w:tcPr>
          <w:p>
            <w:r>
              <w:t>Calculated</w:t>
            </w:r>
          </w:p>
        </w:tc>
        <w:tc>
          <w:tcPr>
            <w:tcW w:type="dxa" w:w="1728"/>
          </w:tcPr>
          <w:p>
            <w:r>
              <w:t>ENERGYTOTAL, ENERGYPURCHASED</w:t>
            </w:r>
          </w:p>
        </w:tc>
        <w:tc>
          <w:tcPr>
            <w:tcW w:type="dxa" w:w="1728"/>
          </w:tcPr>
          <w:p>
            <w:r>
              <w:t>ENERGYPURCHASED / ENERGYTOTAL</w:t>
            </w:r>
          </w:p>
        </w:tc>
        <w:tc>
          <w:tcPr>
            <w:tcW w:type="dxa" w:w="1728"/>
          </w:tcPr>
          <w:p>
            <w:r>
              <w:t>Eurofidai</w:t>
            </w:r>
          </w:p>
        </w:tc>
      </w:tr>
    </w:tbl>
    <w:p>
      <w:r>
        <w:br w:type="page"/>
      </w:r>
    </w:p>
    <w:p>
      <w:pPr>
        <w:pStyle w:val="Heading1"/>
      </w:pPr>
      <w:r>
        <w:t>Methodology</w:t>
      </w:r>
    </w:p>
    <w:p>
      <w:pPr>
        <w:pStyle w:val="Heading2"/>
      </w:pPr>
      <w:r>
        <w:t>Data Sources</w:t>
      </w:r>
    </w:p>
    <w:p>
      <w:r>
        <w:t>• External ESG Dataset: Primary data source containing verified ESG metrics</w:t>
        <w:br/>
        <w:t>• SASB Framework: Industry-specific sustainability accounting standards</w:t>
        <w:br/>
        <w:t>• RDF Knowledge Graph: Semantic representation of metric relationships and calculation models</w:t>
      </w:r>
    </w:p>
    <w:p>
      <w:pPr>
        <w:pStyle w:val="Heading2"/>
      </w:pPr>
      <w:r>
        <w:t>Calculation Approach</w:t>
      </w:r>
    </w:p>
    <w:p>
      <w:r>
        <w:t>This assessment employs a hybrid approach combining direct measurement and model-based calculation:</w:t>
      </w:r>
    </w:p>
    <w:p>
      <w:r>
        <w:rPr>
          <w:b/>
        </w:rPr>
        <w:t xml:space="preserve">Direct Measurement: </w:t>
      </w:r>
      <w:r>
        <w:t>Metrics retrieved directly from verified external datasets without transformation.</w:t>
        <w:br/>
        <w:br/>
      </w:r>
      <w:r>
        <w:rPr>
          <w:b/>
        </w:rPr>
        <w:t xml:space="preserve">Model-Based Calculation: </w:t>
      </w:r>
      <w:r>
        <w:t>Metrics calculated using validated mathematical models with inputs from multiple dataset variables.</w:t>
        <w:br/>
      </w:r>
    </w:p>
    <w:p>
      <w:pPr>
        <w:pStyle w:val="Heading2"/>
      </w:pPr>
      <w:r>
        <w:t>Quality Assurance</w:t>
      </w:r>
    </w:p>
    <w:p>
      <w:r>
        <w:t>• All data sourced from verified external datasets</w:t>
        <w:br/>
        <w:t>• No synthetic or demo data used</w:t>
        <w:br/>
        <w:t>• Multi-layer validation with authenticity scoring</w:t>
        <w:br/>
        <w:t>• Complete data lineage tracking</w:t>
        <w:br/>
        <w:t>• Schema validation for all calculations</w:t>
      </w:r>
    </w:p>
    <w:p>
      <w:r>
        <w:br w:type="page"/>
      </w:r>
    </w:p>
    <w:p>
      <w:pPr>
        <w:pStyle w:val="Heading1"/>
      </w:pPr>
      <w:r>
        <w:t>Recommendations &amp; Next Steps</w:t>
      </w:r>
    </w:p>
    <w:p>
      <w:pPr>
        <w:pStyle w:val="Heading2"/>
      </w:pPr>
      <w:r>
        <w:t>Immediate Actions</w:t>
      </w:r>
    </w:p>
    <w:p>
      <w:r>
        <w:t>• Maintain current high data quality standards</w:t>
        <w:br/>
        <w:t>• Continue regular ESG data collection and reporting</w:t>
        <w:br/>
        <w:t>• Monitor regulatory changes in ESG reporting requirements</w:t>
      </w:r>
    </w:p>
    <w:p>
      <w:pPr>
        <w:pStyle w:val="Heading2"/>
      </w:pPr>
      <w:r>
        <w:t>Medium-Term Goals</w:t>
      </w:r>
    </w:p>
    <w:p>
      <w:r>
        <w:t>• Expand ESG metric coverage across additional SASB categories</w:t>
        <w:br/>
        <w:t>• Implement automated data validation and quality monitoring</w:t>
        <w:br/>
        <w:t>• Establish data governance framework for ESG metrics</w:t>
        <w:br/>
        <w:t>• Develop year-over-year trend analysis capabilities</w:t>
      </w:r>
    </w:p>
    <w:p>
      <w:pPr>
        <w:pStyle w:val="Heading2"/>
      </w:pPr>
      <w:r>
        <w:t>Long-Term Strategy</w:t>
      </w:r>
    </w:p>
    <w:p>
      <w:r>
        <w:t>• Establish ESG data center of excellence</w:t>
        <w:br/>
        <w:t>• Develop predictive ESG performance analytics</w:t>
        <w:br/>
        <w:t>• Create industry benchmarking capabilities</w:t>
        <w:br/>
        <w:t>• Integrate ESG metrics into strategic decision-making processes</w:t>
      </w:r>
    </w:p>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