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ESG COMPLIANCE REPORT</w:t>
      </w:r>
    </w:p>
    <w:p>
      <w:pPr>
        <w:pStyle w:val="Heading1"/>
        <w:jc w:val="center"/>
      </w:pPr>
      <w:r>
        <w:t>Taiwan Semiconductor Manufacturing Co Ltd</w:t>
      </w:r>
    </w:p>
    <w:p>
      <w:pPr>
        <w:jc w:val="center"/>
      </w:pPr>
      <w:r>
        <w:rPr>
          <w:sz w:val="24"/>
        </w:rPr>
        <w:t>Reporting Year: 2023</w:t>
      </w:r>
    </w:p>
    <w:p>
      <w:pPr>
        <w:jc w:val="center"/>
      </w:pPr>
      <w:r>
        <w:rPr>
          <w:sz w:val="24"/>
        </w:rPr>
        <w:t>Industry: Semiconductors</w:t>
      </w:r>
    </w:p>
    <w:p>
      <w:pPr>
        <w:jc w:val="center"/>
      </w:pPr>
      <w:r>
        <w:rPr>
          <w:sz w:val="24"/>
        </w:rPr>
        <w:t>Framework: SASB Semiconductors</w:t>
      </w:r>
    </w:p>
    <w:p/>
    <w:p/>
    <w:p>
      <w:r>
        <w:rPr>
          <w:i/>
          <w:sz w:val="20"/>
        </w:rPr>
        <w:t>Generated: February 04, 2026</w:t>
      </w:r>
    </w:p>
    <w:p>
      <w:r>
        <w:rPr>
          <w:i/>
          <w:sz w:val="20"/>
        </w:rPr>
        <w:t>ESG Knowledge Graph System</w:t>
      </w:r>
    </w:p>
    <w:p>
      <w:r>
        <w:br w:type="page"/>
      </w:r>
    </w:p>
    <w:p>
      <w:pPr>
        <w:pStyle w:val="Heading1"/>
      </w:pPr>
      <w:r>
        <w:t>Table of Contents</w:t>
      </w:r>
    </w:p>
    <w:p>
      <w:r>
        <w:rPr>
          <w:b w:val="0"/>
          <w:sz w:val="22"/>
        </w:rPr>
        <w:t>Executive Summary</w:t>
      </w:r>
    </w:p>
    <w:p>
      <w:r>
        <w:rPr>
          <w:b w:val="0"/>
          <w:sz w:val="22"/>
        </w:rPr>
        <w:t>Company Profile</w:t>
      </w:r>
    </w:p>
    <w:p>
      <w:r>
        <w:rPr>
          <w:b/>
          <w:sz w:val="22"/>
        </w:rPr>
        <w:t>1. ESG Metrics Performance</w:t>
      </w:r>
    </w:p>
    <w:p>
      <w:r>
        <w:rPr>
          <w:b/>
          <w:sz w:val="22"/>
        </w:rPr>
        <w:t>2. Data Lineage &amp; Transparency</w:t>
      </w:r>
    </w:p>
    <w:p>
      <w:r>
        <w:rPr>
          <w:b/>
          <w:sz w:val="22"/>
        </w:rPr>
        <w:t>3. Methodology</w:t>
      </w:r>
    </w:p>
    <w:p>
      <w:r>
        <w:rPr>
          <w:b w:val="0"/>
          <w:sz w:val="22"/>
        </w:rPr>
        <w:t xml:space="preserve">    3.1 Data Sources</w:t>
      </w:r>
    </w:p>
    <w:p>
      <w:r>
        <w:rPr>
          <w:b w:val="0"/>
          <w:sz w:val="22"/>
        </w:rPr>
        <w:t xml:space="preserve">    3.2 Calculation Approach</w:t>
      </w:r>
    </w:p>
    <w:p>
      <w:r>
        <w:rPr>
          <w:b w:val="0"/>
          <w:sz w:val="22"/>
        </w:rPr>
        <w:t xml:space="preserve">    3.3 Quality Assurance</w:t>
      </w:r>
    </w:p>
    <w:p>
      <w:r>
        <w:rPr>
          <w:b/>
          <w:sz w:val="22"/>
        </w:rPr>
        <w:t>4. Recommendations &amp; Next Steps</w:t>
      </w:r>
    </w:p>
    <w:p>
      <w:r>
        <w:rPr>
          <w:b w:val="0"/>
          <w:sz w:val="22"/>
        </w:rPr>
        <w:t xml:space="preserve">    4.1 Immediate Actions</w:t>
      </w:r>
    </w:p>
    <w:p>
      <w:r>
        <w:rPr>
          <w:b w:val="0"/>
          <w:sz w:val="22"/>
        </w:rPr>
        <w:t xml:space="preserve">    4.2 Medium-Term Goals</w:t>
      </w:r>
    </w:p>
    <w:p>
      <w:r>
        <w:rPr>
          <w:b w:val="0"/>
          <w:sz w:val="22"/>
        </w:rPr>
        <w:t xml:space="preserve">    4.3 Long-Term Strategy</w:t>
      </w:r>
    </w:p>
    <w:p>
      <w:r>
        <w:br w:type="page"/>
      </w:r>
    </w:p>
    <w:p>
      <w:pPr>
        <w:pStyle w:val="Heading1"/>
      </w:pPr>
      <w:r>
        <w:t>Executive Summary</w:t>
      </w:r>
    </w:p>
    <w:p>
      <w:r>
        <w:t>This report presents the Environmental, Social, and Governance (ESG) performance assessment for Taiwan Semiconductor Manufacturing Co Ltd for the reporting year 2023. The assessment is based on the SASB framework specific to the semiconductors industry.</w:t>
      </w:r>
    </w:p>
    <w:p>
      <w:pPr>
        <w:pStyle w:val="Heading3"/>
      </w:pPr>
      <w:r>
        <w:t>Key Highlights:</w:t>
      </w:r>
    </w:p>
    <w:p>
      <w:pPr>
        <w:pStyle w:val="ListBullet"/>
      </w:pPr>
      <w:r>
        <w:rPr>
          <w:b/>
        </w:rPr>
        <w:t>Total Metrics Assessed: 2</w:t>
      </w:r>
    </w:p>
    <w:p>
      <w:pPr>
        <w:pStyle w:val="ListBullet"/>
      </w:pPr>
      <w:r>
        <w:rPr>
          <w:b/>
        </w:rPr>
        <w:t>Successfully Calculated: 2</w:t>
      </w:r>
    </w:p>
    <w:p>
      <w:pPr>
        <w:pStyle w:val="ListBullet"/>
      </w:pPr>
      <w:r>
        <w:rPr>
          <w:b/>
        </w:rPr>
        <w:t>Data Quality Score: 85%</w:t>
      </w:r>
    </w:p>
    <w:p>
      <w:pPr>
        <w:pStyle w:val="ListBullet"/>
      </w:pPr>
      <w:r>
        <w:rPr>
          <w:b/>
        </w:rPr>
        <w:t>Framework: SASB Semiconductors</w:t>
      </w:r>
    </w:p>
    <w:p>
      <w:pPr>
        <w:pStyle w:val="Heading1"/>
      </w:pPr>
      <w:r>
        <w:t>Company Profile</w:t>
      </w:r>
    </w:p>
    <w:tbl>
      <w:tblPr>
        <w:tblStyle w:val="TableGrid"/>
        <w:tblW w:type="auto" w:w="0"/>
        <w:tblLook w:firstColumn="1" w:firstRow="1" w:lastColumn="0" w:lastRow="0" w:noHBand="0" w:noVBand="1" w:val="04A0"/>
      </w:tblPr>
      <w:tblGrid>
        <w:gridCol w:w="4320"/>
        <w:gridCol w:w="4320"/>
      </w:tblGrid>
      <w:tr>
        <w:tc>
          <w:tcPr>
            <w:tcW w:type="dxa" w:w="4320"/>
          </w:tcPr>
          <w:p>
            <w:r/>
            <w:r>
              <w:rPr>
                <w:b/>
              </w:rPr>
              <w:t>Company Name</w:t>
            </w:r>
          </w:p>
        </w:tc>
        <w:tc>
          <w:tcPr>
            <w:tcW w:type="dxa" w:w="4320"/>
          </w:tcPr>
          <w:p>
            <w:r/>
            <w:r>
              <w:t>Taiwan Semiconductor Manufacturing Co Ltd</w:t>
            </w:r>
          </w:p>
        </w:tc>
      </w:tr>
      <w:tr>
        <w:tc>
          <w:tcPr>
            <w:tcW w:type="dxa" w:w="4320"/>
          </w:tcPr>
          <w:p>
            <w:r/>
            <w:r>
              <w:rPr>
                <w:b/>
              </w:rPr>
              <w:t>Industry</w:t>
            </w:r>
          </w:p>
        </w:tc>
        <w:tc>
          <w:tcPr>
            <w:tcW w:type="dxa" w:w="4320"/>
          </w:tcPr>
          <w:p>
            <w:r/>
            <w:r>
              <w:t>Semiconductors</w:t>
            </w:r>
          </w:p>
        </w:tc>
      </w:tr>
      <w:tr>
        <w:tc>
          <w:tcPr>
            <w:tcW w:type="dxa" w:w="4320"/>
          </w:tcPr>
          <w:p>
            <w:r/>
            <w:r>
              <w:rPr>
                <w:b/>
              </w:rPr>
              <w:t>Reporting Year</w:t>
            </w:r>
          </w:p>
        </w:tc>
        <w:tc>
          <w:tcPr>
            <w:tcW w:type="dxa" w:w="4320"/>
          </w:tcPr>
          <w:p>
            <w:r/>
            <w:r>
              <w:t>2023</w:t>
            </w:r>
          </w:p>
        </w:tc>
      </w:tr>
      <w:tr>
        <w:tc>
          <w:tcPr>
            <w:tcW w:type="dxa" w:w="4320"/>
          </w:tcPr>
          <w:p>
            <w:r/>
            <w:r>
              <w:rPr>
                <w:b/>
              </w:rPr>
              <w:t>Framework</w:t>
            </w:r>
          </w:p>
        </w:tc>
        <w:tc>
          <w:tcPr>
            <w:tcW w:type="dxa" w:w="4320"/>
          </w:tcPr>
          <w:p>
            <w:r/>
            <w:r>
              <w:t>SASB Semiconductors</w:t>
            </w:r>
          </w:p>
        </w:tc>
      </w:tr>
      <w:tr>
        <w:tc>
          <w:tcPr>
            <w:tcW w:type="dxa" w:w="4320"/>
          </w:tcPr>
          <w:p>
            <w:r/>
            <w:r>
              <w:rPr>
                <w:b/>
              </w:rPr>
              <w:t>Assessment Date</w:t>
            </w:r>
          </w:p>
        </w:tc>
        <w:tc>
          <w:tcPr>
            <w:tcW w:type="dxa" w:w="4320"/>
          </w:tcPr>
          <w:p>
            <w:r/>
            <w:r>
              <w:t>February 04, 2026</w:t>
            </w:r>
          </w:p>
        </w:tc>
      </w:tr>
    </w:tbl>
    <w:p>
      <w:pPr>
        <w:pStyle w:val="Heading1"/>
      </w:pPr>
      <w:r>
        <w:t>1. ESG Metrics Performance</w:t>
      </w:r>
    </w:p>
    <w:p>
      <w:pPr>
        <w:pStyle w:val="Heading2"/>
      </w:pPr>
      <w:r>
        <w:t>1.1 Greenhouse Gas Emissions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Metric</w:t>
            </w:r>
          </w:p>
        </w:tc>
        <w:tc>
          <w:tcPr>
            <w:tcW w:type="dxa" w:w="2160"/>
          </w:tcPr>
          <w:p>
            <w:r/>
            <w:r>
              <w:rPr>
                <w:b/>
              </w:rPr>
              <w:t>Value</w:t>
            </w:r>
          </w:p>
        </w:tc>
        <w:tc>
          <w:tcPr>
            <w:tcW w:type="dxa" w:w="2160"/>
          </w:tcPr>
          <w:p>
            <w:r/>
            <w:r>
              <w:rPr>
                <w:b/>
              </w:rPr>
              <w:t>Unit</w:t>
            </w:r>
          </w:p>
        </w:tc>
        <w:tc>
          <w:tcPr>
            <w:tcW w:type="dxa" w:w="2160"/>
          </w:tcPr>
          <w:p>
            <w:r/>
            <w:r>
              <w:rPr>
                <w:b/>
              </w:rPr>
              <w:t>Method</w:t>
            </w:r>
          </w:p>
        </w:tc>
      </w:tr>
      <w:tr>
        <w:tc>
          <w:tcPr>
            <w:tcW w:type="dxa" w:w="2160"/>
          </w:tcPr>
          <w:p>
            <w:r>
              <w:t>GHGEmissionIntensity</w:t>
            </w:r>
          </w:p>
        </w:tc>
        <w:tc>
          <w:tcPr>
            <w:tcW w:type="dxa" w:w="2160"/>
          </w:tcPr>
          <w:p>
            <w:r>
              <w:t>0.1415</w:t>
            </w:r>
          </w:p>
        </w:tc>
        <w:tc>
          <w:tcPr>
            <w:tcW w:type="dxa" w:w="2160"/>
          </w:tcPr>
          <w:p>
            <w:r>
              <w:t>tons CO2e per million USD</w:t>
            </w:r>
          </w:p>
        </w:tc>
        <w:tc>
          <w:tcPr>
            <w:tcW w:type="dxa" w:w="2160"/>
          </w:tcPr>
          <w:p>
            <w:r>
              <w:t>Calculated</w:t>
            </w:r>
          </w:p>
        </w:tc>
      </w:tr>
      <w:tr>
        <w:tc>
          <w:tcPr>
            <w:tcW w:type="dxa" w:w="2160"/>
          </w:tcPr>
          <w:p>
            <w:r>
              <w:t>GrossGlobalScope1Emissions</w:t>
            </w:r>
          </w:p>
        </w:tc>
        <w:tc>
          <w:tcPr>
            <w:tcW w:type="dxa" w:w="2160"/>
          </w:tcPr>
          <w:p>
            <w:r>
              <w:t>1,596,031.00</w:t>
            </w:r>
          </w:p>
        </w:tc>
        <w:tc>
          <w:tcPr>
            <w:tcW w:type="dxa" w:w="2160"/>
          </w:tcPr>
          <w:p>
            <w:r>
              <w:t>Metric tonnes (t) CO2-e</w:t>
            </w:r>
          </w:p>
        </w:tc>
        <w:tc>
          <w:tcPr>
            <w:tcW w:type="dxa" w:w="2160"/>
          </w:tcPr>
          <w:p>
            <w:r>
              <w:t>Direct</w:t>
            </w:r>
          </w:p>
        </w:tc>
      </w:tr>
    </w:tbl>
    <w:p/>
    <w:p>
      <w:pPr>
        <w:pStyle w:val="Heading1"/>
      </w:pPr>
      <w:r>
        <w:t>2. Data Lineage &amp; Transparency</w:t>
      </w:r>
    </w:p>
    <w:p>
      <w:r>
        <w:t>Complete transparency about data sources, calculation methods, and dataset variables.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Metric</w:t>
            </w:r>
          </w:p>
        </w:tc>
        <w:tc>
          <w:tcPr>
            <w:tcW w:type="dxa" w:w="2160"/>
          </w:tcPr>
          <w:p>
            <w:r/>
            <w:r>
              <w:rPr>
                <w:b/>
              </w:rPr>
              <w:t>Method</w:t>
            </w:r>
          </w:p>
        </w:tc>
        <w:tc>
          <w:tcPr>
            <w:tcW w:type="dxa" w:w="2160"/>
          </w:tcPr>
          <w:p>
            <w:r/>
            <w:r>
              <w:rPr>
                <w:b/>
              </w:rPr>
              <w:t>Dataset Variables</w:t>
            </w:r>
          </w:p>
        </w:tc>
        <w:tc>
          <w:tcPr>
            <w:tcW w:type="dxa" w:w="2160"/>
          </w:tcPr>
          <w:p>
            <w:r/>
            <w:r>
              <w:rPr>
                <w:b/>
              </w:rPr>
              <w:t>Model/Formula</w:t>
            </w:r>
          </w:p>
        </w:tc>
      </w:tr>
      <w:tr>
        <w:tc>
          <w:tcPr>
            <w:tcW w:type="dxa" w:w="2160"/>
          </w:tcPr>
          <w:p>
            <w:r>
              <w:t>GHGEmissionIntensity</w:t>
            </w:r>
          </w:p>
        </w:tc>
        <w:tc>
          <w:tcPr>
            <w:tcW w:type="dxa" w:w="2160"/>
          </w:tcPr>
          <w:p>
            <w:r>
              <w:t>Calculated Model</w:t>
            </w:r>
          </w:p>
        </w:tc>
        <w:tc>
          <w:tcPr>
            <w:tcW w:type="dxa" w:w="2160"/>
          </w:tcPr>
          <w:p>
            <w:r>
              <w:t>Model inputs</w:t>
            </w:r>
          </w:p>
        </w:tc>
        <w:tc>
          <w:tcPr>
            <w:tcW w:type="dxa" w:w="2160"/>
          </w:tcPr>
          <w:p>
            <w:r>
              <w:t>Model: GHGEmissionIntensityModel</w:t>
            </w:r>
          </w:p>
        </w:tc>
      </w:tr>
      <w:tr>
        <w:tc>
          <w:tcPr>
            <w:tcW w:type="dxa" w:w="2160"/>
          </w:tcPr>
          <w:p>
            <w:r>
              <w:t>GrossGlobalScope1Emissions</w:t>
            </w:r>
          </w:p>
        </w:tc>
        <w:tc>
          <w:tcPr>
            <w:tcW w:type="dxa" w:w="2160"/>
          </w:tcPr>
          <w:p>
            <w:r>
              <w:t>Direct Measurement</w:t>
            </w:r>
          </w:p>
        </w:tc>
        <w:tc>
          <w:tcPr>
            <w:tcW w:type="dxa" w:w="2160"/>
          </w:tcPr>
          <w:p>
            <w:r>
              <w:t>CO2DIRECTSCOPE1</w:t>
            </w:r>
          </w:p>
        </w:tc>
        <w:tc>
          <w:tcPr>
            <w:tcW w:type="dxa" w:w="2160"/>
          </w:tcPr>
          <w:p>
            <w:r>
              <w:t>Direct: CO2DIRECTSCOPE1</w:t>
            </w:r>
          </w:p>
        </w:tc>
      </w:tr>
    </w:tbl>
    <w:p>
      <w:pPr>
        <w:pStyle w:val="Heading1"/>
      </w:pPr>
      <w:r>
        <w:t>3. Methodology</w:t>
      </w:r>
    </w:p>
    <w:p>
      <w:pPr>
        <w:pStyle w:val="Heading2"/>
      </w:pPr>
      <w:r>
        <w:t>3.1 Data Sources</w:t>
      </w:r>
    </w:p>
    <w:p>
      <w:pPr>
        <w:pStyle w:val="ListBullet"/>
      </w:pPr>
      <w:r>
        <w:t>External ESG Dataset: Primary data source with verified metrics</w:t>
      </w:r>
    </w:p>
    <w:p>
      <w:pPr>
        <w:pStyle w:val="ListBullet"/>
      </w:pPr>
      <w:r>
        <w:t>SASB Framework: Industry-specific sustainability standards</w:t>
      </w:r>
    </w:p>
    <w:p>
      <w:pPr>
        <w:pStyle w:val="ListBullet"/>
      </w:pPr>
      <w:r>
        <w:t>RDF Knowledge Graph: Semantic metric relationships</w:t>
      </w:r>
    </w:p>
    <w:p>
      <w:pPr>
        <w:pStyle w:val="Heading2"/>
      </w:pPr>
      <w:r>
        <w:t>3.2 Calculation Approach</w:t>
      </w:r>
    </w:p>
    <w:p>
      <w:pPr>
        <w:pStyle w:val="ListBullet"/>
      </w:pPr>
      <w:r>
        <w:rPr>
          <w:b/>
        </w:rPr>
        <w:t xml:space="preserve">Direct Measurement: </w:t>
      </w:r>
      <w:r>
        <w:t>Metrics from verified datasets without transformation</w:t>
      </w:r>
    </w:p>
    <w:p>
      <w:pPr>
        <w:pStyle w:val="ListBullet"/>
      </w:pPr>
      <w:r>
        <w:rPr>
          <w:b/>
        </w:rPr>
        <w:t xml:space="preserve">Model-Based: </w:t>
      </w:r>
      <w:r>
        <w:t>Calculated using validated mathematical models</w:t>
      </w:r>
    </w:p>
    <w:p>
      <w:pPr>
        <w:pStyle w:val="Heading2"/>
      </w:pPr>
      <w:r>
        <w:t>3.3 Quality Assurance</w:t>
      </w:r>
    </w:p>
    <w:p>
      <w:pPr>
        <w:pStyle w:val="ListBullet"/>
      </w:pPr>
      <w:r>
        <w:t>Verified external datasets only</w:t>
      </w:r>
    </w:p>
    <w:p>
      <w:pPr>
        <w:pStyle w:val="ListBullet"/>
      </w:pPr>
      <w:r>
        <w:t>No synthetic or demo data</w:t>
      </w:r>
    </w:p>
    <w:p>
      <w:pPr>
        <w:pStyle w:val="ListBullet"/>
      </w:pPr>
      <w:r>
        <w:t>Multi-layer validation</w:t>
      </w:r>
    </w:p>
    <w:p>
      <w:pPr>
        <w:pStyle w:val="ListBullet"/>
      </w:pPr>
      <w:r>
        <w:t>Complete data lineage tracking</w:t>
      </w:r>
    </w:p>
    <w:p>
      <w:pPr>
        <w:pStyle w:val="Heading1"/>
      </w:pPr>
      <w:r>
        <w:t>4. Recommendations &amp; Next Steps</w:t>
      </w:r>
    </w:p>
    <w:p>
      <w:pPr>
        <w:pStyle w:val="Heading2"/>
      </w:pPr>
      <w:r>
        <w:t>4.1 Immediate Actions</w:t>
      </w:r>
    </w:p>
    <w:p>
      <w:pPr>
        <w:pStyle w:val="ListBullet"/>
      </w:pPr>
      <w:r>
        <w:t>Maintain current high data quality standards</w:t>
      </w:r>
    </w:p>
    <w:p>
      <w:pPr>
        <w:pStyle w:val="ListBullet"/>
      </w:pPr>
      <w:r>
        <w:t>Continue regular ESG data collection and reporting</w:t>
      </w:r>
    </w:p>
    <w:p>
      <w:pPr>
        <w:pStyle w:val="ListBullet"/>
      </w:pPr>
      <w:r>
        <w:t>Monitor regulatory changes in ESG requirements</w:t>
      </w:r>
    </w:p>
    <w:p>
      <w:pPr>
        <w:pStyle w:val="Heading2"/>
      </w:pPr>
      <w:r>
        <w:t>4.2 Medium-Term Goals</w:t>
      </w:r>
    </w:p>
    <w:p>
      <w:pPr>
        <w:pStyle w:val="ListBullet"/>
      </w:pPr>
      <w:r>
        <w:t>Expand ESG metric coverage across SASB categories</w:t>
      </w:r>
    </w:p>
    <w:p>
      <w:pPr>
        <w:pStyle w:val="ListBullet"/>
      </w:pPr>
      <w:r>
        <w:t>Implement automated data validation</w:t>
      </w:r>
    </w:p>
    <w:p>
      <w:pPr>
        <w:pStyle w:val="ListBullet"/>
      </w:pPr>
      <w:r>
        <w:t>Develop year-over-year trend analysis</w:t>
      </w:r>
    </w:p>
    <w:p>
      <w:pPr>
        <w:pStyle w:val="Heading2"/>
      </w:pPr>
      <w:r>
        <w:t>4.3 Long-Term Strategy</w:t>
      </w:r>
    </w:p>
    <w:p>
      <w:pPr>
        <w:pStyle w:val="ListBullet"/>
      </w:pPr>
      <w:r>
        <w:t>Establish comprehensive ESG data ecosystem</w:t>
      </w:r>
    </w:p>
    <w:p>
      <w:pPr>
        <w:pStyle w:val="ListBullet"/>
      </w:pPr>
      <w:r>
        <w:t>Implement real-time data monitoring and updates</w:t>
      </w:r>
    </w:p>
    <w:p>
      <w:pPr>
        <w:pStyle w:val="ListBullet"/>
      </w:pPr>
      <w:r>
        <w:t>Develop predictive analytics capabilities for ESG performance</w:t>
      </w:r>
    </w:p>
    <w:p/>
    <w:p>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