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Chapter 4</w:t>
      </w:r>
    </w:p>
    <w:p>
      <w:pPr>
        <w:pStyle w:val="Heading1"/>
        <w:jc w:val="center"/>
      </w:pPr>
      <w:r>
        <w:t>ESG Metric Knowledge Graph</w:t>
      </w:r>
    </w:p>
    <w:p>
      <w:pPr>
        <w:pStyle w:val="Heading1"/>
      </w:pPr>
      <w:r>
        <w:t>4.1 Introduction</w:t>
      </w:r>
    </w:p>
    <w:p>
      <w:r>
        <w:t>Environmental, Social, and Governance (ESG) reporting has become a critical component of corporate disclosure, driven by increasing regulatory requirements and stakeholder demand for transparency. Organisations must navigate complex relationships between reporting frameworks, disclosure categories, metrics, computational models, and underlying data sources. Regulatory frameworks such as the IFRS Sustainability Disclosure Standards (IFRS S1 and S2), the Task Force on Climate-related Financial Disclosures (TCFD), and the Sustainability Accounting Standards Board (SASB) define what organisations should disclose. However, these frameworks often leave open how metrics are operationalised, computed, and traced back to their data origins. This gap introduces challenges in metric selection, consistency, transparency, and auditability—particularly when organisations must comply with multiple frameworks simultaneously.</w:t>
      </w:r>
    </w:p>
    <w:p>
      <w:r>
        <w:t>Knowledge graphs have emerged as a powerful paradigm for representing complex, interconnected domain knowledge in a machine-interpretable form. By encoding entities and their relationships as structured semantic networks, knowledge graphs enable systematic querying, reasoning, and integration across heterogeneous information sources. These capabilities are well-suited to the challenges of ESG reporting, where traceability, transparency, and interoperability are paramount.</w:t>
      </w:r>
    </w:p>
    <w:p>
      <w:r>
        <w:t>To address these challenges, this chapter introduces the ESG Metric Knowledge Graph (ESGMKG), a domain-specific knowledge graph designed to explicitly model the semantic relationships among industries, ESG reporting frameworks, categories, metrics, computational models, implementations, dataset variables, and data sources. ESGMKG provides a structured representation of ESG reporting knowledge that enables systematic navigation from high-level industry requirements down to the concrete data variables and their sources.</w:t>
      </w:r>
    </w:p>
    <w:p>
      <w:r>
        <w:t>ESGMKG serves three key purposes:</w:t>
      </w:r>
    </w:p>
    <w:p>
      <w:pPr>
        <w:pStyle w:val="ListNumber"/>
      </w:pPr>
      <w:r>
        <w:t>1. Semantic Traceability: Establishing explicit links between reported metrics and their underlying data sources and computational models.</w:t>
      </w:r>
    </w:p>
    <w:p>
      <w:pPr>
        <w:pStyle w:val="ListNumber"/>
      </w:pPr>
      <w:r>
        <w:t>2. Flexible Recomposition: Enabling metric selection and recomposition across different reporting frameworks.</w:t>
      </w:r>
    </w:p>
    <w:p>
      <w:pPr>
        <w:pStyle w:val="ListNumber"/>
      </w:pPr>
      <w:r>
        <w:t>3. Formal Foundation: Providing a machine-interpretable foundation for querying, reasoning, and automation in ESG reporting systems.</w:t>
      </w:r>
    </w:p>
    <w:p>
      <w:r>
        <w:t>The remainder of this chapter is organised as follows. Section 4.2 describes the ontology design methodology, including the hybrid development approach and validation strategy. Section 4.3 presents the conceptual design of ESGMKG, detailing the core entities, relationships, and modelling decisions. Section 4.4 demonstrates ESGMKG through instantiation, competency question evaluation, and example queries. Section 4.5 concludes with a discussion of limitations and future research directions.</w:t>
      </w:r>
    </w:p>
    <w:p>
      <w:pPr>
        <w:pStyle w:val="Heading1"/>
      </w:pPr>
      <w:r>
        <w:t>4.2 Design Methodology</w:t>
      </w:r>
    </w:p>
    <w:p>
      <w:r>
        <w:t>This section describes the methodology used to develop ESGMKG, including the ontology engineering approach and the validation strategy based on competency questions.</w:t>
      </w:r>
    </w:p>
    <w:p>
      <w:pPr>
        <w:pStyle w:val="Heading2"/>
      </w:pPr>
      <w:r>
        <w:t>4.2.1 Ontology Engineering Approach</w:t>
      </w:r>
    </w:p>
    <w:p>
      <w:r>
        <w:t>The development of ESGMKG follows established ontology engineering principles. Specifically, the ontology adopts a hybrid approach that integrates both top-down and bottom-up design strategies. This hybrid methodology is necessary because ESG reporting encompasses two distinct types of knowledge: (1) the stable conceptual structures prescribed by regulatory frameworks, and (2) the heterogeneous operational practices used by organisations and data providers.</w:t>
      </w:r>
    </w:p>
    <w:p>
      <w:r>
        <w:rPr>
          <w:b/>
        </w:rPr>
        <w:t xml:space="preserve">Top-Down Design. </w:t>
      </w:r>
      <w:r>
        <w:t>The top-down perspective begins with the formal structures defined by ESG reporting frameworks. Frameworks such as IFRS S1 and TCFD prescribe high-level disclosure requirements organised into categories such as environmental risk, environmental opportunity, social risk, and governance risk. These framework-defined structures serve as conceptual anchors that ensure alignment between ESGMKG and the terminology and logic of regulatory requirements. By deriving the upper levels of the ontology from authoritative framework definitions, ESGMKG maintains consistency with established ESG reporting standards.</w:t>
      </w:r>
    </w:p>
    <w:p>
      <w:r>
        <w:rPr>
          <w:b/>
        </w:rPr>
        <w:t xml:space="preserve">Bottom-Up Design. </w:t>
      </w:r>
      <w:r>
        <w:t>The bottom-up perspective incorporates the operational realities of ESG data workflows. In practice, ESG metrics are often the product of multi-step transformations involving estimation, aggregation, or normalisation. To accurately reflect these complexities, ESGMKG models metrics alongside their computational models, implementations, dataset variables, and data sources. This bottom-up grounding ensures that the ontology captures not only what should be reported, but also how reported values are derived from underlying data.</w:t>
      </w:r>
    </w:p>
    <w:p>
      <w:r>
        <w:rPr>
          <w:b/>
        </w:rPr>
        <w:t xml:space="preserve">Hybrid Integration. </w:t>
      </w:r>
      <w:r>
        <w:t>By combining top-down and bottom-up perspectives, ESGMKG bridges regulatory intent and operational reality. The resulting ontology captures both the conceptual foundations of ESG reporting and the practical workflows through which ESG information is produced, validated, and consumed. This hybrid approach aligns with established recommendations for domain ontology development.</w:t>
      </w:r>
    </w:p>
    <w:p>
      <w:pPr>
        <w:pStyle w:val="Heading2"/>
      </w:pPr>
      <w:r>
        <w:t>4.2.2 Validation via Competency Questions</w:t>
      </w:r>
    </w:p>
    <w:p>
      <w:r>
        <w:t>Ontology validation is performed using competency questions (CQs), a widely adopted technique for verifying that an ontology captures the knowledge required to support its intended use cases. Competency questions represent realistic information needs that the ontology must be able to answer. If the instantiated knowledge graph can answer all competency questions consistently and unambiguously, the ontology is considered validated for its intended purpose.</w:t>
      </w:r>
    </w:p>
    <w:p>
      <w:r>
        <w:t>For ESGMKG, seven competency questions are defined spanning the full knowledge graph structure: identifying which reporting frameworks apply to a given industry; retrieving the categories included within a framework; discovering which metrics belong to each category; determining how a metric is calculated or measured; identifying which metrics serve as inputs for a model; finding which implementation executes a model; and tracing dataset variables to their original data sources. Table 4.6 in Section 4.4.2 presents the complete set of competency questions used to validate ESGMKG.</w:t>
      </w:r>
    </w:p>
    <w:p>
      <w:pPr>
        <w:pStyle w:val="Heading1"/>
      </w:pPr>
      <w:r>
        <w:t>4.3 Conceptual Design of ESGMKG</w:t>
      </w:r>
    </w:p>
    <w:p>
      <w:r>
        <w:t>This section presents the conceptual design of ESGMKG, including the core entities, relationships, and the rationale behind key modelling decisions.</w:t>
      </w:r>
    </w:p>
    <w:p>
      <w:pPr>
        <w:pStyle w:val="Heading2"/>
      </w:pPr>
      <w:r>
        <w:t>4.3.1 Core Entities</w:t>
      </w:r>
    </w:p>
    <w:p>
      <w:r>
        <w:t>ESGMKG comprises eight core entities that together represent the full chain of information underpinning ESG reporting. Figure 4.1 illustrates these entities and their relationships.</w:t>
      </w:r>
    </w:p>
    <w:p>
      <w:r>
        <w:t>[FIGURE 4.1: Conceptual structure of ESGMKG showing eight core entities and their semantic relationships.]</w:t>
      </w:r>
    </w:p>
    <w:p>
      <w:r>
        <w:rPr>
          <w:b/>
        </w:rPr>
        <w:t xml:space="preserve">Industry. </w:t>
      </w:r>
      <w:r>
        <w:t>An Industry represents the sector or domain in which an organisation operates, such as financial services, energy, or manufacturing. Industries serve as the entry point to the knowledge graph, as different industries are subject to different reporting frameworks based on regulatory requirements and stakeholder expectations.</w:t>
      </w:r>
    </w:p>
    <w:p>
      <w:r>
        <w:rPr>
          <w:b/>
        </w:rPr>
        <w:t xml:space="preserve">Reporting Framework. </w:t>
      </w:r>
      <w:r>
        <w:t>A Reporting Framework represents a standardised ESG reporting standard or guideline. Examples include IFRS S1, TCFD, and SASB. Each framework defines a set of disclosure requirements organised into reporting categories.</w:t>
      </w:r>
    </w:p>
    <w:p>
      <w:r>
        <w:rPr>
          <w:b/>
        </w:rPr>
        <w:t xml:space="preserve">Category. </w:t>
      </w:r>
      <w:r>
        <w:t>A Category organises ESG disclosures into thematic areas. Common categories include environmental risk, environmental opportunity, social risk, and governance risk. Categories provide a logical grouping of related metrics within a framework.</w:t>
      </w:r>
    </w:p>
    <w:p>
      <w:r>
        <w:rPr>
          <w:b/>
        </w:rPr>
        <w:t xml:space="preserve">Metric. </w:t>
      </w:r>
      <w:r>
        <w:t>A Metric represents a measurable quantity used to evaluate ESG performance. Examples include carbon emissions intensity, water withdrawal, and employee turnover rate. Metrics may be derived through two distinct paths: they can be calculated by computational models that aggregate or transform input data, or they can be obtained directly from dataset variables when the metric represents a direct measurement. Metrics can also serve as inputs to other metrics, enabling the representation of composite indicators. Section 4.3.5 provides a detailed discussion of the metric schema design.</w:t>
      </w:r>
    </w:p>
    <w:p>
      <w:r>
        <w:rPr>
          <w:b/>
        </w:rPr>
        <w:t xml:space="preserve">Model. </w:t>
      </w:r>
      <w:r>
        <w:t>A Model captures the computational logic used to derive a metric from its inputs. Models specify the mathematical operations, aggregation rules, or transformation functions applied to input data. By representing models as explicit entities, ESGMKG ensures that computational processes are transparent and auditable.</w:t>
      </w:r>
    </w:p>
    <w:p>
      <w:r>
        <w:rPr>
          <w:b/>
        </w:rPr>
        <w:t xml:space="preserve">Implementation. </w:t>
      </w:r>
      <w:r>
        <w:t>An Implementation represents the executable artefact that operationalises a computational model, such as a Python script, SQL query, or web service. Separating implementations from models allows the same computational logic to be realised through different technical means, facilitating reuse and platform independence.</w:t>
      </w:r>
    </w:p>
    <w:p>
      <w:r>
        <w:rPr>
          <w:b/>
        </w:rPr>
        <w:t xml:space="preserve">Dataset Variable. </w:t>
      </w:r>
      <w:r>
        <w:t>A Dataset Variable represents a raw or processed data field used in ESG computations. Examples include CO2_Scope1, Electricity_Consumed, and Employee_Count. Dataset variables are the atomic data elements from which metrics are derived.</w:t>
      </w:r>
    </w:p>
    <w:p>
      <w:r>
        <w:rPr>
          <w:b/>
        </w:rPr>
        <w:t xml:space="preserve">Data Source. </w:t>
      </w:r>
      <w:r>
        <w:t>A Data Source identifies where dataset variables originate. Data sources may be internal enterprise systems (e.g., ERP systems, sustainability management platforms) or external ESG data providers (e.g., Eurofidai, MSCI, Refinitiv).</w:t>
      </w:r>
    </w:p>
    <w:p>
      <w:pPr>
        <w:pStyle w:val="Heading2"/>
      </w:pPr>
      <w:r>
        <w:t>4.3.2 Relationships</w:t>
      </w:r>
    </w:p>
    <w:p>
      <w:r>
        <w:t>The eight core entities are connected through semantically meaningful relationships that enable navigation and traceability across the knowledge graph. Table 4.1 summarises these relationships.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Relationship</w:t>
            </w:r>
          </w:p>
        </w:tc>
        <w:tc>
          <w:tcPr>
            <w:tcW w:type="dxa" w:w="2160"/>
          </w:tcPr>
          <w:p>
            <w:r>
              <w:t>Domain</w:t>
            </w:r>
          </w:p>
        </w:tc>
        <w:tc>
          <w:tcPr>
            <w:tcW w:type="dxa" w:w="2160"/>
          </w:tcPr>
          <w:p>
            <w:r>
              <w:t>Range</w:t>
            </w:r>
          </w:p>
        </w:tc>
        <w:tc>
          <w:tcPr>
            <w:tcW w:type="dxa" w:w="2160"/>
          </w:tcPr>
          <w:p>
            <w:r>
              <w:t>Description</w:t>
            </w:r>
          </w:p>
        </w:tc>
      </w:tr>
      <w:tr>
        <w:tc>
          <w:tcPr>
            <w:tcW w:type="dxa" w:w="2160"/>
          </w:tcPr>
          <w:p>
            <w:r>
              <w:t>ReportsUsing</w:t>
            </w:r>
          </w:p>
        </w:tc>
        <w:tc>
          <w:tcPr>
            <w:tcW w:type="dxa" w:w="2160"/>
          </w:tcPr>
          <w:p>
            <w:r>
              <w:t>Industry</w:t>
            </w:r>
          </w:p>
        </w:tc>
        <w:tc>
          <w:tcPr>
            <w:tcW w:type="dxa" w:w="2160"/>
          </w:tcPr>
          <w:p>
            <w:r>
              <w:t>Framework</w:t>
            </w:r>
          </w:p>
        </w:tc>
        <w:tc>
          <w:tcPr>
            <w:tcW w:type="dxa" w:w="2160"/>
          </w:tcPr>
          <w:p>
            <w:r>
              <w:t>Industry reports using framework</w:t>
            </w:r>
          </w:p>
        </w:tc>
      </w:tr>
      <w:tr>
        <w:tc>
          <w:tcPr>
            <w:tcW w:type="dxa" w:w="2160"/>
          </w:tcPr>
          <w:p>
            <w:r>
              <w:t>Includes</w:t>
            </w:r>
          </w:p>
        </w:tc>
        <w:tc>
          <w:tcPr>
            <w:tcW w:type="dxa" w:w="2160"/>
          </w:tcPr>
          <w:p>
            <w:r>
              <w:t>Framework</w:t>
            </w:r>
          </w:p>
        </w:tc>
        <w:tc>
          <w:tcPr>
            <w:tcW w:type="dxa" w:w="2160"/>
          </w:tcPr>
          <w:p>
            <w:r>
              <w:t>Category</w:t>
            </w:r>
          </w:p>
        </w:tc>
        <w:tc>
          <w:tcPr>
            <w:tcW w:type="dxa" w:w="2160"/>
          </w:tcPr>
          <w:p>
            <w:r>
              <w:t>Framework includes categories</w:t>
            </w:r>
          </w:p>
        </w:tc>
      </w:tr>
      <w:tr>
        <w:tc>
          <w:tcPr>
            <w:tcW w:type="dxa" w:w="2160"/>
          </w:tcPr>
          <w:p>
            <w:r>
              <w:t>ConsistsOf</w:t>
            </w:r>
          </w:p>
        </w:tc>
        <w:tc>
          <w:tcPr>
            <w:tcW w:type="dxa" w:w="2160"/>
          </w:tcPr>
          <w:p>
            <w:r>
              <w:t>Category</w:t>
            </w:r>
          </w:p>
        </w:tc>
        <w:tc>
          <w:tcPr>
            <w:tcW w:type="dxa" w:w="2160"/>
          </w:tcPr>
          <w:p>
            <w:r>
              <w:t>Metric</w:t>
            </w:r>
          </w:p>
        </w:tc>
        <w:tc>
          <w:tcPr>
            <w:tcW w:type="dxa" w:w="2160"/>
          </w:tcPr>
          <w:p>
            <w:r>
              <w:t>Category consists of metrics</w:t>
            </w:r>
          </w:p>
        </w:tc>
      </w:tr>
      <w:tr>
        <w:tc>
          <w:tcPr>
            <w:tcW w:type="dxa" w:w="2160"/>
          </w:tcPr>
          <w:p>
            <w:r>
              <w:t>IsCalculatedBy</w:t>
            </w:r>
          </w:p>
        </w:tc>
        <w:tc>
          <w:tcPr>
            <w:tcW w:type="dxa" w:w="2160"/>
          </w:tcPr>
          <w:p>
            <w:r>
              <w:t>Metric</w:t>
            </w:r>
          </w:p>
        </w:tc>
        <w:tc>
          <w:tcPr>
            <w:tcW w:type="dxa" w:w="2160"/>
          </w:tcPr>
          <w:p>
            <w:r>
              <w:t>Model</w:t>
            </w:r>
          </w:p>
        </w:tc>
        <w:tc>
          <w:tcPr>
            <w:tcW w:type="dxa" w:w="2160"/>
          </w:tcPr>
          <w:p>
            <w:r>
              <w:t>Metric is calculated by model</w:t>
            </w:r>
          </w:p>
        </w:tc>
      </w:tr>
      <w:tr>
        <w:tc>
          <w:tcPr>
            <w:tcW w:type="dxa" w:w="2160"/>
          </w:tcPr>
          <w:p>
            <w:r>
              <w:t>RequiresInputFrom</w:t>
            </w:r>
          </w:p>
        </w:tc>
        <w:tc>
          <w:tcPr>
            <w:tcW w:type="dxa" w:w="2160"/>
          </w:tcPr>
          <w:p>
            <w:r>
              <w:t>Model</w:t>
            </w:r>
          </w:p>
        </w:tc>
        <w:tc>
          <w:tcPr>
            <w:tcW w:type="dxa" w:w="2160"/>
          </w:tcPr>
          <w:p>
            <w:r>
              <w:t>Metric / Variable</w:t>
            </w:r>
          </w:p>
        </w:tc>
        <w:tc>
          <w:tcPr>
            <w:tcW w:type="dxa" w:w="2160"/>
          </w:tcPr>
          <w:p>
            <w:r>
              <w:t>Model requires inputs</w:t>
            </w:r>
          </w:p>
        </w:tc>
      </w:tr>
      <w:tr>
        <w:tc>
          <w:tcPr>
            <w:tcW w:type="dxa" w:w="2160"/>
          </w:tcPr>
          <w:p>
            <w:r>
              <w:t>ExecutesWith</w:t>
            </w:r>
          </w:p>
        </w:tc>
        <w:tc>
          <w:tcPr>
            <w:tcW w:type="dxa" w:w="2160"/>
          </w:tcPr>
          <w:p>
            <w:r>
              <w:t>Model</w:t>
            </w:r>
          </w:p>
        </w:tc>
        <w:tc>
          <w:tcPr>
            <w:tcW w:type="dxa" w:w="2160"/>
          </w:tcPr>
          <w:p>
            <w:r>
              <w:t>Implementation</w:t>
            </w:r>
          </w:p>
        </w:tc>
        <w:tc>
          <w:tcPr>
            <w:tcW w:type="dxa" w:w="2160"/>
          </w:tcPr>
          <w:p>
            <w:r>
              <w:t>Model executes with implementation</w:t>
            </w:r>
          </w:p>
        </w:tc>
      </w:tr>
      <w:tr>
        <w:tc>
          <w:tcPr>
            <w:tcW w:type="dxa" w:w="2160"/>
          </w:tcPr>
          <w:p>
            <w:r>
              <w:t>ObtainedFrom</w:t>
            </w:r>
          </w:p>
        </w:tc>
        <w:tc>
          <w:tcPr>
            <w:tcW w:type="dxa" w:w="2160"/>
          </w:tcPr>
          <w:p>
            <w:r>
              <w:t>Metric</w:t>
            </w:r>
          </w:p>
        </w:tc>
        <w:tc>
          <w:tcPr>
            <w:tcW w:type="dxa" w:w="2160"/>
          </w:tcPr>
          <w:p>
            <w:r>
              <w:t>Variable</w:t>
            </w:r>
          </w:p>
        </w:tc>
        <w:tc>
          <w:tcPr>
            <w:tcW w:type="dxa" w:w="2160"/>
          </w:tcPr>
          <w:p>
            <w:r>
              <w:t>Metric obtained from variable</w:t>
            </w:r>
          </w:p>
        </w:tc>
      </w:tr>
      <w:tr>
        <w:tc>
          <w:tcPr>
            <w:tcW w:type="dxa" w:w="2160"/>
          </w:tcPr>
          <w:p>
            <w:r>
              <w:t>SourcesFrom</w:t>
            </w:r>
          </w:p>
        </w:tc>
        <w:tc>
          <w:tcPr>
            <w:tcW w:type="dxa" w:w="2160"/>
          </w:tcPr>
          <w:p>
            <w:r>
              <w:t>Variable</w:t>
            </w:r>
          </w:p>
        </w:tc>
        <w:tc>
          <w:tcPr>
            <w:tcW w:type="dxa" w:w="2160"/>
          </w:tcPr>
          <w:p>
            <w:r>
              <w:t>Data Source</w:t>
            </w:r>
          </w:p>
        </w:tc>
        <w:tc>
          <w:tcPr>
            <w:tcW w:type="dxa" w:w="2160"/>
          </w:tcPr>
          <w:p>
            <w:r>
              <w:t>Variable sources from data source</w:t>
            </w:r>
          </w:p>
        </w:tc>
      </w:tr>
    </w:tbl>
    <w:p/>
    <w:p>
      <w:r>
        <w:t>Table 4.1: ESGMKG relationships connecting core entities.</w:t>
      </w:r>
    </w:p>
    <w:p>
      <w:r>
        <w:t>These relationships collectively enable end-to-end traceability from industry-level reporting requirements down to the specific data fields that underpin reported outcomes. Notably, metrics support two derivation paths: the IsCalculatedBy relationship links metrics to computational models for complex derived indicators, while the ObtainedFrom relationship links metrics directly to dataset variables for simple measured values. This dual-path design reflects the reality that ESG reporting includes both computed aggregations and direct measurements.</w:t>
      </w:r>
    </w:p>
    <w:p>
      <w:pPr>
        <w:pStyle w:val="Heading2"/>
      </w:pPr>
      <w:r>
        <w:t>4.3.3 Schema Semantics and Traceability</w:t>
      </w:r>
    </w:p>
    <w:p>
      <w:r>
        <w:t>The ESGMKG schema is designed around the principle of semantic traceability. Every relationship forms part of a navigable chain that allows users to trace information from high-level reporting requirements down to raw data fields. This capability is essential for transparency and auditability in ESG reporting.</w:t>
      </w:r>
    </w:p>
    <w:p>
      <w:r>
        <w:t>The semantics of each relationship are carefully chosen to reflect the underlying domain meaning. For example, the relationship IsCalculatedBy between a metric and its model reinforces that metrics are derived through computation rather than directly observed. The relationship ObtainedFrom captures the alternative case where metrics represent direct measurements from dataset variables. The relationship RequiresInputFrom captures computational dependencies, while SourcesFrom emphasises data provenance. By grounding each relationship in a clear semantic role, ESGMKG ensures consistent interpretation across the ESG reporting lifecycle.</w:t>
      </w:r>
    </w:p>
    <w:p>
      <w:pPr>
        <w:pStyle w:val="Heading2"/>
      </w:pPr>
      <w:r>
        <w:t>4.3.4 Design Rationale</w:t>
      </w:r>
    </w:p>
    <w:p>
      <w:r>
        <w:t>Several key modelling decisions guide the design of ESGMKG:</w:t>
      </w:r>
    </w:p>
    <w:p>
      <w:r>
        <w:rPr>
          <w:b/>
        </w:rPr>
        <w:t xml:space="preserve">Separation of Metrics and Dataset Variables. </w:t>
      </w:r>
      <w:r>
        <w:t>Metrics are conceptually distinct from dataset variables. Metrics represent the quantities that organisations report, while dataset variables represent the underlying data fields from which metrics are derived. This separation allows metric definitions to remain stable even as data sources or computational methodologies evolve.</w:t>
      </w:r>
    </w:p>
    <w:p>
      <w:r>
        <w:rPr>
          <w:b/>
        </w:rPr>
        <w:t xml:space="preserve">Dual Derivation Paths for Metrics. </w:t>
      </w:r>
      <w:r>
        <w:t>Metrics can be derived through two alternative paths: calculation via models (IsCalculatedBy) or direct obtainment from dataset variables (ObtainedFrom). Both paths represent valid ways to derive a metric at the same conceptual level. This design reflects the reality that some ESG metrics require complex computation (e.g., carbon intensity per revenue) while others represent direct measurements (e.g., total water withdrawal).</w:t>
      </w:r>
    </w:p>
    <w:p>
      <w:r>
        <w:rPr>
          <w:b/>
        </w:rPr>
        <w:t xml:space="preserve">Data Domain Classification. </w:t>
      </w:r>
      <w:r>
        <w:t>The hasDataDomain property distinguishes between ESG and Financial data sources. This classification is essential for intensity metrics that combine numerators from ESG sources (e.g., emissions) with denominators from financial sources (e.g., revenue). By explicitly declaring data domains, the ontology ensures correct attribution and enables validation of cross-domain calculations.</w:t>
      </w:r>
    </w:p>
    <w:p>
      <w:r>
        <w:rPr>
          <w:b/>
        </w:rPr>
        <w:t xml:space="preserve">Explicit Representation of Models. </w:t>
      </w:r>
      <w:r>
        <w:t>Computational models are represented as first-class entities rather than embedded in metric definitions or external code. This design improves transparency by making computational logic explicit, enables model reuse across different metrics, and supports auditability by documenting how reported values are derived.</w:t>
      </w:r>
    </w:p>
    <w:p>
      <w:r>
        <w:rPr>
          <w:b/>
        </w:rPr>
        <w:t xml:space="preserve">Separation of Models and Implementations. </w:t>
      </w:r>
      <w:r>
        <w:t>Models capture abstract computational logic, while implementations represent concrete executable artefacts. This separation follows the principle of separating concerns and allows the same model to be realised through different technical implementations across different platforms or programming languages.</w:t>
      </w:r>
    </w:p>
    <w:p>
      <w:r>
        <w:rPr>
          <w:b/>
        </w:rPr>
        <w:t xml:space="preserve">Recursive Metric Composition. </w:t>
      </w:r>
      <w:r>
        <w:t>The RequiresInputFrom relationship allows models to take other metrics as inputs, enabling the representation of composite indicators. This recursive structure is essential for ESG reporting, where high-level metrics (e.g., overall environmental risk score) often depend on lower-level metrics (e.g., carbon emissions, water usage).</w:t>
      </w:r>
    </w:p>
    <w:p>
      <w:r>
        <w:rPr>
          <w:b/>
        </w:rPr>
        <w:t xml:space="preserve">Framework-Agnostic Design. </w:t>
      </w:r>
      <w:r>
        <w:t>ESGMKG is designed to be framework-agnostic, capable of representing metrics from IFRS, TCFD, SASB, GRI, or emerging frameworks without structural modification. This flexibility ensures that the knowledge graph can accommodate the evolving ESG regulatory landscape.</w:t>
      </w:r>
    </w:p>
    <w:p>
      <w:pPr>
        <w:pStyle w:val="Heading2"/>
      </w:pPr>
      <w:r>
        <w:t>4.3.5 Entity Schema Design</w:t>
      </w:r>
    </w:p>
    <w:p>
      <w:r>
        <w:t>This section presents the detailed schema design for each of the eight ESGMKG entities, specifying the key properties that characterise each entity type. Understanding these schemas is essential for implementing and extending the knowledge graph.</w:t>
      </w:r>
    </w:p>
    <w:p>
      <w:pPr>
        <w:pStyle w:val="Heading3"/>
      </w:pPr>
      <w:r>
        <w:t>4.3.5.1 Industry and Framework Entities</w:t>
      </w:r>
    </w:p>
    <w:p>
      <w:r>
        <w:t>The Industry entity represents a business sector classification. Table 4.7a presents the Industry schema.</w:t>
      </w:r>
    </w:p>
    <w:tbl>
      <w:tblPr>
        <w:tblStyle w:val="TableGrid"/>
        <w:tblW w:type="auto" w:w="0"/>
        <w:tblLook w:firstColumn="1" w:firstRow="1" w:lastColumn="0" w:lastRow="0" w:noHBand="0" w:noVBand="1" w:val="04A0"/>
      </w:tblPr>
      <w:tblGrid>
        <w:gridCol w:w="2880"/>
        <w:gridCol w:w="2880"/>
        <w:gridCol w:w="2880"/>
      </w:tblGrid>
      <w:tr>
        <w:tc>
          <w:tcPr>
            <w:tcW w:type="dxa" w:w="2880"/>
          </w:tcPr>
          <w:p>
            <w:r>
              <w:t>Property</w:t>
            </w:r>
          </w:p>
        </w:tc>
        <w:tc>
          <w:tcPr>
            <w:tcW w:type="dxa" w:w="2880"/>
          </w:tcPr>
          <w:p>
            <w:r>
              <w:t>Data Type</w:t>
            </w:r>
          </w:p>
        </w:tc>
        <w:tc>
          <w:tcPr>
            <w:tcW w:type="dxa" w:w="2880"/>
          </w:tcPr>
          <w:p>
            <w:r>
              <w:t>Description</w:t>
            </w:r>
          </w:p>
        </w:tc>
      </w:tr>
      <w:tr>
        <w:tc>
          <w:tcPr>
            <w:tcW w:type="dxa" w:w="2880"/>
          </w:tcPr>
          <w:p>
            <w:r>
              <w:t>rdfs:label</w:t>
            </w:r>
          </w:p>
        </w:tc>
        <w:tc>
          <w:tcPr>
            <w:tcW w:type="dxa" w:w="2880"/>
          </w:tcPr>
          <w:p>
            <w:r>
              <w:t>String</w:t>
            </w:r>
          </w:p>
        </w:tc>
        <w:tc>
          <w:tcPr>
            <w:tcW w:type="dxa" w:w="2880"/>
          </w:tcPr>
          <w:p>
            <w:r>
              <w:t>Industry name (e.g., "Semiconductors", "Commercial Banks")</w:t>
            </w:r>
          </w:p>
        </w:tc>
      </w:tr>
      <w:tr>
        <w:tc>
          <w:tcPr>
            <w:tcW w:type="dxa" w:w="2880"/>
          </w:tcPr>
          <w:p>
            <w:r>
              <w:t>esg:industryCode</w:t>
            </w:r>
          </w:p>
        </w:tc>
        <w:tc>
          <w:tcPr>
            <w:tcW w:type="dxa" w:w="2880"/>
          </w:tcPr>
          <w:p>
            <w:r>
              <w:t>String</w:t>
            </w:r>
          </w:p>
        </w:tc>
        <w:tc>
          <w:tcPr>
            <w:tcW w:type="dxa" w:w="2880"/>
          </w:tcPr>
          <w:p>
            <w:r>
              <w:t>Standard industry classification code</w:t>
            </w:r>
          </w:p>
        </w:tc>
      </w:tr>
      <w:tr>
        <w:tc>
          <w:tcPr>
            <w:tcW w:type="dxa" w:w="2880"/>
          </w:tcPr>
          <w:p>
            <w:r>
              <w:t>esg:reportsUsing</w:t>
            </w:r>
          </w:p>
        </w:tc>
        <w:tc>
          <w:tcPr>
            <w:tcW w:type="dxa" w:w="2880"/>
          </w:tcPr>
          <w:p>
            <w:r>
              <w:t>URI (Framework)</w:t>
            </w:r>
          </w:p>
        </w:tc>
        <w:tc>
          <w:tcPr>
            <w:tcW w:type="dxa" w:w="2880"/>
          </w:tcPr>
          <w:p>
            <w:r>
              <w:t>Links to applicable reporting framework</w:t>
            </w:r>
          </w:p>
        </w:tc>
      </w:tr>
    </w:tbl>
    <w:p/>
    <w:p>
      <w:r>
        <w:t>Table 4.7a: Industry entity schema.</w:t>
      </w:r>
    </w:p>
    <w:p>
      <w:r>
        <w:t>The ReportingFramework entity represents an ESG disclosure standard. Table 4.7b presents the schema.</w:t>
      </w:r>
    </w:p>
    <w:tbl>
      <w:tblPr>
        <w:tblStyle w:val="TableGrid"/>
        <w:tblW w:type="auto" w:w="0"/>
        <w:tblLook w:firstColumn="1" w:firstRow="1" w:lastColumn="0" w:lastRow="0" w:noHBand="0" w:noVBand="1" w:val="04A0"/>
      </w:tblPr>
      <w:tblGrid>
        <w:gridCol w:w="2880"/>
        <w:gridCol w:w="2880"/>
        <w:gridCol w:w="2880"/>
      </w:tblGrid>
      <w:tr>
        <w:tc>
          <w:tcPr>
            <w:tcW w:type="dxa" w:w="2880"/>
          </w:tcPr>
          <w:p>
            <w:r>
              <w:t>Property</w:t>
            </w:r>
          </w:p>
        </w:tc>
        <w:tc>
          <w:tcPr>
            <w:tcW w:type="dxa" w:w="2880"/>
          </w:tcPr>
          <w:p>
            <w:r>
              <w:t>Data Type</w:t>
            </w:r>
          </w:p>
        </w:tc>
        <w:tc>
          <w:tcPr>
            <w:tcW w:type="dxa" w:w="2880"/>
          </w:tcPr>
          <w:p>
            <w:r>
              <w:t>Description</w:t>
            </w:r>
          </w:p>
        </w:tc>
      </w:tr>
      <w:tr>
        <w:tc>
          <w:tcPr>
            <w:tcW w:type="dxa" w:w="2880"/>
          </w:tcPr>
          <w:p>
            <w:r>
              <w:t>rdfs:label</w:t>
            </w:r>
          </w:p>
        </w:tc>
        <w:tc>
          <w:tcPr>
            <w:tcW w:type="dxa" w:w="2880"/>
          </w:tcPr>
          <w:p>
            <w:r>
              <w:t>String</w:t>
            </w:r>
          </w:p>
        </w:tc>
        <w:tc>
          <w:tcPr>
            <w:tcW w:type="dxa" w:w="2880"/>
          </w:tcPr>
          <w:p>
            <w:r>
              <w:t>Framework name (e.g., "SASB Semiconductors")</w:t>
            </w:r>
          </w:p>
        </w:tc>
      </w:tr>
      <w:tr>
        <w:tc>
          <w:tcPr>
            <w:tcW w:type="dxa" w:w="2880"/>
          </w:tcPr>
          <w:p>
            <w:r>
              <w:t>esg:sourceDocument</w:t>
            </w:r>
          </w:p>
        </w:tc>
        <w:tc>
          <w:tcPr>
            <w:tcW w:type="dxa" w:w="2880"/>
          </w:tcPr>
          <w:p>
            <w:r>
              <w:t>String</w:t>
            </w:r>
          </w:p>
        </w:tc>
        <w:tc>
          <w:tcPr>
            <w:tcW w:type="dxa" w:w="2880"/>
          </w:tcPr>
          <w:p>
            <w:r>
              <w:t>Reference to official standard document</w:t>
            </w:r>
          </w:p>
        </w:tc>
      </w:tr>
      <w:tr>
        <w:tc>
          <w:tcPr>
            <w:tcW w:type="dxa" w:w="2880"/>
          </w:tcPr>
          <w:p>
            <w:r>
              <w:t>esg:frameworkVersion</w:t>
            </w:r>
          </w:p>
        </w:tc>
        <w:tc>
          <w:tcPr>
            <w:tcW w:type="dxa" w:w="2880"/>
          </w:tcPr>
          <w:p>
            <w:r>
              <w:t>String</w:t>
            </w:r>
          </w:p>
        </w:tc>
        <w:tc>
          <w:tcPr>
            <w:tcW w:type="dxa" w:w="2880"/>
          </w:tcPr>
          <w:p>
            <w:r>
              <w:t>Version identifier of the framework</w:t>
            </w:r>
          </w:p>
        </w:tc>
      </w:tr>
      <w:tr>
        <w:tc>
          <w:tcPr>
            <w:tcW w:type="dxa" w:w="2880"/>
          </w:tcPr>
          <w:p>
            <w:r>
              <w:t>esg:includes</w:t>
            </w:r>
          </w:p>
        </w:tc>
        <w:tc>
          <w:tcPr>
            <w:tcW w:type="dxa" w:w="2880"/>
          </w:tcPr>
          <w:p>
            <w:r>
              <w:t>URI (Category)</w:t>
            </w:r>
          </w:p>
        </w:tc>
        <w:tc>
          <w:tcPr>
            <w:tcW w:type="dxa" w:w="2880"/>
          </w:tcPr>
          <w:p>
            <w:r>
              <w:t>Links to disclosure categories within the framework</w:t>
            </w:r>
          </w:p>
        </w:tc>
      </w:tr>
    </w:tbl>
    <w:p/>
    <w:p>
      <w:r>
        <w:t>Table 4.7b: ReportingFramework entity schema.</w:t>
      </w:r>
    </w:p>
    <w:p>
      <w:pPr>
        <w:pStyle w:val="Heading3"/>
      </w:pPr>
      <w:r>
        <w:t>4.3.5.2 Category Entity</w:t>
      </w:r>
    </w:p>
    <w:p>
      <w:r>
        <w:t>The Category entity represents a disclosure topic grouping within a framework. Table 4.7c presents the schema.</w:t>
      </w:r>
    </w:p>
    <w:tbl>
      <w:tblPr>
        <w:tblStyle w:val="TableGrid"/>
        <w:tblW w:type="auto" w:w="0"/>
        <w:tblLook w:firstColumn="1" w:firstRow="1" w:lastColumn="0" w:lastRow="0" w:noHBand="0" w:noVBand="1" w:val="04A0"/>
      </w:tblPr>
      <w:tblGrid>
        <w:gridCol w:w="2880"/>
        <w:gridCol w:w="2880"/>
        <w:gridCol w:w="2880"/>
      </w:tblGrid>
      <w:tr>
        <w:tc>
          <w:tcPr>
            <w:tcW w:type="dxa" w:w="2880"/>
          </w:tcPr>
          <w:p>
            <w:r>
              <w:t>Property</w:t>
            </w:r>
          </w:p>
        </w:tc>
        <w:tc>
          <w:tcPr>
            <w:tcW w:type="dxa" w:w="2880"/>
          </w:tcPr>
          <w:p>
            <w:r>
              <w:t>Data Type</w:t>
            </w:r>
          </w:p>
        </w:tc>
        <w:tc>
          <w:tcPr>
            <w:tcW w:type="dxa" w:w="2880"/>
          </w:tcPr>
          <w:p>
            <w:r>
              <w:t>Description</w:t>
            </w:r>
          </w:p>
        </w:tc>
      </w:tr>
      <w:tr>
        <w:tc>
          <w:tcPr>
            <w:tcW w:type="dxa" w:w="2880"/>
          </w:tcPr>
          <w:p>
            <w:r>
              <w:t>rdfs:label</w:t>
            </w:r>
          </w:p>
        </w:tc>
        <w:tc>
          <w:tcPr>
            <w:tcW w:type="dxa" w:w="2880"/>
          </w:tcPr>
          <w:p>
            <w:r>
              <w:t>String</w:t>
            </w:r>
          </w:p>
        </w:tc>
        <w:tc>
          <w:tcPr>
            <w:tcW w:type="dxa" w:w="2880"/>
          </w:tcPr>
          <w:p>
            <w:r>
              <w:t>Category name (e.g., "Greenhouse Gas Emissions")</w:t>
            </w:r>
          </w:p>
        </w:tc>
      </w:tr>
      <w:tr>
        <w:tc>
          <w:tcPr>
            <w:tcW w:type="dxa" w:w="2880"/>
          </w:tcPr>
          <w:p>
            <w:r>
              <w:t>esg:categoryCode</w:t>
            </w:r>
          </w:p>
        </w:tc>
        <w:tc>
          <w:tcPr>
            <w:tcW w:type="dxa" w:w="2880"/>
          </w:tcPr>
          <w:p>
            <w:r>
              <w:t>String</w:t>
            </w:r>
          </w:p>
        </w:tc>
        <w:tc>
          <w:tcPr>
            <w:tcW w:type="dxa" w:w="2880"/>
          </w:tcPr>
          <w:p>
            <w:r>
              <w:t>Standard category identifier</w:t>
            </w:r>
          </w:p>
        </w:tc>
      </w:tr>
      <w:tr>
        <w:tc>
          <w:tcPr>
            <w:tcW w:type="dxa" w:w="2880"/>
          </w:tcPr>
          <w:p>
            <w:r>
              <w:t>esg:consistsOf</w:t>
            </w:r>
          </w:p>
        </w:tc>
        <w:tc>
          <w:tcPr>
            <w:tcW w:type="dxa" w:w="2880"/>
          </w:tcPr>
          <w:p>
            <w:r>
              <w:t>URI (Metric)</w:t>
            </w:r>
          </w:p>
        </w:tc>
        <w:tc>
          <w:tcPr>
            <w:tcW w:type="dxa" w:w="2880"/>
          </w:tcPr>
          <w:p>
            <w:r>
              <w:t>Links to metrics within this category</w:t>
            </w:r>
          </w:p>
        </w:tc>
      </w:tr>
    </w:tbl>
    <w:p/>
    <w:p>
      <w:r>
        <w:t>Table 4.7c: Category entity schema.</w:t>
      </w:r>
    </w:p>
    <w:p>
      <w:pPr>
        <w:pStyle w:val="Heading3"/>
      </w:pPr>
      <w:r>
        <w:t>4.3.5.3 Model and Implementation Entities</w:t>
      </w:r>
    </w:p>
    <w:p>
      <w:r>
        <w:t>The Model entity captures computational logic for derived metrics. Table 4.7d presents the schema.</w:t>
      </w:r>
    </w:p>
    <w:tbl>
      <w:tblPr>
        <w:tblStyle w:val="TableGrid"/>
        <w:tblW w:type="auto" w:w="0"/>
        <w:tblLook w:firstColumn="1" w:firstRow="1" w:lastColumn="0" w:lastRow="0" w:noHBand="0" w:noVBand="1" w:val="04A0"/>
      </w:tblPr>
      <w:tblGrid>
        <w:gridCol w:w="2880"/>
        <w:gridCol w:w="2880"/>
        <w:gridCol w:w="2880"/>
      </w:tblGrid>
      <w:tr>
        <w:tc>
          <w:tcPr>
            <w:tcW w:type="dxa" w:w="2880"/>
          </w:tcPr>
          <w:p>
            <w:r>
              <w:t>Property</w:t>
            </w:r>
          </w:p>
        </w:tc>
        <w:tc>
          <w:tcPr>
            <w:tcW w:type="dxa" w:w="2880"/>
          </w:tcPr>
          <w:p>
            <w:r>
              <w:t>Data Type</w:t>
            </w:r>
          </w:p>
        </w:tc>
        <w:tc>
          <w:tcPr>
            <w:tcW w:type="dxa" w:w="2880"/>
          </w:tcPr>
          <w:p>
            <w:r>
              <w:t>Description</w:t>
            </w:r>
          </w:p>
        </w:tc>
      </w:tr>
      <w:tr>
        <w:tc>
          <w:tcPr>
            <w:tcW w:type="dxa" w:w="2880"/>
          </w:tcPr>
          <w:p>
            <w:r>
              <w:t>rdfs:label</w:t>
            </w:r>
          </w:p>
        </w:tc>
        <w:tc>
          <w:tcPr>
            <w:tcW w:type="dxa" w:w="2880"/>
          </w:tcPr>
          <w:p>
            <w:r>
              <w:t>String</w:t>
            </w:r>
          </w:p>
        </w:tc>
        <w:tc>
          <w:tcPr>
            <w:tcW w:type="dxa" w:w="2880"/>
          </w:tcPr>
          <w:p>
            <w:r>
              <w:t>Model name (e.g., "GHGEmissionIntensityModel")</w:t>
            </w:r>
          </w:p>
        </w:tc>
      </w:tr>
      <w:tr>
        <w:tc>
          <w:tcPr>
            <w:tcW w:type="dxa" w:w="2880"/>
          </w:tcPr>
          <w:p>
            <w:r>
              <w:t>esg:formula</w:t>
            </w:r>
          </w:p>
        </w:tc>
        <w:tc>
          <w:tcPr>
            <w:tcW w:type="dxa" w:w="2880"/>
          </w:tcPr>
          <w:p>
            <w:r>
              <w:t>String</w:t>
            </w:r>
          </w:p>
        </w:tc>
        <w:tc>
          <w:tcPr>
            <w:tcW w:type="dxa" w:w="2880"/>
          </w:tcPr>
          <w:p>
            <w:r>
              <w:t>Mathematical formula (e.g., "(scope1 + scope2) / revenue")</w:t>
            </w:r>
          </w:p>
        </w:tc>
      </w:tr>
      <w:tr>
        <w:tc>
          <w:tcPr>
            <w:tcW w:type="dxa" w:w="2880"/>
          </w:tcPr>
          <w:p>
            <w:r>
              <w:t>esg:calculationType</w:t>
            </w:r>
          </w:p>
        </w:tc>
        <w:tc>
          <w:tcPr>
            <w:tcW w:type="dxa" w:w="2880"/>
          </w:tcPr>
          <w:p>
            <w:r>
              <w:t>String</w:t>
            </w:r>
          </w:p>
        </w:tc>
        <w:tc>
          <w:tcPr>
            <w:tcW w:type="dxa" w:w="2880"/>
          </w:tcPr>
          <w:p>
            <w:r>
              <w:t>Type of calculation (e.g., "intensity_ratio", "percentage")</w:t>
            </w:r>
          </w:p>
        </w:tc>
      </w:tr>
      <w:tr>
        <w:tc>
          <w:tcPr>
            <w:tcW w:type="dxa" w:w="2880"/>
          </w:tcPr>
          <w:p>
            <w:r>
              <w:t>esg:requiresInputFrom</w:t>
            </w:r>
          </w:p>
        </w:tc>
        <w:tc>
          <w:tcPr>
            <w:tcW w:type="dxa" w:w="2880"/>
          </w:tcPr>
          <w:p>
            <w:r>
              <w:t>URI (Metric/Variable)</w:t>
            </w:r>
          </w:p>
        </w:tc>
        <w:tc>
          <w:tcPr>
            <w:tcW w:type="dxa" w:w="2880"/>
          </w:tcPr>
          <w:p>
            <w:r>
              <w:t>Links to required inputs</w:t>
            </w:r>
          </w:p>
        </w:tc>
      </w:tr>
      <w:tr>
        <w:tc>
          <w:tcPr>
            <w:tcW w:type="dxa" w:w="2880"/>
          </w:tcPr>
          <w:p>
            <w:r>
              <w:t>esg:executesWith</w:t>
            </w:r>
          </w:p>
        </w:tc>
        <w:tc>
          <w:tcPr>
            <w:tcW w:type="dxa" w:w="2880"/>
          </w:tcPr>
          <w:p>
            <w:r>
              <w:t>URI (Implementation)</w:t>
            </w:r>
          </w:p>
        </w:tc>
        <w:tc>
          <w:tcPr>
            <w:tcW w:type="dxa" w:w="2880"/>
          </w:tcPr>
          <w:p>
            <w:r>
              <w:t>Links to executable implementation</w:t>
            </w:r>
          </w:p>
        </w:tc>
      </w:tr>
    </w:tbl>
    <w:p/>
    <w:p>
      <w:r>
        <w:t>Table 4.7d: Model entity schema.</w:t>
      </w:r>
    </w:p>
    <w:p>
      <w:r>
        <w:t>The Implementation entity represents executable code. Table 4.7e presents the schema.</w:t>
      </w:r>
    </w:p>
    <w:tbl>
      <w:tblPr>
        <w:tblStyle w:val="TableGrid"/>
        <w:tblW w:type="auto" w:w="0"/>
        <w:tblLook w:firstColumn="1" w:firstRow="1" w:lastColumn="0" w:lastRow="0" w:noHBand="0" w:noVBand="1" w:val="04A0"/>
      </w:tblPr>
      <w:tblGrid>
        <w:gridCol w:w="2880"/>
        <w:gridCol w:w="2880"/>
        <w:gridCol w:w="2880"/>
      </w:tblGrid>
      <w:tr>
        <w:tc>
          <w:tcPr>
            <w:tcW w:type="dxa" w:w="2880"/>
          </w:tcPr>
          <w:p>
            <w:r>
              <w:t>Property</w:t>
            </w:r>
          </w:p>
        </w:tc>
        <w:tc>
          <w:tcPr>
            <w:tcW w:type="dxa" w:w="2880"/>
          </w:tcPr>
          <w:p>
            <w:r>
              <w:t>Data Type</w:t>
            </w:r>
          </w:p>
        </w:tc>
        <w:tc>
          <w:tcPr>
            <w:tcW w:type="dxa" w:w="2880"/>
          </w:tcPr>
          <w:p>
            <w:r>
              <w:t>Description</w:t>
            </w:r>
          </w:p>
        </w:tc>
      </w:tr>
      <w:tr>
        <w:tc>
          <w:tcPr>
            <w:tcW w:type="dxa" w:w="2880"/>
          </w:tcPr>
          <w:p>
            <w:r>
              <w:t>rdfs:label</w:t>
            </w:r>
          </w:p>
        </w:tc>
        <w:tc>
          <w:tcPr>
            <w:tcW w:type="dxa" w:w="2880"/>
          </w:tcPr>
          <w:p>
            <w:r>
              <w:t>String</w:t>
            </w:r>
          </w:p>
        </w:tc>
        <w:tc>
          <w:tcPr>
            <w:tcW w:type="dxa" w:w="2880"/>
          </w:tcPr>
          <w:p>
            <w:r>
              <w:t>Implementation name</w:t>
            </w:r>
          </w:p>
        </w:tc>
      </w:tr>
      <w:tr>
        <w:tc>
          <w:tcPr>
            <w:tcW w:type="dxa" w:w="2880"/>
          </w:tcPr>
          <w:p>
            <w:r>
              <w:t>esg:filePath</w:t>
            </w:r>
          </w:p>
        </w:tc>
        <w:tc>
          <w:tcPr>
            <w:tcW w:type="dxa" w:w="2880"/>
          </w:tcPr>
          <w:p>
            <w:r>
              <w:t>String</w:t>
            </w:r>
          </w:p>
        </w:tc>
        <w:tc>
          <w:tcPr>
            <w:tcW w:type="dxa" w:w="2880"/>
          </w:tcPr>
          <w:p>
            <w:r>
              <w:t>Path to executable file</w:t>
            </w:r>
          </w:p>
        </w:tc>
      </w:tr>
      <w:tr>
        <w:tc>
          <w:tcPr>
            <w:tcW w:type="dxa" w:w="2880"/>
          </w:tcPr>
          <w:p>
            <w:r>
              <w:t>esg:functionName</w:t>
            </w:r>
          </w:p>
        </w:tc>
        <w:tc>
          <w:tcPr>
            <w:tcW w:type="dxa" w:w="2880"/>
          </w:tcPr>
          <w:p>
            <w:r>
              <w:t>String</w:t>
            </w:r>
          </w:p>
        </w:tc>
        <w:tc>
          <w:tcPr>
            <w:tcW w:type="dxa" w:w="2880"/>
          </w:tcPr>
          <w:p>
            <w:r>
              <w:t>Name of callable function</w:t>
            </w:r>
          </w:p>
        </w:tc>
      </w:tr>
      <w:tr>
        <w:tc>
          <w:tcPr>
            <w:tcW w:type="dxa" w:w="2880"/>
          </w:tcPr>
          <w:p>
            <w:r>
              <w:t>esg:language</w:t>
            </w:r>
          </w:p>
        </w:tc>
        <w:tc>
          <w:tcPr>
            <w:tcW w:type="dxa" w:w="2880"/>
          </w:tcPr>
          <w:p>
            <w:r>
              <w:t>String</w:t>
            </w:r>
          </w:p>
        </w:tc>
        <w:tc>
          <w:tcPr>
            <w:tcW w:type="dxa" w:w="2880"/>
          </w:tcPr>
          <w:p>
            <w:r>
              <w:t>Programming language (e.g., "Python")</w:t>
            </w:r>
          </w:p>
        </w:tc>
      </w:tr>
    </w:tbl>
    <w:p/>
    <w:p>
      <w:r>
        <w:t>Table 4.7e: Implementation entity schema.</w:t>
      </w:r>
    </w:p>
    <w:p>
      <w:pPr>
        <w:pStyle w:val="Heading3"/>
      </w:pPr>
      <w:r>
        <w:t>4.3.5.4 DatasetVariable and DataSource Entities</w:t>
      </w:r>
    </w:p>
    <w:p>
      <w:r>
        <w:t>The DatasetVariable entity represents a raw data field. Table 4.7f presents the schema.</w:t>
      </w:r>
    </w:p>
    <w:tbl>
      <w:tblPr>
        <w:tblStyle w:val="TableGrid"/>
        <w:tblW w:type="auto" w:w="0"/>
        <w:tblLook w:firstColumn="1" w:firstRow="1" w:lastColumn="0" w:lastRow="0" w:noHBand="0" w:noVBand="1" w:val="04A0"/>
      </w:tblPr>
      <w:tblGrid>
        <w:gridCol w:w="2880"/>
        <w:gridCol w:w="2880"/>
        <w:gridCol w:w="2880"/>
      </w:tblGrid>
      <w:tr>
        <w:tc>
          <w:tcPr>
            <w:tcW w:type="dxa" w:w="2880"/>
          </w:tcPr>
          <w:p>
            <w:r>
              <w:t>Property</w:t>
            </w:r>
          </w:p>
        </w:tc>
        <w:tc>
          <w:tcPr>
            <w:tcW w:type="dxa" w:w="2880"/>
          </w:tcPr>
          <w:p>
            <w:r>
              <w:t>Data Type</w:t>
            </w:r>
          </w:p>
        </w:tc>
        <w:tc>
          <w:tcPr>
            <w:tcW w:type="dxa" w:w="2880"/>
          </w:tcPr>
          <w:p>
            <w:r>
              <w:t>Description</w:t>
            </w:r>
          </w:p>
        </w:tc>
      </w:tr>
      <w:tr>
        <w:tc>
          <w:tcPr>
            <w:tcW w:type="dxa" w:w="2880"/>
          </w:tcPr>
          <w:p>
            <w:r>
              <w:t>rdfs:label</w:t>
            </w:r>
          </w:p>
        </w:tc>
        <w:tc>
          <w:tcPr>
            <w:tcW w:type="dxa" w:w="2880"/>
          </w:tcPr>
          <w:p>
            <w:r>
              <w:t>String</w:t>
            </w:r>
          </w:p>
        </w:tc>
        <w:tc>
          <w:tcPr>
            <w:tcW w:type="dxa" w:w="2880"/>
          </w:tcPr>
          <w:p>
            <w:r>
              <w:t>Variable label (e.g., "CO2 Direct Scope 1")</w:t>
            </w:r>
          </w:p>
        </w:tc>
      </w:tr>
      <w:tr>
        <w:tc>
          <w:tcPr>
            <w:tcW w:type="dxa" w:w="2880"/>
          </w:tcPr>
          <w:p>
            <w:r>
              <w:t>esg:variableName</w:t>
            </w:r>
          </w:p>
        </w:tc>
        <w:tc>
          <w:tcPr>
            <w:tcW w:type="dxa" w:w="2880"/>
          </w:tcPr>
          <w:p>
            <w:r>
              <w:t>String</w:t>
            </w:r>
          </w:p>
        </w:tc>
        <w:tc>
          <w:tcPr>
            <w:tcW w:type="dxa" w:w="2880"/>
          </w:tcPr>
          <w:p>
            <w:r>
              <w:t>Technical variable name (e.g., "CO2DIRECTSCOPE1")</w:t>
            </w:r>
          </w:p>
        </w:tc>
      </w:tr>
      <w:tr>
        <w:tc>
          <w:tcPr>
            <w:tcW w:type="dxa" w:w="2880"/>
          </w:tcPr>
          <w:p>
            <w:r>
              <w:t>esg:alignmentReason</w:t>
            </w:r>
          </w:p>
        </w:tc>
        <w:tc>
          <w:tcPr>
            <w:tcW w:type="dxa" w:w="2880"/>
          </w:tcPr>
          <w:p>
            <w:r>
              <w:t>String</w:t>
            </w:r>
          </w:p>
        </w:tc>
        <w:tc>
          <w:tcPr>
            <w:tcW w:type="dxa" w:w="2880"/>
          </w:tcPr>
          <w:p>
            <w:r>
              <w:t>Explanation of how variable maps to SASB requirements</w:t>
            </w:r>
          </w:p>
        </w:tc>
      </w:tr>
      <w:tr>
        <w:tc>
          <w:tcPr>
            <w:tcW w:type="dxa" w:w="2880"/>
          </w:tcPr>
          <w:p>
            <w:r>
              <w:t>esg:confidenceScore</w:t>
            </w:r>
          </w:p>
        </w:tc>
        <w:tc>
          <w:tcPr>
            <w:tcW w:type="dxa" w:w="2880"/>
          </w:tcPr>
          <w:p>
            <w:r>
              <w:t>Decimal</w:t>
            </w:r>
          </w:p>
        </w:tc>
        <w:tc>
          <w:tcPr>
            <w:tcW w:type="dxa" w:w="2880"/>
          </w:tcPr>
          <w:p>
            <w:r>
              <w:t>Mapping reliability score (0-100)</w:t>
            </w:r>
          </w:p>
        </w:tc>
      </w:tr>
      <w:tr>
        <w:tc>
          <w:tcPr>
            <w:tcW w:type="dxa" w:w="2880"/>
          </w:tcPr>
          <w:p>
            <w:r>
              <w:t>esg:sourcesFrom</w:t>
            </w:r>
          </w:p>
        </w:tc>
        <w:tc>
          <w:tcPr>
            <w:tcW w:type="dxa" w:w="2880"/>
          </w:tcPr>
          <w:p>
            <w:r>
              <w:t>URI (DataSource)</w:t>
            </w:r>
          </w:p>
        </w:tc>
        <w:tc>
          <w:tcPr>
            <w:tcW w:type="dxa" w:w="2880"/>
          </w:tcPr>
          <w:p>
            <w:r>
              <w:t>Links to originating data source</w:t>
            </w:r>
          </w:p>
        </w:tc>
      </w:tr>
    </w:tbl>
    <w:p/>
    <w:p>
      <w:r>
        <w:t>Table 4.7f: DatasetVariable entity schema.</w:t>
      </w:r>
    </w:p>
    <w:p>
      <w:r>
        <w:t>The DataSource entity identifies data origins. Table 4.7g presents the schema.</w:t>
      </w:r>
    </w:p>
    <w:tbl>
      <w:tblPr>
        <w:tblStyle w:val="TableGrid"/>
        <w:tblW w:type="auto" w:w="0"/>
        <w:tblLook w:firstColumn="1" w:firstRow="1" w:lastColumn="0" w:lastRow="0" w:noHBand="0" w:noVBand="1" w:val="04A0"/>
      </w:tblPr>
      <w:tblGrid>
        <w:gridCol w:w="2880"/>
        <w:gridCol w:w="2880"/>
        <w:gridCol w:w="2880"/>
      </w:tblGrid>
      <w:tr>
        <w:tc>
          <w:tcPr>
            <w:tcW w:type="dxa" w:w="2880"/>
          </w:tcPr>
          <w:p>
            <w:r>
              <w:t>Property</w:t>
            </w:r>
          </w:p>
        </w:tc>
        <w:tc>
          <w:tcPr>
            <w:tcW w:type="dxa" w:w="2880"/>
          </w:tcPr>
          <w:p>
            <w:r>
              <w:t>Data Type</w:t>
            </w:r>
          </w:p>
        </w:tc>
        <w:tc>
          <w:tcPr>
            <w:tcW w:type="dxa" w:w="2880"/>
          </w:tcPr>
          <w:p>
            <w:r>
              <w:t>Description</w:t>
            </w:r>
          </w:p>
        </w:tc>
      </w:tr>
      <w:tr>
        <w:tc>
          <w:tcPr>
            <w:tcW w:type="dxa" w:w="2880"/>
          </w:tcPr>
          <w:p>
            <w:r>
              <w:t>rdfs:label</w:t>
            </w:r>
          </w:p>
        </w:tc>
        <w:tc>
          <w:tcPr>
            <w:tcW w:type="dxa" w:w="2880"/>
          </w:tcPr>
          <w:p>
            <w:r>
              <w:t>String</w:t>
            </w:r>
          </w:p>
        </w:tc>
        <w:tc>
          <w:tcPr>
            <w:tcW w:type="dxa" w:w="2880"/>
          </w:tcPr>
          <w:p>
            <w:r>
              <w:t>Data source name (e.g., "Eurofidai", "WRDS")</w:t>
            </w:r>
          </w:p>
        </w:tc>
      </w:tr>
      <w:tr>
        <w:tc>
          <w:tcPr>
            <w:tcW w:type="dxa" w:w="2880"/>
          </w:tcPr>
          <w:p>
            <w:r>
              <w:t>esg:provider</w:t>
            </w:r>
          </w:p>
        </w:tc>
        <w:tc>
          <w:tcPr>
            <w:tcW w:type="dxa" w:w="2880"/>
          </w:tcPr>
          <w:p>
            <w:r>
              <w:t>String</w:t>
            </w:r>
          </w:p>
        </w:tc>
        <w:tc>
          <w:tcPr>
            <w:tcW w:type="dxa" w:w="2880"/>
          </w:tcPr>
          <w:p>
            <w:r>
              <w:t>Organisation providing the data</w:t>
            </w:r>
          </w:p>
        </w:tc>
      </w:tr>
      <w:tr>
        <w:tc>
          <w:tcPr>
            <w:tcW w:type="dxa" w:w="2880"/>
          </w:tcPr>
          <w:p>
            <w:r>
              <w:t>esg:dataFormat</w:t>
            </w:r>
          </w:p>
        </w:tc>
        <w:tc>
          <w:tcPr>
            <w:tcW w:type="dxa" w:w="2880"/>
          </w:tcPr>
          <w:p>
            <w:r>
              <w:t>String</w:t>
            </w:r>
          </w:p>
        </w:tc>
        <w:tc>
          <w:tcPr>
            <w:tcW w:type="dxa" w:w="2880"/>
          </w:tcPr>
          <w:p>
            <w:r>
              <w:t>Format of source data (e.g., "CSV")</w:t>
            </w:r>
          </w:p>
        </w:tc>
      </w:tr>
      <w:tr>
        <w:tc>
          <w:tcPr>
            <w:tcW w:type="dxa" w:w="2880"/>
          </w:tcPr>
          <w:p>
            <w:r>
              <w:t>esg:accessMethod</w:t>
            </w:r>
          </w:p>
        </w:tc>
        <w:tc>
          <w:tcPr>
            <w:tcW w:type="dxa" w:w="2880"/>
          </w:tcPr>
          <w:p>
            <w:r>
              <w:t>String</w:t>
            </w:r>
          </w:p>
        </w:tc>
        <w:tc>
          <w:tcPr>
            <w:tcW w:type="dxa" w:w="2880"/>
          </w:tcPr>
          <w:p>
            <w:r>
              <w:t>How data is accessed (e.g., "file", "API")</w:t>
            </w:r>
          </w:p>
        </w:tc>
      </w:tr>
    </w:tbl>
    <w:p/>
    <w:p>
      <w:r>
        <w:t>Table 4.7g: DataSource entity schema.</w:t>
      </w:r>
    </w:p>
    <w:p>
      <w:pPr>
        <w:pStyle w:val="Heading2"/>
      </w:pPr>
      <w:r>
        <w:t>4.3.6 Metric Schema Design</w:t>
      </w:r>
    </w:p>
    <w:p>
      <w:r>
        <w:t>The Metric entity is central to ESGMKG and requires careful schema design to accurately represent the diverse ways ESG metrics are defined, derived, and sourced. This section presents the metric schema design, clarifying the classification approach and the key properties that characterise each metric.</w:t>
      </w:r>
    </w:p>
    <w:p>
      <w:pPr>
        <w:pStyle w:val="Heading3"/>
      </w:pPr>
      <w:r>
        <w:t>4.3.6.1 Metric Classification by Derivation Method</w:t>
      </w:r>
    </w:p>
    <w:p>
      <w:r>
        <w:t>A fundamental design decision in ESGMKG is the classification of metrics by their derivation method. Rather than creating separate entity types for different kinds of metrics, ESGMKG uses a single Metric entity with a hasCalculationMethod property that indicates how the metric value is obtained. This approach provides several advantages: it maintains a unified metric representation, enables consistent querying across all metrics, and allows the same metric to potentially support multiple derivation methods in different contexts.</w:t>
      </w:r>
    </w:p>
    <w:p>
      <w:r>
        <w:t>The hasCalculationMethod property accepts two values:</w:t>
      </w:r>
    </w:p>
    <w:p>
      <w:r>
        <w:rPr>
          <w:b/>
        </w:rPr>
        <w:t xml:space="preserve">direct_measurement: </w:t>
      </w:r>
      <w:r>
        <w:t>The metric value is obtained directly from a dataset variable without requiring computation. Direct measurement metrics use the ObtainedFrom relationship to link to their source DatasetVariable. Examples include total water withdrawal, total energy consumed, and gross Scope 1 emissions, where the reported value comes directly from measured or reported data.</w:t>
      </w:r>
    </w:p>
    <w:p>
      <w:r>
        <w:rPr>
          <w:b/>
        </w:rPr>
        <w:t xml:space="preserve">calculation_model: </w:t>
      </w:r>
      <w:r>
        <w:t>The metric value is derived through a computational model that transforms or aggregates input data. Calculated metrics use the IsCalculatedBy relationship to link to their Model entity. Examples include GHG emission intensity (emissions divided by revenue), percentage of renewable energy (renewable energy divided by total energy), and water stress ratios.</w:t>
      </w:r>
    </w:p>
    <w:p>
      <w:r>
        <w:t>Figure 4.2 illustrates both derivation paths through a comprehensive example. The left side demonstrates the calculated metric path with recursive resolution: an aggregate metric (EnvironmentalRiskMetric) depends on component metrics (GHGEmissionIntensity and AirQualityPollutant), which themselves require inputs from metrics across ESG and Financial domains, ultimately traced to dataset variables and data sources. The right side shows the direct metric path: TotalWaterConsumed is obtained directly from a dataset variable without requiring any computational model. Both paths represent valid approaches—they are alternative ways to derive a metric value, not a hierarchy of metric types.</w:t>
      </w:r>
    </w:p>
    <w:p>
      <w:r>
        <w:t>[FIGURE 4.2: Metric derivation paths showing calculated metric path with recursive resolution (left) and direct metric path (right).]</w:t>
      </w:r>
    </w:p>
    <w:p>
      <w:pPr>
        <w:pStyle w:val="Heading3"/>
      </w:pPr>
      <w:r>
        <w:t>4.3.6.2 Data Domain Classification</w:t>
      </w:r>
    </w:p>
    <w:p>
      <w:r>
        <w:t>ESG intensity metrics often require data from multiple domains. For example, GHG emission intensity is calculated as total emissions (an ESG metric) divided by revenue (a financial metric). To support such cross-domain calculations while maintaining clear data provenance, ESGMKG introduces the hasDataDomain property.</w:t>
      </w:r>
    </w:p>
    <w:p>
      <w:r>
        <w:t>The hasDataDomain property accepts two values:</w:t>
      </w:r>
    </w:p>
    <w:p>
      <w:r>
        <w:rPr>
          <w:b/>
        </w:rPr>
        <w:t xml:space="preserve">ESG: </w:t>
      </w:r>
      <w:r>
        <w:t>The metric is derived from environmental, social, or governance data sources. ESG domain metrics include emissions data, water consumption, energy usage, waste generation, and similar sustainability measurements. These metrics are typically sourced from ESG data providers such as Eurofidai, MSCI, or corporate sustainability reports.</w:t>
      </w:r>
    </w:p>
    <w:p>
      <w:r>
        <w:rPr>
          <w:b/>
        </w:rPr>
        <w:t xml:space="preserve">Financial: </w:t>
      </w:r>
      <w:r>
        <w:t>The metric is derived from financial data sources. Financial domain metrics include revenue, total assets, market capitalisation, and similar financial measurements. These metrics are typically sourced from financial data providers such as WRDS, Bloomberg, or corporate financial statements.</w:t>
      </w:r>
    </w:p>
    <w:p>
      <w:r>
        <w:t>The hasDataDomain property serves several purposes:</w:t>
      </w:r>
    </w:p>
    <w:p>
      <w:pPr>
        <w:pStyle w:val="ListBullet"/>
      </w:pPr>
      <w:r>
        <w:t>Data Provenance: Clearly identifies the source domain for each metric, enabling audit trails that distinguish between ESG and financial data origins.</w:t>
      </w:r>
    </w:p>
    <w:p>
      <w:pPr>
        <w:pStyle w:val="ListBullet"/>
      </w:pPr>
      <w:r>
        <w:t>Data Integration: Guides the system in routing data requests to appropriate data sources (ESG repositories vs. financial repositories).</w:t>
      </w:r>
    </w:p>
    <w:p>
      <w:pPr>
        <w:pStyle w:val="ListBullet"/>
      </w:pPr>
      <w:r>
        <w:t>Validation: Enables validation rules that ensure intensity calculations correctly combine ESG numerators with financial denominators.</w:t>
      </w:r>
    </w:p>
    <w:p>
      <w:pPr>
        <w:pStyle w:val="Heading3"/>
      </w:pPr>
      <w:r>
        <w:t>4.3.6.3 Metric Schema Summary</w:t>
      </w:r>
    </w:p>
    <w:p>
      <w:r>
        <w:t>Table 4.8 summarises the key properties of the Metric entity in ESGMKG.</w:t>
      </w:r>
    </w:p>
    <w:tbl>
      <w:tblPr>
        <w:tblStyle w:val="TableGrid"/>
        <w:tblW w:type="auto" w:w="0"/>
        <w:tblLook w:firstColumn="1" w:firstRow="1" w:lastColumn="0" w:lastRow="0" w:noHBand="0" w:noVBand="1" w:val="04A0"/>
      </w:tblPr>
      <w:tblGrid>
        <w:gridCol w:w="2880"/>
        <w:gridCol w:w="2880"/>
        <w:gridCol w:w="2880"/>
      </w:tblGrid>
      <w:tr>
        <w:tc>
          <w:tcPr>
            <w:tcW w:type="dxa" w:w="2880"/>
          </w:tcPr>
          <w:p>
            <w:r>
              <w:t>Property</w:t>
            </w:r>
          </w:p>
        </w:tc>
        <w:tc>
          <w:tcPr>
            <w:tcW w:type="dxa" w:w="2880"/>
          </w:tcPr>
          <w:p>
            <w:r>
              <w:t>Values</w:t>
            </w:r>
          </w:p>
        </w:tc>
        <w:tc>
          <w:tcPr>
            <w:tcW w:type="dxa" w:w="2880"/>
          </w:tcPr>
          <w:p>
            <w:r>
              <w:t>Description</w:t>
            </w:r>
          </w:p>
        </w:tc>
      </w:tr>
      <w:tr>
        <w:tc>
          <w:tcPr>
            <w:tcW w:type="dxa" w:w="2880"/>
          </w:tcPr>
          <w:p>
            <w:r>
              <w:t>hasCalculationMethod</w:t>
            </w:r>
          </w:p>
        </w:tc>
        <w:tc>
          <w:tcPr>
            <w:tcW w:type="dxa" w:w="2880"/>
          </w:tcPr>
          <w:p>
            <w:r>
              <w:t>direct_measurement | calculation_model</w:t>
            </w:r>
          </w:p>
        </w:tc>
        <w:tc>
          <w:tcPr>
            <w:tcW w:type="dxa" w:w="2880"/>
          </w:tcPr>
          <w:p>
            <w:r>
              <w:t>Indicates how the metric value is derived</w:t>
            </w:r>
          </w:p>
        </w:tc>
      </w:tr>
      <w:tr>
        <w:tc>
          <w:tcPr>
            <w:tcW w:type="dxa" w:w="2880"/>
          </w:tcPr>
          <w:p>
            <w:r>
              <w:t>hasDataDomain</w:t>
            </w:r>
          </w:p>
        </w:tc>
        <w:tc>
          <w:tcPr>
            <w:tcW w:type="dxa" w:w="2880"/>
          </w:tcPr>
          <w:p>
            <w:r>
              <w:t>ESG | Financial</w:t>
            </w:r>
          </w:p>
        </w:tc>
        <w:tc>
          <w:tcPr>
            <w:tcW w:type="dxa" w:w="2880"/>
          </w:tcPr>
          <w:p>
            <w:r>
              <w:t>Indicates the source domain of the underlying data</w:t>
            </w:r>
          </w:p>
        </w:tc>
      </w:tr>
      <w:tr>
        <w:tc>
          <w:tcPr>
            <w:tcW w:type="dxa" w:w="2880"/>
          </w:tcPr>
          <w:p>
            <w:r>
              <w:t>hasDescription</w:t>
            </w:r>
          </w:p>
        </w:tc>
        <w:tc>
          <w:tcPr>
            <w:tcW w:type="dxa" w:w="2880"/>
          </w:tcPr>
          <w:p>
            <w:r>
              <w:t>String</w:t>
            </w:r>
          </w:p>
        </w:tc>
        <w:tc>
          <w:tcPr>
            <w:tcW w:type="dxa" w:w="2880"/>
          </w:tcPr>
          <w:p>
            <w:r>
              <w:t>Human-readable description of the metric</w:t>
            </w:r>
          </w:p>
        </w:tc>
      </w:tr>
      <w:tr>
        <w:tc>
          <w:tcPr>
            <w:tcW w:type="dxa" w:w="2880"/>
          </w:tcPr>
          <w:p>
            <w:r>
              <w:t>hasUnit</w:t>
            </w:r>
          </w:p>
        </w:tc>
        <w:tc>
          <w:tcPr>
            <w:tcW w:type="dxa" w:w="2880"/>
          </w:tcPr>
          <w:p>
            <w:r>
              <w:t>String</w:t>
            </w:r>
          </w:p>
        </w:tc>
        <w:tc>
          <w:tcPr>
            <w:tcW w:type="dxa" w:w="2880"/>
          </w:tcPr>
          <w:p>
            <w:r>
              <w:t>Unit of measurement (e.g., "tonnes CO2-e", "Percentage")</w:t>
            </w:r>
          </w:p>
        </w:tc>
      </w:tr>
      <w:tr>
        <w:tc>
          <w:tcPr>
            <w:tcW w:type="dxa" w:w="2880"/>
          </w:tcPr>
          <w:p>
            <w:r>
              <w:t>hasMetricType</w:t>
            </w:r>
          </w:p>
        </w:tc>
        <w:tc>
          <w:tcPr>
            <w:tcW w:type="dxa" w:w="2880"/>
          </w:tcPr>
          <w:p>
            <w:r>
              <w:t>Quantitative | Discussion</w:t>
            </w:r>
          </w:p>
        </w:tc>
        <w:tc>
          <w:tcPr>
            <w:tcW w:type="dxa" w:w="2880"/>
          </w:tcPr>
          <w:p>
            <w:r>
              <w:t>Indicates whether metric is numeric or qualitative</w:t>
            </w:r>
          </w:p>
        </w:tc>
      </w:tr>
      <w:tr>
        <w:tc>
          <w:tcPr>
            <w:tcW w:type="dxa" w:w="2880"/>
          </w:tcPr>
          <w:p>
            <w:r>
              <w:t>hasType</w:t>
            </w:r>
          </w:p>
        </w:tc>
        <w:tc>
          <w:tcPr>
            <w:tcW w:type="dxa" w:w="2880"/>
          </w:tcPr>
          <w:p>
            <w:r>
              <w:t>SASBRequirement | Manual</w:t>
            </w:r>
          </w:p>
        </w:tc>
        <w:tc>
          <w:tcPr>
            <w:tcW w:type="dxa" w:w="2880"/>
          </w:tcPr>
          <w:p>
            <w:r>
              <w:t>Indicates whether metric is defined by SASB or custom</w:t>
            </w:r>
          </w:p>
        </w:tc>
      </w:tr>
    </w:tbl>
    <w:p/>
    <w:p>
      <w:r>
        <w:t>Table 4.8: Key properties of the Metric entity.</w:t>
      </w:r>
    </w:p>
    <w:p>
      <w:r>
        <w:t>This schema design ensures that all metrics—whether directly measured or calculated, whether from ESG or financial sources—are represented consistently within a single unified entity type. The hasCalculationMethod property determines the derivation path, while hasDataDomain enables proper data source routing and provenance tracking. This approach avoids the complexity of multiple metric subclasses while providing the semantic richness needed for automated ESG reporting workflows.</w:t>
      </w:r>
    </w:p>
    <w:p>
      <w:pPr>
        <w:pStyle w:val="Heading1"/>
      </w:pPr>
      <w:r>
        <w:t>4.4 ESGMKG Instantiation and Evaluation</w:t>
      </w:r>
    </w:p>
    <w:p>
      <w:r>
        <w:t>This section demonstrates ESGMKG through instantiation with a representative example, evaluates the ontology against competency questions, and illustrates querying capabilities using SPARQL.</w:t>
      </w:r>
    </w:p>
    <w:p>
      <w:pPr>
        <w:pStyle w:val="Heading2"/>
      </w:pPr>
      <w:r>
        <w:t>4.4.1 Example Instantiation</w:t>
      </w:r>
    </w:p>
    <w:p>
      <w:r>
        <w:t>To demonstrate ESGMKG in practice, we instantiate the knowledge graph with a realistic ESG reporting scenario based on the SASB framework for the semiconductor industry. The example focuses on environmental metrics, illustrating both calculated metrics derived through computational models and direct metrics obtained directly from dataset variables.</w:t>
      </w:r>
    </w:p>
    <w:p>
      <w:pPr>
        <w:pStyle w:val="Heading3"/>
      </w:pPr>
      <w:r>
        <w:t>4.4.1.1 Metric Derivation Paths</w:t>
      </w:r>
    </w:p>
    <w:p>
      <w:r>
        <w:t>ESGMKG supports two alternative derivation paths for metrics, both at the same conceptual level:</w:t>
      </w:r>
    </w:p>
    <w:p>
      <w:pPr>
        <w:pStyle w:val="ListBullet"/>
      </w:pPr>
      <w:r>
        <w:t>Calculated Metric Path: A metric is derived through a computational model using the IsCalculatedBy relationship. The model may require other metrics or dataset variables as inputs via the RequiresInputFrom relationship. When inputs are themselves calculated metrics, the system recursively resolves each input until all values are obtained from dataset variables.</w:t>
      </w:r>
    </w:p>
    <w:p>
      <w:pPr>
        <w:pStyle w:val="ListBullet"/>
      </w:pPr>
      <w:r>
        <w:t>Direct Metric Path: A metric is obtained directly from a dataset variable using the ObtainedFrom relationship, without requiring any computational model.</w:t>
      </w:r>
    </w:p>
    <w:p>
      <w:r>
        <w:t>As illustrated in Figure 4.2, the left side shows a calculated metric with recursive resolution, where the target metric (EnvironmentalRiskMetric) depends on component metrics that themselves require computation before resolving to dataset variables. The right side shows the direct metric path where a metric is obtained directly from a dataset variable without intermediate computation.</w:t>
      </w:r>
    </w:p>
    <w:p>
      <w:pPr>
        <w:pStyle w:val="Heading3"/>
      </w:pPr>
      <w:r>
        <w:t>4.4.1.2 Calculated Metric Path: Recursive Resolution</w:t>
      </w:r>
    </w:p>
    <w:p>
      <w:r>
        <w:t>The calculated metric path in Figure 4.2 demonstrates recursive resolution through an aggregate environmental risk metric. The resolution proceeds through the following steps:</w:t>
      </w:r>
    </w:p>
    <w:p>
      <w:pPr>
        <w:pStyle w:val="ListBullet"/>
      </w:pPr>
      <w:r>
        <w:t>Step 1 - Target Metric: EnvironmentalRiskMetric is the target metric to be calculated. It uses EnvironmentalRiskModel which requires two component metrics as inputs.</w:t>
      </w:r>
    </w:p>
    <w:p>
      <w:pPr>
        <w:pStyle w:val="ListBullet"/>
      </w:pPr>
      <w:r>
        <w:t>Step 2 - Component Metrics: GHGEmissionIntensity and AirQualityPollutant are themselves calculated metrics. Each requires its own model and inputs, triggering recursive resolution.</w:t>
      </w:r>
    </w:p>
    <w:p>
      <w:pPr>
        <w:pStyle w:val="ListBullet"/>
      </w:pPr>
      <w:r>
        <w:t>Step 3 - Metric Inputs: The component metrics require inputs from multiple domains. GHGEmissionIntensity requires Scope1, Scope2 (ESG domain) and Revenue (Financial domain). AirQualityPollutant requires SOX, NOX, and VOC emissions data (ESG domain).</w:t>
      </w:r>
    </w:p>
    <w:p>
      <w:pPr>
        <w:pStyle w:val="ListBullet"/>
      </w:pPr>
      <w:r>
        <w:t>Step 4 - Dataset Variables: Each input is mapped to dataset variables (CO2SCOPE1, CO2SCOPE2, revt, SOXEMISSIONS, NOXEMISSIONS, VOCEMISSIONS) via the ObtainedFrom relationship.</w:t>
      </w:r>
    </w:p>
    <w:p>
      <w:pPr>
        <w:pStyle w:val="ListBullet"/>
      </w:pPr>
      <w:r>
        <w:t>Step 5 - Data Sources: Variables are traced to their originating data sources (Eurofidai for ESG data, WRDS for Financial data) via the SourcesFrom relationship.</w:t>
      </w:r>
    </w:p>
    <w:p>
      <w:pPr>
        <w:pStyle w:val="Heading3"/>
      </w:pPr>
      <w:r>
        <w:t>4.4.1.3 Direct Metric Path</w:t>
      </w:r>
    </w:p>
    <w:p>
      <w:r>
        <w:t>The direct metric path demonstrates the alternative derivation approach: TotalWaterConsumed is obtained directly from the WATERCONSUMPTIONTOTAL dataset variable via the ObtainedFrom relationship. No computational model is required for this path.</w:t>
      </w:r>
    </w:p>
    <w:p>
      <w:pPr>
        <w:pStyle w:val="Heading3"/>
      </w:pPr>
      <w:r>
        <w:t>4.4.1.4 Instantiation Tables</w:t>
      </w:r>
    </w:p>
    <w:p>
      <w:r>
        <w:t>The following tables present the complete ESGMKG instantiation.</w:t>
      </w:r>
    </w:p>
    <w:p>
      <w:r>
        <w:t>Table 4.2 shows the reporting path from industry through framework and category to metrics.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Step</w:t>
            </w:r>
          </w:p>
        </w:tc>
        <w:tc>
          <w:tcPr>
            <w:tcW w:type="dxa" w:w="2160"/>
          </w:tcPr>
          <w:p>
            <w:r>
              <w:t>Source Entity</w:t>
            </w:r>
          </w:p>
        </w:tc>
        <w:tc>
          <w:tcPr>
            <w:tcW w:type="dxa" w:w="2160"/>
          </w:tcPr>
          <w:p>
            <w:r>
              <w:t>Relationship</w:t>
            </w:r>
          </w:p>
        </w:tc>
        <w:tc>
          <w:tcPr>
            <w:tcW w:type="dxa" w:w="2160"/>
          </w:tcPr>
          <w:p>
            <w:r>
              <w:t>Target Entity</w:t>
            </w:r>
          </w:p>
        </w:tc>
      </w:tr>
      <w:tr>
        <w:tc>
          <w:tcPr>
            <w:tcW w:type="dxa" w:w="2160"/>
          </w:tcPr>
          <w:p>
            <w:r>
              <w:t>1</w:t>
            </w:r>
          </w:p>
        </w:tc>
        <w:tc>
          <w:tcPr>
            <w:tcW w:type="dxa" w:w="2160"/>
          </w:tcPr>
          <w:p>
            <w:r>
              <w:t>Industry: Semiconductors</w:t>
            </w:r>
          </w:p>
        </w:tc>
        <w:tc>
          <w:tcPr>
            <w:tcW w:type="dxa" w:w="2160"/>
          </w:tcPr>
          <w:p>
            <w:r>
              <w:t>ReportsUsing</w:t>
            </w:r>
          </w:p>
        </w:tc>
        <w:tc>
          <w:tcPr>
            <w:tcW w:type="dxa" w:w="2160"/>
          </w:tcPr>
          <w:p>
            <w:r>
              <w:t>Framework: SASB Semiconductors</w:t>
            </w:r>
          </w:p>
        </w:tc>
      </w:tr>
      <w:tr>
        <w:tc>
          <w:tcPr>
            <w:tcW w:type="dxa" w:w="2160"/>
          </w:tcPr>
          <w:p>
            <w:r>
              <w:t>2</w:t>
            </w:r>
          </w:p>
        </w:tc>
        <w:tc>
          <w:tcPr>
            <w:tcW w:type="dxa" w:w="2160"/>
          </w:tcPr>
          <w:p>
            <w:r>
              <w:t>Framework: SASB Semiconductors</w:t>
            </w:r>
          </w:p>
        </w:tc>
        <w:tc>
          <w:tcPr>
            <w:tcW w:type="dxa" w:w="2160"/>
          </w:tcPr>
          <w:p>
            <w:r>
              <w:t>Includes</w:t>
            </w:r>
          </w:p>
        </w:tc>
        <w:tc>
          <w:tcPr>
            <w:tcW w:type="dxa" w:w="2160"/>
          </w:tcPr>
          <w:p>
            <w:r>
              <w:t>Category: Environmental Risk</w:t>
            </w:r>
          </w:p>
        </w:tc>
      </w:tr>
      <w:tr>
        <w:tc>
          <w:tcPr>
            <w:tcW w:type="dxa" w:w="2160"/>
          </w:tcPr>
          <w:p>
            <w:r>
              <w:t>3</w:t>
            </w:r>
          </w:p>
        </w:tc>
        <w:tc>
          <w:tcPr>
            <w:tcW w:type="dxa" w:w="2160"/>
          </w:tcPr>
          <w:p>
            <w:r>
              <w:t>Category: Environmental Risk</w:t>
            </w:r>
          </w:p>
        </w:tc>
        <w:tc>
          <w:tcPr>
            <w:tcW w:type="dxa" w:w="2160"/>
          </w:tcPr>
          <w:p>
            <w:r>
              <w:t>ConsistsOf</w:t>
            </w:r>
          </w:p>
        </w:tc>
        <w:tc>
          <w:tcPr>
            <w:tcW w:type="dxa" w:w="2160"/>
          </w:tcPr>
          <w:p>
            <w:r>
              <w:t>Metric: EnvironmentalRiskMetric</w:t>
            </w:r>
          </w:p>
        </w:tc>
      </w:tr>
      <w:tr>
        <w:tc>
          <w:tcPr>
            <w:tcW w:type="dxa" w:w="2160"/>
          </w:tcPr>
          <w:p>
            <w:r>
              <w:t>4</w:t>
            </w:r>
          </w:p>
        </w:tc>
        <w:tc>
          <w:tcPr>
            <w:tcW w:type="dxa" w:w="2160"/>
          </w:tcPr>
          <w:p>
            <w:r>
              <w:t>Category: Water Management</w:t>
            </w:r>
          </w:p>
        </w:tc>
        <w:tc>
          <w:tcPr>
            <w:tcW w:type="dxa" w:w="2160"/>
          </w:tcPr>
          <w:p>
            <w:r>
              <w:t>ConsistsOf</w:t>
            </w:r>
          </w:p>
        </w:tc>
        <w:tc>
          <w:tcPr>
            <w:tcW w:type="dxa" w:w="2160"/>
          </w:tcPr>
          <w:p>
            <w:r>
              <w:t>Metric: TotalWaterConsumed</w:t>
            </w:r>
          </w:p>
        </w:tc>
      </w:tr>
    </w:tbl>
    <w:p/>
    <w:p>
      <w:r>
        <w:t>Table 4.2: ESGMKG instantiation: Reporting path from industry to metrics.</w:t>
      </w:r>
    </w:p>
    <w:p>
      <w:r>
        <w:t>Table 4.3 shows the calculated metric path with recursive resolution, corresponding to the left side of Figure 4.2. The table demonstrates both branches: GHGEmissionIntensity (requiring Scope1, Scope2, Revenue) and AirQualityPollutant (requiring SOX, NOX, VOC).</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Step</w:t>
            </w:r>
          </w:p>
        </w:tc>
        <w:tc>
          <w:tcPr>
            <w:tcW w:type="dxa" w:w="2160"/>
          </w:tcPr>
          <w:p>
            <w:r>
              <w:t>Source Entity</w:t>
            </w:r>
          </w:p>
        </w:tc>
        <w:tc>
          <w:tcPr>
            <w:tcW w:type="dxa" w:w="2160"/>
          </w:tcPr>
          <w:p>
            <w:r>
              <w:t>Relationship</w:t>
            </w:r>
          </w:p>
        </w:tc>
        <w:tc>
          <w:tcPr>
            <w:tcW w:type="dxa" w:w="2160"/>
          </w:tcPr>
          <w:p>
            <w:r>
              <w:t>Target Entity</w:t>
            </w:r>
          </w:p>
        </w:tc>
      </w:tr>
      <w:tr>
        <w:tc>
          <w:tcPr>
            <w:tcW w:type="dxa" w:w="2160"/>
          </w:tcPr>
          <w:p>
            <w:r>
              <w:t>5</w:t>
            </w:r>
          </w:p>
        </w:tc>
        <w:tc>
          <w:tcPr>
            <w:tcW w:type="dxa" w:w="2160"/>
          </w:tcPr>
          <w:p>
            <w:r>
              <w:t>Metric: EnvironmentalRiskMetric</w:t>
            </w:r>
          </w:p>
        </w:tc>
        <w:tc>
          <w:tcPr>
            <w:tcW w:type="dxa" w:w="2160"/>
          </w:tcPr>
          <w:p>
            <w:r>
              <w:t>IsCalculatedBy</w:t>
            </w:r>
          </w:p>
        </w:tc>
        <w:tc>
          <w:tcPr>
            <w:tcW w:type="dxa" w:w="2160"/>
          </w:tcPr>
          <w:p>
            <w:r>
              <w:t>Model: EnvironmentalRiskModel</w:t>
            </w:r>
          </w:p>
        </w:tc>
      </w:tr>
      <w:tr>
        <w:tc>
          <w:tcPr>
            <w:tcW w:type="dxa" w:w="2160"/>
          </w:tcPr>
          <w:p>
            <w:r>
              <w:t>6</w:t>
            </w:r>
          </w:p>
        </w:tc>
        <w:tc>
          <w:tcPr>
            <w:tcW w:type="dxa" w:w="2160"/>
          </w:tcPr>
          <w:p>
            <w:r>
              <w:t>Model: EnvironmentalRiskModel</w:t>
            </w:r>
          </w:p>
        </w:tc>
        <w:tc>
          <w:tcPr>
            <w:tcW w:type="dxa" w:w="2160"/>
          </w:tcPr>
          <w:p>
            <w:r>
              <w:t>RequiresInputFrom</w:t>
            </w:r>
          </w:p>
        </w:tc>
        <w:tc>
          <w:tcPr>
            <w:tcW w:type="dxa" w:w="2160"/>
          </w:tcPr>
          <w:p>
            <w:r>
              <w:t>Metric: GHGEmissionIntensity</w:t>
            </w:r>
          </w:p>
        </w:tc>
      </w:tr>
      <w:tr>
        <w:tc>
          <w:tcPr>
            <w:tcW w:type="dxa" w:w="2160"/>
          </w:tcPr>
          <w:p>
            <w:r>
              <w:t>7</w:t>
            </w:r>
          </w:p>
        </w:tc>
        <w:tc>
          <w:tcPr>
            <w:tcW w:type="dxa" w:w="2160"/>
          </w:tcPr>
          <w:p>
            <w:r>
              <w:t>Model: EnvironmentalRiskModel</w:t>
            </w:r>
          </w:p>
        </w:tc>
        <w:tc>
          <w:tcPr>
            <w:tcW w:type="dxa" w:w="2160"/>
          </w:tcPr>
          <w:p>
            <w:r>
              <w:t>RequiresInputFrom</w:t>
            </w:r>
          </w:p>
        </w:tc>
        <w:tc>
          <w:tcPr>
            <w:tcW w:type="dxa" w:w="2160"/>
          </w:tcPr>
          <w:p>
            <w:r>
              <w:t>Metric: AirQualityPollutant</w:t>
            </w:r>
          </w:p>
        </w:tc>
      </w:tr>
      <w:tr>
        <w:tc>
          <w:tcPr>
            <w:tcW w:type="dxa" w:w="2160"/>
          </w:tcPr>
          <w:p>
            <w:r>
              <w:t>8</w:t>
            </w:r>
          </w:p>
        </w:tc>
        <w:tc>
          <w:tcPr>
            <w:tcW w:type="dxa" w:w="2160"/>
          </w:tcPr>
          <w:p>
            <w:r>
              <w:t>Metric: GHGEmissionIntensity</w:t>
            </w:r>
          </w:p>
        </w:tc>
        <w:tc>
          <w:tcPr>
            <w:tcW w:type="dxa" w:w="2160"/>
          </w:tcPr>
          <w:p>
            <w:r>
              <w:t>IsCalculatedBy</w:t>
            </w:r>
          </w:p>
        </w:tc>
        <w:tc>
          <w:tcPr>
            <w:tcW w:type="dxa" w:w="2160"/>
          </w:tcPr>
          <w:p>
            <w:r>
              <w:t>Model: GHGIntensityModel</w:t>
            </w:r>
          </w:p>
        </w:tc>
      </w:tr>
      <w:tr>
        <w:tc>
          <w:tcPr>
            <w:tcW w:type="dxa" w:w="2160"/>
          </w:tcPr>
          <w:p>
            <w:r>
              <w:t>9</w:t>
            </w:r>
          </w:p>
        </w:tc>
        <w:tc>
          <w:tcPr>
            <w:tcW w:type="dxa" w:w="2160"/>
          </w:tcPr>
          <w:p>
            <w:r>
              <w:t>Model: GHGIntensityModel</w:t>
            </w:r>
          </w:p>
        </w:tc>
        <w:tc>
          <w:tcPr>
            <w:tcW w:type="dxa" w:w="2160"/>
          </w:tcPr>
          <w:p>
            <w:r>
              <w:t>RequiresInputFrom</w:t>
            </w:r>
          </w:p>
        </w:tc>
        <w:tc>
          <w:tcPr>
            <w:tcW w:type="dxa" w:w="2160"/>
          </w:tcPr>
          <w:p>
            <w:r>
              <w:t>Metric: Scope1 (ESG)</w:t>
            </w:r>
          </w:p>
        </w:tc>
      </w:tr>
      <w:tr>
        <w:tc>
          <w:tcPr>
            <w:tcW w:type="dxa" w:w="2160"/>
          </w:tcPr>
          <w:p>
            <w:r>
              <w:t>10</w:t>
            </w:r>
          </w:p>
        </w:tc>
        <w:tc>
          <w:tcPr>
            <w:tcW w:type="dxa" w:w="2160"/>
          </w:tcPr>
          <w:p>
            <w:r>
              <w:t>Model: GHGIntensityModel</w:t>
            </w:r>
          </w:p>
        </w:tc>
        <w:tc>
          <w:tcPr>
            <w:tcW w:type="dxa" w:w="2160"/>
          </w:tcPr>
          <w:p>
            <w:r>
              <w:t>RequiresInputFrom</w:t>
            </w:r>
          </w:p>
        </w:tc>
        <w:tc>
          <w:tcPr>
            <w:tcW w:type="dxa" w:w="2160"/>
          </w:tcPr>
          <w:p>
            <w:r>
              <w:t>Metric: Scope2 (ESG)</w:t>
            </w:r>
          </w:p>
        </w:tc>
      </w:tr>
      <w:tr>
        <w:tc>
          <w:tcPr>
            <w:tcW w:type="dxa" w:w="2160"/>
          </w:tcPr>
          <w:p>
            <w:r>
              <w:t>11</w:t>
            </w:r>
          </w:p>
        </w:tc>
        <w:tc>
          <w:tcPr>
            <w:tcW w:type="dxa" w:w="2160"/>
          </w:tcPr>
          <w:p>
            <w:r>
              <w:t>Model: GHGIntensityModel</w:t>
            </w:r>
          </w:p>
        </w:tc>
        <w:tc>
          <w:tcPr>
            <w:tcW w:type="dxa" w:w="2160"/>
          </w:tcPr>
          <w:p>
            <w:r>
              <w:t>RequiresInputFrom</w:t>
            </w:r>
          </w:p>
        </w:tc>
        <w:tc>
          <w:tcPr>
            <w:tcW w:type="dxa" w:w="2160"/>
          </w:tcPr>
          <w:p>
            <w:r>
              <w:t>Metric: Revenue (Financial)</w:t>
            </w:r>
          </w:p>
        </w:tc>
      </w:tr>
      <w:tr>
        <w:tc>
          <w:tcPr>
            <w:tcW w:type="dxa" w:w="2160"/>
          </w:tcPr>
          <w:p>
            <w:r>
              <w:t>12</w:t>
            </w:r>
          </w:p>
        </w:tc>
        <w:tc>
          <w:tcPr>
            <w:tcW w:type="dxa" w:w="2160"/>
          </w:tcPr>
          <w:p>
            <w:r>
              <w:t>Metric: AirQualityPollutant</w:t>
            </w:r>
          </w:p>
        </w:tc>
        <w:tc>
          <w:tcPr>
            <w:tcW w:type="dxa" w:w="2160"/>
          </w:tcPr>
          <w:p>
            <w:r>
              <w:t>IsCalculatedBy</w:t>
            </w:r>
          </w:p>
        </w:tc>
        <w:tc>
          <w:tcPr>
            <w:tcW w:type="dxa" w:w="2160"/>
          </w:tcPr>
          <w:p>
            <w:r>
              <w:t>Model: AirQualityModel</w:t>
            </w:r>
          </w:p>
        </w:tc>
      </w:tr>
      <w:tr>
        <w:tc>
          <w:tcPr>
            <w:tcW w:type="dxa" w:w="2160"/>
          </w:tcPr>
          <w:p>
            <w:r>
              <w:t>13</w:t>
            </w:r>
          </w:p>
        </w:tc>
        <w:tc>
          <w:tcPr>
            <w:tcW w:type="dxa" w:w="2160"/>
          </w:tcPr>
          <w:p>
            <w:r>
              <w:t>Model: AirQualityModel</w:t>
            </w:r>
          </w:p>
        </w:tc>
        <w:tc>
          <w:tcPr>
            <w:tcW w:type="dxa" w:w="2160"/>
          </w:tcPr>
          <w:p>
            <w:r>
              <w:t>RequiresInputFrom</w:t>
            </w:r>
          </w:p>
        </w:tc>
        <w:tc>
          <w:tcPr>
            <w:tcW w:type="dxa" w:w="2160"/>
          </w:tcPr>
          <w:p>
            <w:r>
              <w:t>Metric: SOX (ESG)</w:t>
            </w:r>
          </w:p>
        </w:tc>
      </w:tr>
      <w:tr>
        <w:tc>
          <w:tcPr>
            <w:tcW w:type="dxa" w:w="2160"/>
          </w:tcPr>
          <w:p>
            <w:r>
              <w:t>14</w:t>
            </w:r>
          </w:p>
        </w:tc>
        <w:tc>
          <w:tcPr>
            <w:tcW w:type="dxa" w:w="2160"/>
          </w:tcPr>
          <w:p>
            <w:r>
              <w:t>Model: AirQualityModel</w:t>
            </w:r>
          </w:p>
        </w:tc>
        <w:tc>
          <w:tcPr>
            <w:tcW w:type="dxa" w:w="2160"/>
          </w:tcPr>
          <w:p>
            <w:r>
              <w:t>RequiresInputFrom</w:t>
            </w:r>
          </w:p>
        </w:tc>
        <w:tc>
          <w:tcPr>
            <w:tcW w:type="dxa" w:w="2160"/>
          </w:tcPr>
          <w:p>
            <w:r>
              <w:t>Metric: NOX (ESG)</w:t>
            </w:r>
          </w:p>
        </w:tc>
      </w:tr>
      <w:tr>
        <w:tc>
          <w:tcPr>
            <w:tcW w:type="dxa" w:w="2160"/>
          </w:tcPr>
          <w:p>
            <w:r>
              <w:t>15</w:t>
            </w:r>
          </w:p>
        </w:tc>
        <w:tc>
          <w:tcPr>
            <w:tcW w:type="dxa" w:w="2160"/>
          </w:tcPr>
          <w:p>
            <w:r>
              <w:t>Model: AirQualityModel</w:t>
            </w:r>
          </w:p>
        </w:tc>
        <w:tc>
          <w:tcPr>
            <w:tcW w:type="dxa" w:w="2160"/>
          </w:tcPr>
          <w:p>
            <w:r>
              <w:t>RequiresInputFrom</w:t>
            </w:r>
          </w:p>
        </w:tc>
        <w:tc>
          <w:tcPr>
            <w:tcW w:type="dxa" w:w="2160"/>
          </w:tcPr>
          <w:p>
            <w:r>
              <w:t>Metric: VOC (ESG)</w:t>
            </w:r>
          </w:p>
        </w:tc>
      </w:tr>
      <w:tr>
        <w:tc>
          <w:tcPr>
            <w:tcW w:type="dxa" w:w="2160"/>
          </w:tcPr>
          <w:p>
            <w:r>
              <w:t>16</w:t>
            </w:r>
          </w:p>
        </w:tc>
        <w:tc>
          <w:tcPr>
            <w:tcW w:type="dxa" w:w="2160"/>
          </w:tcPr>
          <w:p>
            <w:r>
              <w:t>Metric: Scope1</w:t>
            </w:r>
          </w:p>
        </w:tc>
        <w:tc>
          <w:tcPr>
            <w:tcW w:type="dxa" w:w="2160"/>
          </w:tcPr>
          <w:p>
            <w:r>
              <w:t>ObtainedFrom</w:t>
            </w:r>
          </w:p>
        </w:tc>
        <w:tc>
          <w:tcPr>
            <w:tcW w:type="dxa" w:w="2160"/>
          </w:tcPr>
          <w:p>
            <w:r>
              <w:t>Variable: CO2DIRECTSCOPE1</w:t>
            </w:r>
          </w:p>
        </w:tc>
      </w:tr>
      <w:tr>
        <w:tc>
          <w:tcPr>
            <w:tcW w:type="dxa" w:w="2160"/>
          </w:tcPr>
          <w:p>
            <w:r>
              <w:t>17</w:t>
            </w:r>
          </w:p>
        </w:tc>
        <w:tc>
          <w:tcPr>
            <w:tcW w:type="dxa" w:w="2160"/>
          </w:tcPr>
          <w:p>
            <w:r>
              <w:t>Metric: Scope2</w:t>
            </w:r>
          </w:p>
        </w:tc>
        <w:tc>
          <w:tcPr>
            <w:tcW w:type="dxa" w:w="2160"/>
          </w:tcPr>
          <w:p>
            <w:r>
              <w:t>ObtainedFrom</w:t>
            </w:r>
          </w:p>
        </w:tc>
        <w:tc>
          <w:tcPr>
            <w:tcW w:type="dxa" w:w="2160"/>
          </w:tcPr>
          <w:p>
            <w:r>
              <w:t>Variable: CO2INDIRECTSCOPE2</w:t>
            </w:r>
          </w:p>
        </w:tc>
      </w:tr>
      <w:tr>
        <w:tc>
          <w:tcPr>
            <w:tcW w:type="dxa" w:w="2160"/>
          </w:tcPr>
          <w:p>
            <w:r>
              <w:t>18</w:t>
            </w:r>
          </w:p>
        </w:tc>
        <w:tc>
          <w:tcPr>
            <w:tcW w:type="dxa" w:w="2160"/>
          </w:tcPr>
          <w:p>
            <w:r>
              <w:t>Metric: Revenue</w:t>
            </w:r>
          </w:p>
        </w:tc>
        <w:tc>
          <w:tcPr>
            <w:tcW w:type="dxa" w:w="2160"/>
          </w:tcPr>
          <w:p>
            <w:r>
              <w:t>ObtainedFrom</w:t>
            </w:r>
          </w:p>
        </w:tc>
        <w:tc>
          <w:tcPr>
            <w:tcW w:type="dxa" w:w="2160"/>
          </w:tcPr>
          <w:p>
            <w:r>
              <w:t>Variable: revt</w:t>
            </w:r>
          </w:p>
        </w:tc>
      </w:tr>
      <w:tr>
        <w:tc>
          <w:tcPr>
            <w:tcW w:type="dxa" w:w="2160"/>
          </w:tcPr>
          <w:p>
            <w:r>
              <w:t>19</w:t>
            </w:r>
          </w:p>
        </w:tc>
        <w:tc>
          <w:tcPr>
            <w:tcW w:type="dxa" w:w="2160"/>
          </w:tcPr>
          <w:p>
            <w:r>
              <w:t>Metric: SOX</w:t>
            </w:r>
          </w:p>
        </w:tc>
        <w:tc>
          <w:tcPr>
            <w:tcW w:type="dxa" w:w="2160"/>
          </w:tcPr>
          <w:p>
            <w:r>
              <w:t>ObtainedFrom</w:t>
            </w:r>
          </w:p>
        </w:tc>
        <w:tc>
          <w:tcPr>
            <w:tcW w:type="dxa" w:w="2160"/>
          </w:tcPr>
          <w:p>
            <w:r>
              <w:t>Variable: SOXEMISSIONS</w:t>
            </w:r>
          </w:p>
        </w:tc>
      </w:tr>
      <w:tr>
        <w:tc>
          <w:tcPr>
            <w:tcW w:type="dxa" w:w="2160"/>
          </w:tcPr>
          <w:p>
            <w:r>
              <w:t>20</w:t>
            </w:r>
          </w:p>
        </w:tc>
        <w:tc>
          <w:tcPr>
            <w:tcW w:type="dxa" w:w="2160"/>
          </w:tcPr>
          <w:p>
            <w:r>
              <w:t>Metric: NOX</w:t>
            </w:r>
          </w:p>
        </w:tc>
        <w:tc>
          <w:tcPr>
            <w:tcW w:type="dxa" w:w="2160"/>
          </w:tcPr>
          <w:p>
            <w:r>
              <w:t>ObtainedFrom</w:t>
            </w:r>
          </w:p>
        </w:tc>
        <w:tc>
          <w:tcPr>
            <w:tcW w:type="dxa" w:w="2160"/>
          </w:tcPr>
          <w:p>
            <w:r>
              <w:t>Variable: NOXEMISSIONS</w:t>
            </w:r>
          </w:p>
        </w:tc>
      </w:tr>
      <w:tr>
        <w:tc>
          <w:tcPr>
            <w:tcW w:type="dxa" w:w="2160"/>
          </w:tcPr>
          <w:p>
            <w:r>
              <w:t>21</w:t>
            </w:r>
          </w:p>
        </w:tc>
        <w:tc>
          <w:tcPr>
            <w:tcW w:type="dxa" w:w="2160"/>
          </w:tcPr>
          <w:p>
            <w:r>
              <w:t>Metric: VOC</w:t>
            </w:r>
          </w:p>
        </w:tc>
        <w:tc>
          <w:tcPr>
            <w:tcW w:type="dxa" w:w="2160"/>
          </w:tcPr>
          <w:p>
            <w:r>
              <w:t>ObtainedFrom</w:t>
            </w:r>
          </w:p>
        </w:tc>
        <w:tc>
          <w:tcPr>
            <w:tcW w:type="dxa" w:w="2160"/>
          </w:tcPr>
          <w:p>
            <w:r>
              <w:t>Variable: VOCEMISSIONS</w:t>
            </w:r>
          </w:p>
        </w:tc>
      </w:tr>
      <w:tr>
        <w:tc>
          <w:tcPr>
            <w:tcW w:type="dxa" w:w="2160"/>
          </w:tcPr>
          <w:p/>
        </w:tc>
        <w:tc>
          <w:tcPr>
            <w:tcW w:type="dxa" w:w="2160"/>
          </w:tcPr>
          <w:p/>
        </w:tc>
        <w:tc>
          <w:tcPr>
            <w:tcW w:type="dxa" w:w="2160"/>
          </w:tcPr>
          <w:p/>
        </w:tc>
        <w:tc>
          <w:tcPr>
            <w:tcW w:type="dxa" w:w="2160"/>
          </w:tcPr>
          <w:p/>
        </w:tc>
      </w:tr>
    </w:tbl>
    <w:p/>
    <w:p>
      <w:r>
        <w:t>Table 4.3: ESGMKG instantiation: Calculated metric path with recursive resolution (both GHG and Air Quality branches).</w:t>
      </w:r>
    </w:p>
    <w:p>
      <w:r>
        <w:t>Table 4.4 shows the direct metric path.</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Step</w:t>
            </w:r>
          </w:p>
        </w:tc>
        <w:tc>
          <w:tcPr>
            <w:tcW w:type="dxa" w:w="2160"/>
          </w:tcPr>
          <w:p>
            <w:r>
              <w:t>Source Entity</w:t>
            </w:r>
          </w:p>
        </w:tc>
        <w:tc>
          <w:tcPr>
            <w:tcW w:type="dxa" w:w="2160"/>
          </w:tcPr>
          <w:p>
            <w:r>
              <w:t>Relationship</w:t>
            </w:r>
          </w:p>
        </w:tc>
        <w:tc>
          <w:tcPr>
            <w:tcW w:type="dxa" w:w="2160"/>
          </w:tcPr>
          <w:p>
            <w:r>
              <w:t>Target Entity</w:t>
            </w:r>
          </w:p>
        </w:tc>
      </w:tr>
      <w:tr>
        <w:tc>
          <w:tcPr>
            <w:tcW w:type="dxa" w:w="2160"/>
          </w:tcPr>
          <w:p>
            <w:r>
              <w:t>22</w:t>
            </w:r>
          </w:p>
        </w:tc>
        <w:tc>
          <w:tcPr>
            <w:tcW w:type="dxa" w:w="2160"/>
          </w:tcPr>
          <w:p>
            <w:r>
              <w:t>Metric: TotalWaterConsumed</w:t>
            </w:r>
          </w:p>
        </w:tc>
        <w:tc>
          <w:tcPr>
            <w:tcW w:type="dxa" w:w="2160"/>
          </w:tcPr>
          <w:p>
            <w:r>
              <w:t>ObtainedFrom</w:t>
            </w:r>
          </w:p>
        </w:tc>
        <w:tc>
          <w:tcPr>
            <w:tcW w:type="dxa" w:w="2160"/>
          </w:tcPr>
          <w:p>
            <w:r>
              <w:t>Variable: WATERCONSUMPTIONTOTAL</w:t>
            </w:r>
          </w:p>
        </w:tc>
      </w:tr>
    </w:tbl>
    <w:p/>
    <w:p>
      <w:r>
        <w:t>Table 4.4: ESGMKG instantiation: Direct metric path (no computational model required).</w:t>
      </w:r>
    </w:p>
    <w:p>
      <w:r>
        <w:t>Table 4.5 shows the data provenance path, tracing variables to their data sources.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Step</w:t>
            </w:r>
          </w:p>
        </w:tc>
        <w:tc>
          <w:tcPr>
            <w:tcW w:type="dxa" w:w="2160"/>
          </w:tcPr>
          <w:p>
            <w:r>
              <w:t>Source Entity</w:t>
            </w:r>
          </w:p>
        </w:tc>
        <w:tc>
          <w:tcPr>
            <w:tcW w:type="dxa" w:w="2160"/>
          </w:tcPr>
          <w:p>
            <w:r>
              <w:t>Relationship</w:t>
            </w:r>
          </w:p>
        </w:tc>
        <w:tc>
          <w:tcPr>
            <w:tcW w:type="dxa" w:w="2160"/>
          </w:tcPr>
          <w:p>
            <w:r>
              <w:t>Target Entity</w:t>
            </w:r>
          </w:p>
        </w:tc>
      </w:tr>
      <w:tr>
        <w:tc>
          <w:tcPr>
            <w:tcW w:type="dxa" w:w="2160"/>
          </w:tcPr>
          <w:p>
            <w:r>
              <w:t>23</w:t>
            </w:r>
          </w:p>
        </w:tc>
        <w:tc>
          <w:tcPr>
            <w:tcW w:type="dxa" w:w="2160"/>
          </w:tcPr>
          <w:p>
            <w:r>
              <w:t>Variable: CO2DIRECTSCOPE1</w:t>
            </w:r>
          </w:p>
        </w:tc>
        <w:tc>
          <w:tcPr>
            <w:tcW w:type="dxa" w:w="2160"/>
          </w:tcPr>
          <w:p>
            <w:r>
              <w:t>SourcesFrom</w:t>
            </w:r>
          </w:p>
        </w:tc>
        <w:tc>
          <w:tcPr>
            <w:tcW w:type="dxa" w:w="2160"/>
          </w:tcPr>
          <w:p>
            <w:r>
              <w:t>DataSource: Eurofidai</w:t>
            </w:r>
          </w:p>
        </w:tc>
      </w:tr>
      <w:tr>
        <w:tc>
          <w:tcPr>
            <w:tcW w:type="dxa" w:w="2160"/>
          </w:tcPr>
          <w:p>
            <w:r>
              <w:t>24</w:t>
            </w:r>
          </w:p>
        </w:tc>
        <w:tc>
          <w:tcPr>
            <w:tcW w:type="dxa" w:w="2160"/>
          </w:tcPr>
          <w:p>
            <w:r>
              <w:t>Variable: CO2INDIRECTSCOPE2</w:t>
            </w:r>
          </w:p>
        </w:tc>
        <w:tc>
          <w:tcPr>
            <w:tcW w:type="dxa" w:w="2160"/>
          </w:tcPr>
          <w:p>
            <w:r>
              <w:t>SourcesFrom</w:t>
            </w:r>
          </w:p>
        </w:tc>
        <w:tc>
          <w:tcPr>
            <w:tcW w:type="dxa" w:w="2160"/>
          </w:tcPr>
          <w:p>
            <w:r>
              <w:t>DataSource: Eurofidai</w:t>
            </w:r>
          </w:p>
        </w:tc>
      </w:tr>
      <w:tr>
        <w:tc>
          <w:tcPr>
            <w:tcW w:type="dxa" w:w="2160"/>
          </w:tcPr>
          <w:p>
            <w:r>
              <w:t>25</w:t>
            </w:r>
          </w:p>
        </w:tc>
        <w:tc>
          <w:tcPr>
            <w:tcW w:type="dxa" w:w="2160"/>
          </w:tcPr>
          <w:p>
            <w:r>
              <w:t>Variable: revt</w:t>
            </w:r>
          </w:p>
        </w:tc>
        <w:tc>
          <w:tcPr>
            <w:tcW w:type="dxa" w:w="2160"/>
          </w:tcPr>
          <w:p>
            <w:r>
              <w:t>SourcesFrom</w:t>
            </w:r>
          </w:p>
        </w:tc>
        <w:tc>
          <w:tcPr>
            <w:tcW w:type="dxa" w:w="2160"/>
          </w:tcPr>
          <w:p>
            <w:r>
              <w:t>DataSource: WRDS</w:t>
            </w:r>
          </w:p>
        </w:tc>
      </w:tr>
      <w:tr>
        <w:tc>
          <w:tcPr>
            <w:tcW w:type="dxa" w:w="2160"/>
          </w:tcPr>
          <w:p>
            <w:r>
              <w:t>26</w:t>
            </w:r>
          </w:p>
        </w:tc>
        <w:tc>
          <w:tcPr>
            <w:tcW w:type="dxa" w:w="2160"/>
          </w:tcPr>
          <w:p>
            <w:r>
              <w:t>Variable: SOXEMISSIONS</w:t>
            </w:r>
          </w:p>
        </w:tc>
        <w:tc>
          <w:tcPr>
            <w:tcW w:type="dxa" w:w="2160"/>
          </w:tcPr>
          <w:p>
            <w:r>
              <w:t>SourcesFrom</w:t>
            </w:r>
          </w:p>
        </w:tc>
        <w:tc>
          <w:tcPr>
            <w:tcW w:type="dxa" w:w="2160"/>
          </w:tcPr>
          <w:p>
            <w:r>
              <w:t>DataSource: Eurofidai</w:t>
            </w:r>
          </w:p>
        </w:tc>
      </w:tr>
      <w:tr>
        <w:tc>
          <w:tcPr>
            <w:tcW w:type="dxa" w:w="2160"/>
          </w:tcPr>
          <w:p>
            <w:r>
              <w:t>27</w:t>
            </w:r>
          </w:p>
        </w:tc>
        <w:tc>
          <w:tcPr>
            <w:tcW w:type="dxa" w:w="2160"/>
          </w:tcPr>
          <w:p>
            <w:r>
              <w:t>Variable: NOXEMISSIONS</w:t>
            </w:r>
          </w:p>
        </w:tc>
        <w:tc>
          <w:tcPr>
            <w:tcW w:type="dxa" w:w="2160"/>
          </w:tcPr>
          <w:p>
            <w:r>
              <w:t>SourcesFrom</w:t>
            </w:r>
          </w:p>
        </w:tc>
        <w:tc>
          <w:tcPr>
            <w:tcW w:type="dxa" w:w="2160"/>
          </w:tcPr>
          <w:p>
            <w:r>
              <w:t>DataSource: Eurofidai</w:t>
            </w:r>
          </w:p>
        </w:tc>
      </w:tr>
      <w:tr>
        <w:tc>
          <w:tcPr>
            <w:tcW w:type="dxa" w:w="2160"/>
          </w:tcPr>
          <w:p>
            <w:r>
              <w:t>28</w:t>
            </w:r>
          </w:p>
        </w:tc>
        <w:tc>
          <w:tcPr>
            <w:tcW w:type="dxa" w:w="2160"/>
          </w:tcPr>
          <w:p>
            <w:r>
              <w:t>Variable: VOCEMISSIONS</w:t>
            </w:r>
          </w:p>
        </w:tc>
        <w:tc>
          <w:tcPr>
            <w:tcW w:type="dxa" w:w="2160"/>
          </w:tcPr>
          <w:p>
            <w:r>
              <w:t>SourcesFrom</w:t>
            </w:r>
          </w:p>
        </w:tc>
        <w:tc>
          <w:tcPr>
            <w:tcW w:type="dxa" w:w="2160"/>
          </w:tcPr>
          <w:p>
            <w:r>
              <w:t>DataSource: Eurofidai</w:t>
            </w:r>
          </w:p>
        </w:tc>
      </w:tr>
      <w:tr>
        <w:tc>
          <w:tcPr>
            <w:tcW w:type="dxa" w:w="2160"/>
          </w:tcPr>
          <w:p>
            <w:r>
              <w:t>29</w:t>
            </w:r>
          </w:p>
        </w:tc>
        <w:tc>
          <w:tcPr>
            <w:tcW w:type="dxa" w:w="2160"/>
          </w:tcPr>
          <w:p>
            <w:r>
              <w:t>Variable: WATERCONSUMPTIONTOTAL</w:t>
            </w:r>
          </w:p>
        </w:tc>
        <w:tc>
          <w:tcPr>
            <w:tcW w:type="dxa" w:w="2160"/>
          </w:tcPr>
          <w:p>
            <w:r>
              <w:t>SourcesFrom</w:t>
            </w:r>
          </w:p>
        </w:tc>
        <w:tc>
          <w:tcPr>
            <w:tcW w:type="dxa" w:w="2160"/>
          </w:tcPr>
          <w:p>
            <w:r>
              <w:t>DataSource: Eurofidai</w:t>
            </w:r>
          </w:p>
        </w:tc>
      </w:tr>
      <w:tr>
        <w:tc>
          <w:tcPr>
            <w:tcW w:type="dxa" w:w="2160"/>
          </w:tcPr>
          <w:p>
            <w:r>
              <w:t>30</w:t>
            </w:r>
          </w:p>
        </w:tc>
        <w:tc>
          <w:tcPr>
            <w:tcW w:type="dxa" w:w="2160"/>
          </w:tcPr>
          <w:p>
            <w:r>
              <w:t>Model: EnvironmentalRiskModel</w:t>
            </w:r>
          </w:p>
        </w:tc>
        <w:tc>
          <w:tcPr>
            <w:tcW w:type="dxa" w:w="2160"/>
          </w:tcPr>
          <w:p>
            <w:r>
              <w:t>ExecutesWith</w:t>
            </w:r>
          </w:p>
        </w:tc>
        <w:tc>
          <w:tcPr>
            <w:tcW w:type="dxa" w:w="2160"/>
          </w:tcPr>
          <w:p>
            <w:r>
              <w:t>Impl: environmental_risk_model.py</w:t>
            </w:r>
          </w:p>
        </w:tc>
      </w:tr>
    </w:tbl>
    <w:p/>
    <w:p>
      <w:r>
        <w:t>Table 4.5: ESGMKG instantiation: Data provenance linking variables to data sources.</w:t>
      </w:r>
    </w:p>
    <w:p>
      <w:pPr>
        <w:pStyle w:val="Heading3"/>
      </w:pPr>
      <w:r>
        <w:t>4.4.1.5 Summary of Instantiation</w:t>
      </w:r>
    </w:p>
    <w:p>
      <w:r>
        <w:t>The instantiation demonstrates how ESGMKG captures the full complexity of ESG metric derivation:</w:t>
      </w:r>
    </w:p>
    <w:p>
      <w:pPr>
        <w:pStyle w:val="ListBullet"/>
      </w:pPr>
      <w:r>
        <w:t>Dual derivation paths: Calculated metrics use IsCalculatedBy while direct metrics use ObtainedFrom, representing alternative approaches at the same conceptual level.</w:t>
      </w:r>
    </w:p>
    <w:p>
      <w:pPr>
        <w:pStyle w:val="ListBullet"/>
      </w:pPr>
      <w:r>
        <w:t>Recursive resolution: EnvironmentalRiskMetric demonstrates recursive resolution where calculated metrics (GHGEmissionIntensity, AirQualityPollutant) depend on other metrics that must be resolved first.</w:t>
      </w:r>
    </w:p>
    <w:p>
      <w:pPr>
        <w:pStyle w:val="ListBullet"/>
      </w:pPr>
      <w:r>
        <w:t>Cross-domain composition: GHGEmissionIntensity combines ESG metrics (Scope1, Scope2) with Financial metrics (Revenue), with hasDataDomain clearly distinguishing source domains.</w:t>
      </w:r>
    </w:p>
    <w:p>
      <w:pPr>
        <w:pStyle w:val="ListBullet"/>
      </w:pPr>
      <w:r>
        <w:t>Data provenance: All variables trace back to their data sources (Eurofidai for ESG, WRDS for Financial).</w:t>
      </w:r>
    </w:p>
    <w:p>
      <w:pPr>
        <w:pStyle w:val="ListBullet"/>
      </w:pPr>
      <w:r>
        <w:t>Complete coverage: All 8 entity types and all 8 relationships are demonstrated.</w:t>
      </w:r>
    </w:p>
    <w:p>
      <w:pPr>
        <w:pStyle w:val="Heading2"/>
      </w:pPr>
      <w:r>
        <w:t>4.4.2 Competency Question Evaluation</w:t>
      </w:r>
    </w:p>
    <w:p>
      <w:r>
        <w:t>The instantiated ESGMKG is validated using competency questions that test its ability to support essential ESG reporting queries. Table 4.6 presents the seven competency questions and their expected outputs.</w:t>
      </w:r>
    </w:p>
    <w:tbl>
      <w:tblPr>
        <w:tblStyle w:val="TableGrid"/>
        <w:tblW w:type="auto" w:w="0"/>
        <w:tblLook w:firstColumn="1" w:firstRow="1" w:lastColumn="0" w:lastRow="0" w:noHBand="0" w:noVBand="1" w:val="04A0"/>
      </w:tblPr>
      <w:tblGrid>
        <w:gridCol w:w="2880"/>
        <w:gridCol w:w="2880"/>
        <w:gridCol w:w="2880"/>
      </w:tblGrid>
      <w:tr>
        <w:tc>
          <w:tcPr>
            <w:tcW w:type="dxa" w:w="2880"/>
          </w:tcPr>
          <w:p>
            <w:r>
              <w:t>CQ</w:t>
            </w:r>
          </w:p>
        </w:tc>
        <w:tc>
          <w:tcPr>
            <w:tcW w:type="dxa" w:w="2880"/>
          </w:tcPr>
          <w:p>
            <w:r>
              <w:t>Question</w:t>
            </w:r>
          </w:p>
        </w:tc>
        <w:tc>
          <w:tcPr>
            <w:tcW w:type="dxa" w:w="2880"/>
          </w:tcPr>
          <w:p>
            <w:r>
              <w:t>Expected Output</w:t>
            </w:r>
          </w:p>
        </w:tc>
      </w:tr>
      <w:tr>
        <w:tc>
          <w:tcPr>
            <w:tcW w:type="dxa" w:w="2880"/>
          </w:tcPr>
          <w:p>
            <w:r>
              <w:t>CQ1</w:t>
            </w:r>
          </w:p>
        </w:tc>
        <w:tc>
          <w:tcPr>
            <w:tcW w:type="dxa" w:w="2880"/>
          </w:tcPr>
          <w:p>
            <w:r>
              <w:t>Which framework applies to a given industry?</w:t>
            </w:r>
          </w:p>
        </w:tc>
        <w:tc>
          <w:tcPr>
            <w:tcW w:type="dxa" w:w="2880"/>
          </w:tcPr>
          <w:p>
            <w:r>
              <w:t>Reporting Framework</w:t>
            </w:r>
          </w:p>
        </w:tc>
      </w:tr>
      <w:tr>
        <w:tc>
          <w:tcPr>
            <w:tcW w:type="dxa" w:w="2880"/>
          </w:tcPr>
          <w:p>
            <w:r>
              <w:t>CQ2</w:t>
            </w:r>
          </w:p>
        </w:tc>
        <w:tc>
          <w:tcPr>
            <w:tcW w:type="dxa" w:w="2880"/>
          </w:tcPr>
          <w:p>
            <w:r>
              <w:t>What categories are included within that framework?</w:t>
            </w:r>
          </w:p>
        </w:tc>
        <w:tc>
          <w:tcPr>
            <w:tcW w:type="dxa" w:w="2880"/>
          </w:tcPr>
          <w:p>
            <w:r>
              <w:t>Category</w:t>
            </w:r>
          </w:p>
        </w:tc>
      </w:tr>
      <w:tr>
        <w:tc>
          <w:tcPr>
            <w:tcW w:type="dxa" w:w="2880"/>
          </w:tcPr>
          <w:p>
            <w:r>
              <w:t>CQ3</w:t>
            </w:r>
          </w:p>
        </w:tc>
        <w:tc>
          <w:tcPr>
            <w:tcW w:type="dxa" w:w="2880"/>
          </w:tcPr>
          <w:p>
            <w:r>
              <w:t>Which metrics belong to each category?</w:t>
            </w:r>
          </w:p>
        </w:tc>
        <w:tc>
          <w:tcPr>
            <w:tcW w:type="dxa" w:w="2880"/>
          </w:tcPr>
          <w:p>
            <w:r>
              <w:t>Metric</w:t>
            </w:r>
          </w:p>
        </w:tc>
      </w:tr>
      <w:tr>
        <w:tc>
          <w:tcPr>
            <w:tcW w:type="dxa" w:w="2880"/>
          </w:tcPr>
          <w:p>
            <w:r>
              <w:t>CQ4</w:t>
            </w:r>
          </w:p>
        </w:tc>
        <w:tc>
          <w:tcPr>
            <w:tcW w:type="dxa" w:w="2880"/>
          </w:tcPr>
          <w:p>
            <w:r>
              <w:t>How is a metric calculated or measured?</w:t>
            </w:r>
          </w:p>
        </w:tc>
        <w:tc>
          <w:tcPr>
            <w:tcW w:type="dxa" w:w="2880"/>
          </w:tcPr>
          <w:p>
            <w:r>
              <w:t>Model or Dataset Variable</w:t>
            </w:r>
          </w:p>
        </w:tc>
      </w:tr>
      <w:tr>
        <w:tc>
          <w:tcPr>
            <w:tcW w:type="dxa" w:w="2880"/>
          </w:tcPr>
          <w:p>
            <w:r>
              <w:t>CQ5</w:t>
            </w:r>
          </w:p>
        </w:tc>
        <w:tc>
          <w:tcPr>
            <w:tcW w:type="dxa" w:w="2880"/>
          </w:tcPr>
          <w:p>
            <w:r>
              <w:t>Which metrics are inputs for a model?</w:t>
            </w:r>
          </w:p>
        </w:tc>
        <w:tc>
          <w:tcPr>
            <w:tcW w:type="dxa" w:w="2880"/>
          </w:tcPr>
          <w:p>
            <w:r>
              <w:t>Metric</w:t>
            </w:r>
          </w:p>
        </w:tc>
      </w:tr>
      <w:tr>
        <w:tc>
          <w:tcPr>
            <w:tcW w:type="dxa" w:w="2880"/>
          </w:tcPr>
          <w:p>
            <w:r>
              <w:t>CQ6</w:t>
            </w:r>
          </w:p>
        </w:tc>
        <w:tc>
          <w:tcPr>
            <w:tcW w:type="dxa" w:w="2880"/>
          </w:tcPr>
          <w:p>
            <w:r>
              <w:t>Which implementation executes a model?</w:t>
            </w:r>
          </w:p>
        </w:tc>
        <w:tc>
          <w:tcPr>
            <w:tcW w:type="dxa" w:w="2880"/>
          </w:tcPr>
          <w:p>
            <w:r>
              <w:t>Implementation</w:t>
            </w:r>
          </w:p>
        </w:tc>
      </w:tr>
      <w:tr>
        <w:tc>
          <w:tcPr>
            <w:tcW w:type="dxa" w:w="2880"/>
          </w:tcPr>
          <w:p>
            <w:r>
              <w:t>CQ7</w:t>
            </w:r>
          </w:p>
        </w:tc>
        <w:tc>
          <w:tcPr>
            <w:tcW w:type="dxa" w:w="2880"/>
          </w:tcPr>
          <w:p>
            <w:r>
              <w:t>What is the original data source for a variable?</w:t>
            </w:r>
          </w:p>
        </w:tc>
        <w:tc>
          <w:tcPr>
            <w:tcW w:type="dxa" w:w="2880"/>
          </w:tcPr>
          <w:p>
            <w:r>
              <w:t>Data Source</w:t>
            </w:r>
          </w:p>
        </w:tc>
      </w:tr>
    </w:tbl>
    <w:p/>
    <w:p>
      <w:r>
        <w:t>Table 4.6: Competency questions for ESGMKG validation.</w:t>
      </w:r>
    </w:p>
    <w:p>
      <w:r>
        <w:t>All seven competency questions can be answered by the instantiated knowledge graph. For CQ1, querying which framework applies to the semiconductor industry returns SASB Semiconductors (Table 4.2, Step 1). For CQ3, querying which metrics belong to the Environmental Risk category returns EnvironmentalRiskMetric and related metrics. For CQ4, querying how EnvironmentalRiskMetric is derived returns EnvironmentalRiskModel via IsCalculatedBy (Table 4.3, Step 5), while querying how TotalWaterConsumed is derived returns the WATERCONSUMPTIONTOTAL dataset variable via ObtainedFrom (Table 4.4, Step 16)—demonstrating both derivation paths. For CQ5, querying which metrics are inputs for EnvironmentalRiskModel returns GHGEmissionIntensity and AirQualityPollutant (Table 4.3, Steps 6-7), demonstrating the recursive composition capability.</w:t>
      </w:r>
    </w:p>
    <w:p>
      <w:pPr>
        <w:pStyle w:val="Heading2"/>
      </w:pPr>
      <w:r>
        <w:t>4.4.3 Usage Scenarios</w:t>
      </w:r>
    </w:p>
    <w:p>
      <w:r>
        <w:t>ESGMKG supports diverse usage scenarios relevant to ESG reporting practice. In framework selection, an organisation identifies applicable reporting frameworks by querying ESGMKG with their industry; for example, a semiconductor company can discover that SASB Semiconductors is the relevant framework for their sector. In metric discovery, a sustainability officer explores reporting categories to identify available metrics and understand their derivation paths, revealing not only what metrics exist but also whether they are calculated or directly obtained. In audit trail scenarios, an auditor traces a reported metric back through its derivation path to the underlying dataset variables and data sources, supporting assurance and regulatory compliance. In model reuse scenarios, a data engineer identifies computational models that can be reused across different metrics or frameworks, along with their existing implementations, reducing development effort and ensuring consistency.</w:t>
      </w:r>
    </w:p>
    <w:p>
      <w:pPr>
        <w:pStyle w:val="Heading2"/>
      </w:pPr>
      <w:r>
        <w:t>4.4.4 RDF Representation and SPARQL Querying</w:t>
      </w:r>
    </w:p>
    <w:p>
      <w:r>
        <w:t>ESGMKG is implemented using the Resource Description Framework (RDF) and the Web Ontology Language (OWL), ensuring interoperability with semantic web technologies. Each entity and relationship is expressed as RDF triples that can be queried using SPARQL. Table 4.11 illustrates example RDF triples representing key entities and relationships from the instantiation.</w:t>
      </w:r>
    </w:p>
    <w:tbl>
      <w:tblPr>
        <w:tblStyle w:val="TableGrid"/>
        <w:tblW w:type="auto" w:w="0"/>
        <w:tblLook w:firstColumn="1" w:firstRow="1" w:lastColumn="0" w:lastRow="0" w:noHBand="0" w:noVBand="1" w:val="04A0"/>
      </w:tblPr>
      <w:tblGrid>
        <w:gridCol w:w="2880"/>
        <w:gridCol w:w="2880"/>
        <w:gridCol w:w="2880"/>
      </w:tblGrid>
      <w:tr>
        <w:tc>
          <w:tcPr>
            <w:tcW w:type="dxa" w:w="2880"/>
          </w:tcPr>
          <w:p>
            <w:r>
              <w:t>Subject</w:t>
            </w:r>
          </w:p>
        </w:tc>
        <w:tc>
          <w:tcPr>
            <w:tcW w:type="dxa" w:w="2880"/>
          </w:tcPr>
          <w:p>
            <w:r>
              <w:t>Predicate</w:t>
            </w:r>
          </w:p>
        </w:tc>
        <w:tc>
          <w:tcPr>
            <w:tcW w:type="dxa" w:w="2880"/>
          </w:tcPr>
          <w:p>
            <w:r>
              <w:t>Object</w:t>
            </w:r>
          </w:p>
        </w:tc>
      </w:tr>
      <w:tr>
        <w:tc>
          <w:tcPr>
            <w:tcW w:type="dxa" w:w="2880"/>
          </w:tcPr>
          <w:p>
            <w:r>
              <w:t>esg:semiconductors</w:t>
            </w:r>
          </w:p>
        </w:tc>
        <w:tc>
          <w:tcPr>
            <w:tcW w:type="dxa" w:w="2880"/>
          </w:tcPr>
          <w:p>
            <w:r>
              <w:t>rdf:type</w:t>
            </w:r>
          </w:p>
        </w:tc>
        <w:tc>
          <w:tcPr>
            <w:tcW w:type="dxa" w:w="2880"/>
          </w:tcPr>
          <w:p>
            <w:r>
              <w:t>esg:Industry</w:t>
            </w:r>
          </w:p>
        </w:tc>
      </w:tr>
      <w:tr>
        <w:tc>
          <w:tcPr>
            <w:tcW w:type="dxa" w:w="2880"/>
          </w:tcPr>
          <w:p>
            <w:r>
              <w:t>esg:semiconductors</w:t>
            </w:r>
          </w:p>
        </w:tc>
        <w:tc>
          <w:tcPr>
            <w:tcW w:type="dxa" w:w="2880"/>
          </w:tcPr>
          <w:p>
            <w:r>
              <w:t>esg:ReportsUsing</w:t>
            </w:r>
          </w:p>
        </w:tc>
        <w:tc>
          <w:tcPr>
            <w:tcW w:type="dxa" w:w="2880"/>
          </w:tcPr>
          <w:p>
            <w:r>
              <w:t>esg:SASBSemiconductors</w:t>
            </w:r>
          </w:p>
        </w:tc>
      </w:tr>
      <w:tr>
        <w:tc>
          <w:tcPr>
            <w:tcW w:type="dxa" w:w="2880"/>
          </w:tcPr>
          <w:p>
            <w:r>
              <w:t>esg:SASBSemiconductors</w:t>
            </w:r>
          </w:p>
        </w:tc>
        <w:tc>
          <w:tcPr>
            <w:tcW w:type="dxa" w:w="2880"/>
          </w:tcPr>
          <w:p>
            <w:r>
              <w:t>esg:Includes</w:t>
            </w:r>
          </w:p>
        </w:tc>
        <w:tc>
          <w:tcPr>
            <w:tcW w:type="dxa" w:w="2880"/>
          </w:tcPr>
          <w:p>
            <w:r>
              <w:t>esg:GreenhouseGasEmissions</w:t>
            </w:r>
          </w:p>
        </w:tc>
      </w:tr>
      <w:tr>
        <w:tc>
          <w:tcPr>
            <w:tcW w:type="dxa" w:w="2880"/>
          </w:tcPr>
          <w:p>
            <w:r>
              <w:t>esg:GreenhouseGasEmissions</w:t>
            </w:r>
          </w:p>
        </w:tc>
        <w:tc>
          <w:tcPr>
            <w:tcW w:type="dxa" w:w="2880"/>
          </w:tcPr>
          <w:p>
            <w:r>
              <w:t>esg:ConsistsOf</w:t>
            </w:r>
          </w:p>
        </w:tc>
        <w:tc>
          <w:tcPr>
            <w:tcW w:type="dxa" w:w="2880"/>
          </w:tcPr>
          <w:p>
            <w:r>
              <w:t>esg:GHGEmissionIntensity</w:t>
            </w:r>
          </w:p>
        </w:tc>
      </w:tr>
      <w:tr>
        <w:tc>
          <w:tcPr>
            <w:tcW w:type="dxa" w:w="2880"/>
          </w:tcPr>
          <w:p>
            <w:r>
              <w:t>esg:GHGEmissionIntensity</w:t>
            </w:r>
          </w:p>
        </w:tc>
        <w:tc>
          <w:tcPr>
            <w:tcW w:type="dxa" w:w="2880"/>
          </w:tcPr>
          <w:p>
            <w:r>
              <w:t>esg:IsCalculatedBy</w:t>
            </w:r>
          </w:p>
        </w:tc>
        <w:tc>
          <w:tcPr>
            <w:tcW w:type="dxa" w:w="2880"/>
          </w:tcPr>
          <w:p>
            <w:r>
              <w:t>esg:GHGEmissionIntensityModel</w:t>
            </w:r>
          </w:p>
        </w:tc>
      </w:tr>
      <w:tr>
        <w:tc>
          <w:tcPr>
            <w:tcW w:type="dxa" w:w="2880"/>
          </w:tcPr>
          <w:p>
            <w:r>
              <w:t>esg:GHGEmissionIntensityModel</w:t>
            </w:r>
          </w:p>
        </w:tc>
        <w:tc>
          <w:tcPr>
            <w:tcW w:type="dxa" w:w="2880"/>
          </w:tcPr>
          <w:p>
            <w:r>
              <w:t>esg:RequiresInputFrom</w:t>
            </w:r>
          </w:p>
        </w:tc>
        <w:tc>
          <w:tcPr>
            <w:tcW w:type="dxa" w:w="2880"/>
          </w:tcPr>
          <w:p>
            <w:r>
              <w:t>esg:GrossGlobalScope1Emissions</w:t>
            </w:r>
          </w:p>
        </w:tc>
      </w:tr>
      <w:tr>
        <w:tc>
          <w:tcPr>
            <w:tcW w:type="dxa" w:w="2880"/>
          </w:tcPr>
          <w:p>
            <w:r>
              <w:t>esg:GrossGlobalScope1Emissions</w:t>
            </w:r>
          </w:p>
        </w:tc>
        <w:tc>
          <w:tcPr>
            <w:tcW w:type="dxa" w:w="2880"/>
          </w:tcPr>
          <w:p>
            <w:r>
              <w:t>esg:hasDataDomain</w:t>
            </w:r>
          </w:p>
        </w:tc>
        <w:tc>
          <w:tcPr>
            <w:tcW w:type="dxa" w:w="2880"/>
          </w:tcPr>
          <w:p>
            <w:r>
              <w:t>"ESG"</w:t>
            </w:r>
          </w:p>
        </w:tc>
      </w:tr>
      <w:tr>
        <w:tc>
          <w:tcPr>
            <w:tcW w:type="dxa" w:w="2880"/>
          </w:tcPr>
          <w:p>
            <w:r>
              <w:t>esg:Revenue</w:t>
            </w:r>
          </w:p>
        </w:tc>
        <w:tc>
          <w:tcPr>
            <w:tcW w:type="dxa" w:w="2880"/>
          </w:tcPr>
          <w:p>
            <w:r>
              <w:t>esg:hasDataDomain</w:t>
            </w:r>
          </w:p>
        </w:tc>
        <w:tc>
          <w:tcPr>
            <w:tcW w:type="dxa" w:w="2880"/>
          </w:tcPr>
          <w:p>
            <w:r>
              <w:t>"Financial"</w:t>
            </w:r>
          </w:p>
        </w:tc>
      </w:tr>
      <w:tr>
        <w:tc>
          <w:tcPr>
            <w:tcW w:type="dxa" w:w="2880"/>
          </w:tcPr>
          <w:p>
            <w:r>
              <w:t>esg:CO2DIRECTSCOPE1</w:t>
            </w:r>
          </w:p>
        </w:tc>
        <w:tc>
          <w:tcPr>
            <w:tcW w:type="dxa" w:w="2880"/>
          </w:tcPr>
          <w:p>
            <w:r>
              <w:t>esg:SourcesFrom</w:t>
            </w:r>
          </w:p>
        </w:tc>
        <w:tc>
          <w:tcPr>
            <w:tcW w:type="dxa" w:w="2880"/>
          </w:tcPr>
          <w:p>
            <w:r>
              <w:t>esg:Eurofidai</w:t>
            </w:r>
          </w:p>
        </w:tc>
      </w:tr>
    </w:tbl>
    <w:p/>
    <w:p>
      <w:r>
        <w:t>Table 4.11: Example RDF triples in ESGMKG.</w:t>
      </w:r>
    </w:p>
    <w:p>
      <w:r>
        <w:t>SPARQL queries enable flexible retrieval of information from ESGMKG. Table 4.12 shows a query that retrieves all metrics in a given category along with their derivation method, demonstrating how to distinguish between calculated and direct metrics.</w:t>
      </w:r>
    </w:p>
    <w:tbl>
      <w:tblPr>
        <w:tblStyle w:val="TableGrid"/>
        <w:tblW w:type="auto" w:w="0"/>
        <w:tblLook w:firstColumn="1" w:firstRow="1" w:lastColumn="0" w:lastRow="0" w:noHBand="0" w:noVBand="1" w:val="04A0"/>
      </w:tblPr>
      <w:tblGrid>
        <w:gridCol w:w="4320"/>
        <w:gridCol w:w="4320"/>
      </w:tblGrid>
      <w:tr>
        <w:tc>
          <w:tcPr>
            <w:tcW w:type="dxa" w:w="4320"/>
          </w:tcPr>
          <w:p>
            <w:r>
              <w:t>Line</w:t>
            </w:r>
          </w:p>
        </w:tc>
        <w:tc>
          <w:tcPr>
            <w:tcW w:type="dxa" w:w="4320"/>
          </w:tcPr>
          <w:p>
            <w:r>
              <w:t>SPARQL Query</w:t>
            </w:r>
          </w:p>
        </w:tc>
      </w:tr>
      <w:tr>
        <w:tc>
          <w:tcPr>
            <w:tcW w:type="dxa" w:w="4320"/>
          </w:tcPr>
          <w:p>
            <w:r>
              <w:t>1</w:t>
            </w:r>
          </w:p>
        </w:tc>
        <w:tc>
          <w:tcPr>
            <w:tcW w:type="dxa" w:w="4320"/>
          </w:tcPr>
          <w:p>
            <w:r>
              <w:t>PREFIX esg: &lt;http://example.org/esg#&gt;</w:t>
            </w:r>
          </w:p>
        </w:tc>
      </w:tr>
      <w:tr>
        <w:tc>
          <w:tcPr>
            <w:tcW w:type="dxa" w:w="4320"/>
          </w:tcPr>
          <w:p>
            <w:r>
              <w:t>2</w:t>
            </w:r>
          </w:p>
        </w:tc>
        <w:tc>
          <w:tcPr>
            <w:tcW w:type="dxa" w:w="4320"/>
          </w:tcPr>
          <w:p>
            <w:r/>
          </w:p>
        </w:tc>
      </w:tr>
      <w:tr>
        <w:tc>
          <w:tcPr>
            <w:tcW w:type="dxa" w:w="4320"/>
          </w:tcPr>
          <w:p>
            <w:r>
              <w:t>3</w:t>
            </w:r>
          </w:p>
        </w:tc>
        <w:tc>
          <w:tcPr>
            <w:tcW w:type="dxa" w:w="4320"/>
          </w:tcPr>
          <w:p>
            <w:r>
              <w:t>SELECT ?metric ?model ?variable</w:t>
            </w:r>
          </w:p>
        </w:tc>
      </w:tr>
      <w:tr>
        <w:tc>
          <w:tcPr>
            <w:tcW w:type="dxa" w:w="4320"/>
          </w:tcPr>
          <w:p>
            <w:r>
              <w:t>4</w:t>
            </w:r>
          </w:p>
        </w:tc>
        <w:tc>
          <w:tcPr>
            <w:tcW w:type="dxa" w:w="4320"/>
          </w:tcPr>
          <w:p>
            <w:r>
              <w:t>WHERE {</w:t>
            </w:r>
          </w:p>
        </w:tc>
      </w:tr>
      <w:tr>
        <w:tc>
          <w:tcPr>
            <w:tcW w:type="dxa" w:w="4320"/>
          </w:tcPr>
          <w:p>
            <w:r>
              <w:t>5</w:t>
            </w:r>
          </w:p>
        </w:tc>
        <w:tc>
          <w:tcPr>
            <w:tcW w:type="dxa" w:w="4320"/>
          </w:tcPr>
          <w:p>
            <w:r>
              <w:t xml:space="preserve">    esg:EnvironmentalRisk esg:ConsistsOf ?metric .</w:t>
            </w:r>
          </w:p>
        </w:tc>
      </w:tr>
      <w:tr>
        <w:tc>
          <w:tcPr>
            <w:tcW w:type="dxa" w:w="4320"/>
          </w:tcPr>
          <w:p>
            <w:r>
              <w:t>6</w:t>
            </w:r>
          </w:p>
        </w:tc>
        <w:tc>
          <w:tcPr>
            <w:tcW w:type="dxa" w:w="4320"/>
          </w:tcPr>
          <w:p>
            <w:r>
              <w:t xml:space="preserve">    OPTIONAL { ?metric esg:IsCalculatedBy ?model . }</w:t>
            </w:r>
          </w:p>
        </w:tc>
      </w:tr>
      <w:tr>
        <w:tc>
          <w:tcPr>
            <w:tcW w:type="dxa" w:w="4320"/>
          </w:tcPr>
          <w:p>
            <w:r>
              <w:t>7</w:t>
            </w:r>
          </w:p>
        </w:tc>
        <w:tc>
          <w:tcPr>
            <w:tcW w:type="dxa" w:w="4320"/>
          </w:tcPr>
          <w:p>
            <w:r>
              <w:t xml:space="preserve">    OPTIONAL { ?metric esg:ObtainedFrom ?variable . }</w:t>
            </w:r>
          </w:p>
        </w:tc>
      </w:tr>
      <w:tr>
        <w:tc>
          <w:tcPr>
            <w:tcW w:type="dxa" w:w="4320"/>
          </w:tcPr>
          <w:p>
            <w:r>
              <w:t>8</w:t>
            </w:r>
          </w:p>
        </w:tc>
        <w:tc>
          <w:tcPr>
            <w:tcW w:type="dxa" w:w="4320"/>
          </w:tcPr>
          <w:p>
            <w:r>
              <w:t>}</w:t>
            </w:r>
          </w:p>
        </w:tc>
      </w:tr>
      <w:tr>
        <w:tc>
          <w:tcPr>
            <w:tcW w:type="dxa" w:w="4320"/>
          </w:tcPr>
          <w:p>
            <w:r/>
          </w:p>
        </w:tc>
        <w:tc>
          <w:tcPr>
            <w:tcW w:type="dxa" w:w="4320"/>
          </w:tcPr>
          <w:p>
            <w:r>
              <w:t>Note: Line 6 matches calculated metrics; Line 7 matches direct metrics</w:t>
            </w:r>
          </w:p>
        </w:tc>
      </w:tr>
    </w:tbl>
    <w:p/>
    <w:p>
      <w:r>
        <w:t>Table 4.12: SPARQL query to retrieve metrics and their derivation methods (Algorithm 1).</w:t>
      </w:r>
    </w:p>
    <w:p>
      <w:r>
        <w:t>Table 4.13 presents a query that traces a calculated metric through its recursive composition to the underlying data sources, resolving component metrics along the way.</w:t>
      </w:r>
    </w:p>
    <w:tbl>
      <w:tblPr>
        <w:tblStyle w:val="TableGrid"/>
        <w:tblW w:type="auto" w:w="0"/>
        <w:tblLook w:firstColumn="1" w:firstRow="1" w:lastColumn="0" w:lastRow="0" w:noHBand="0" w:noVBand="1" w:val="04A0"/>
      </w:tblPr>
      <w:tblGrid>
        <w:gridCol w:w="4320"/>
        <w:gridCol w:w="4320"/>
      </w:tblGrid>
      <w:tr>
        <w:tc>
          <w:tcPr>
            <w:tcW w:type="dxa" w:w="4320"/>
          </w:tcPr>
          <w:p>
            <w:r>
              <w:t>Line</w:t>
            </w:r>
          </w:p>
        </w:tc>
        <w:tc>
          <w:tcPr>
            <w:tcW w:type="dxa" w:w="4320"/>
          </w:tcPr>
          <w:p>
            <w:r>
              <w:t>SPARQL Query</w:t>
            </w:r>
          </w:p>
        </w:tc>
      </w:tr>
      <w:tr>
        <w:tc>
          <w:tcPr>
            <w:tcW w:type="dxa" w:w="4320"/>
          </w:tcPr>
          <w:p>
            <w:r>
              <w:t>1</w:t>
            </w:r>
          </w:p>
        </w:tc>
        <w:tc>
          <w:tcPr>
            <w:tcW w:type="dxa" w:w="4320"/>
          </w:tcPr>
          <w:p>
            <w:r>
              <w:t>PREFIX esg: &lt;http://example.org/esg#&gt;</w:t>
            </w:r>
          </w:p>
        </w:tc>
      </w:tr>
      <w:tr>
        <w:tc>
          <w:tcPr>
            <w:tcW w:type="dxa" w:w="4320"/>
          </w:tcPr>
          <w:p>
            <w:r>
              <w:t>2</w:t>
            </w:r>
          </w:p>
        </w:tc>
        <w:tc>
          <w:tcPr>
            <w:tcW w:type="dxa" w:w="4320"/>
          </w:tcPr>
          <w:p>
            <w:r/>
          </w:p>
        </w:tc>
      </w:tr>
      <w:tr>
        <w:tc>
          <w:tcPr>
            <w:tcW w:type="dxa" w:w="4320"/>
          </w:tcPr>
          <w:p>
            <w:r>
              <w:t>3</w:t>
            </w:r>
          </w:p>
        </w:tc>
        <w:tc>
          <w:tcPr>
            <w:tcW w:type="dxa" w:w="4320"/>
          </w:tcPr>
          <w:p>
            <w:r>
              <w:t>SELECT ?topMetric ?componentMetric ?variable ?dataSource</w:t>
            </w:r>
          </w:p>
        </w:tc>
      </w:tr>
      <w:tr>
        <w:tc>
          <w:tcPr>
            <w:tcW w:type="dxa" w:w="4320"/>
          </w:tcPr>
          <w:p>
            <w:r>
              <w:t>4</w:t>
            </w:r>
          </w:p>
        </w:tc>
        <w:tc>
          <w:tcPr>
            <w:tcW w:type="dxa" w:w="4320"/>
          </w:tcPr>
          <w:p>
            <w:r>
              <w:t>WHERE {</w:t>
            </w:r>
          </w:p>
        </w:tc>
      </w:tr>
      <w:tr>
        <w:tc>
          <w:tcPr>
            <w:tcW w:type="dxa" w:w="4320"/>
          </w:tcPr>
          <w:p>
            <w:r>
              <w:t>5</w:t>
            </w:r>
          </w:p>
        </w:tc>
        <w:tc>
          <w:tcPr>
            <w:tcW w:type="dxa" w:w="4320"/>
          </w:tcPr>
          <w:p>
            <w:r>
              <w:t xml:space="preserve">    ?topMetric esg:IsCalculatedBy ?topModel .          # Target metric</w:t>
            </w:r>
          </w:p>
        </w:tc>
      </w:tr>
      <w:tr>
        <w:tc>
          <w:tcPr>
            <w:tcW w:type="dxa" w:w="4320"/>
          </w:tcPr>
          <w:p>
            <w:r>
              <w:t>6</w:t>
            </w:r>
          </w:p>
        </w:tc>
        <w:tc>
          <w:tcPr>
            <w:tcW w:type="dxa" w:w="4320"/>
          </w:tcPr>
          <w:p>
            <w:r>
              <w:t xml:space="preserve">    ?topModel esg:RequiresInputFrom ?componentMetric .</w:t>
            </w:r>
          </w:p>
        </w:tc>
      </w:tr>
      <w:tr>
        <w:tc>
          <w:tcPr>
            <w:tcW w:type="dxa" w:w="4320"/>
          </w:tcPr>
          <w:p>
            <w:r>
              <w:t>7</w:t>
            </w:r>
          </w:p>
        </w:tc>
        <w:tc>
          <w:tcPr>
            <w:tcW w:type="dxa" w:w="4320"/>
          </w:tcPr>
          <w:p>
            <w:r>
              <w:t xml:space="preserve">    ?componentMetric esg:IsCalculatedBy ?compModel .   # Component metric</w:t>
            </w:r>
          </w:p>
        </w:tc>
      </w:tr>
      <w:tr>
        <w:tc>
          <w:tcPr>
            <w:tcW w:type="dxa" w:w="4320"/>
          </w:tcPr>
          <w:p>
            <w:r>
              <w:t>8</w:t>
            </w:r>
          </w:p>
        </w:tc>
        <w:tc>
          <w:tcPr>
            <w:tcW w:type="dxa" w:w="4320"/>
          </w:tcPr>
          <w:p>
            <w:r>
              <w:t xml:space="preserve">    ?compModel esg:RequiresInputFrom ?variable .</w:t>
            </w:r>
          </w:p>
        </w:tc>
      </w:tr>
      <w:tr>
        <w:tc>
          <w:tcPr>
            <w:tcW w:type="dxa" w:w="4320"/>
          </w:tcPr>
          <w:p>
            <w:r>
              <w:t>9</w:t>
            </w:r>
          </w:p>
        </w:tc>
        <w:tc>
          <w:tcPr>
            <w:tcW w:type="dxa" w:w="4320"/>
          </w:tcPr>
          <w:p>
            <w:r>
              <w:t xml:space="preserve">    ?variable esg:SourcesFrom ?dataSource .            # Data source</w:t>
            </w:r>
          </w:p>
        </w:tc>
      </w:tr>
      <w:tr>
        <w:tc>
          <w:tcPr>
            <w:tcW w:type="dxa" w:w="4320"/>
          </w:tcPr>
          <w:p>
            <w:r>
              <w:t>10</w:t>
            </w:r>
          </w:p>
        </w:tc>
        <w:tc>
          <w:tcPr>
            <w:tcW w:type="dxa" w:w="4320"/>
          </w:tcPr>
          <w:p>
            <w:r>
              <w:t>}</w:t>
            </w:r>
          </w:p>
        </w:tc>
      </w:tr>
      <w:tr>
        <w:tc>
          <w:tcPr>
            <w:tcW w:type="dxa" w:w="4320"/>
          </w:tcPr>
          <w:p>
            <w:r/>
          </w:p>
        </w:tc>
        <w:tc>
          <w:tcPr>
            <w:tcW w:type="dxa" w:w="4320"/>
          </w:tcPr>
          <w:p>
            <w:r>
              <w:t>Note: Traces from target metric through component metrics to data sources</w:t>
            </w:r>
          </w:p>
        </w:tc>
      </w:tr>
    </w:tbl>
    <w:p/>
    <w:p>
      <w:r>
        <w:t>Table 4.13: SPARQL query to trace metric hierarchy to data sources (Algorithm 2).</w:t>
      </w:r>
    </w:p>
    <w:p>
      <w:r>
        <w:t>These queries illustrate how ESGMKG enables systematic navigation through both metric derivation paths, from high-level metrics down to underlying data sources.</w:t>
      </w:r>
    </w:p>
    <w:p>
      <w:pPr>
        <w:pStyle w:val="Heading1"/>
      </w:pPr>
      <w:r>
        <w:t>4.5 Discussion and Conclusion</w:t>
      </w:r>
    </w:p>
    <w:p>
      <w:pPr>
        <w:pStyle w:val="Heading2"/>
      </w:pPr>
      <w:r>
        <w:t>4.5.1 Summary of Contributions</w:t>
      </w:r>
    </w:p>
    <w:p>
      <w:r>
        <w:t>This chapter presented ESGMKG, a domain-specific knowledge graph for ESG metric management. The primary contribution is a conceptual model comprising eight core entities—Industry, Reporting Framework, Category, Metric, Model, Implementation, Dataset Variable, and Data Source—connected through eight semantic relationships that enable end-to-end traceability. A key design feature is the dual derivation paths for metrics: calculated metrics are linked to computational models via IsCalculatedBy, while direct metrics are linked to dataset variables via ObtainedFrom. Both paths represent alternative approaches at the same conceptual level. The hasDataDomain property enables clear distinction between ESG and Financial data sources, which is essential for intensity metrics that combine data from multiple domains. The hierarchical metric composition capability, demonstrated within the calculated metric path, shows how aggregate metrics can depend on component metrics, which in turn depend on raw dataset variables. The ontology was developed using a hybrid design methodology that combines top-down structures derived from regulatory frameworks with bottom-up grounding in operational ESG data workflows. The chapter validated the ontology through seven competency questions representing realistic ESG reporting information needs.</w:t>
      </w:r>
    </w:p>
    <w:p>
      <w:pPr>
        <w:pStyle w:val="Heading2"/>
      </w:pPr>
      <w:r>
        <w:t>4.5.2 Limitations</w:t>
      </w:r>
    </w:p>
    <w:p>
      <w:r>
        <w:t>Several limitations of the current work should be acknowledged. The scope of instantiation focuses on environmental risk metrics for demonstration purposes; comprehensive deployment would require extensive population with metrics from multiple categories (social, governance) and frameworks across different industries. The schema does not explicitly model temporal dynamics such as framework versioning, metric evolution, or historical changes to computational models; incorporating temporal semantics would enable tracking of how ESG reporting requirements evolve over time. While ESGMKG traces metrics to data sources, it does not capture data quality metadata such as completeness, accuracy, or timeliness; extending the ontology with data quality dimensions would enhance its utility for assurance purposes. Finally, the current approach relies on manual population of the knowledge graph; future work could explore automated extraction of ESG knowledge from regulatory documents and corporate reports using natural language processing techniques.</w:t>
      </w:r>
    </w:p>
    <w:p>
      <w:pPr>
        <w:pStyle w:val="Heading2"/>
      </w:pPr>
      <w:r>
        <w:t>4.5.3 Future Research Directions</w:t>
      </w:r>
    </w:p>
    <w:p>
      <w:r>
        <w:t>Future research directions include extended framework coverage to incorporate additional frameworks such as GRI, CDP, and TNFD, along with social and governance metrics; integration with large language models to enable natural language querying and automated knowledge extraction from unstructured ESG documents; reasoning and inference capabilities using OWL reasoning to infer implicit relationships, detect inconsistencies, and recommend appropriate metrics based on industry context; and enterprise integration patterns for connecting ESGMKG with enterprise sustainability management systems and ESG reporting platforms.</w:t>
      </w:r>
    </w:p>
    <w:p>
      <w:pPr>
        <w:pStyle w:val="Heading2"/>
      </w:pPr>
      <w:r>
        <w:t>4.5.4 Conclusion</w:t>
      </w:r>
    </w:p>
    <w:p>
      <w:r>
        <w:t>ESGMKG addresses the critical need for structured, machine-interpretable representations of ESG reporting knowledge. By explicitly modelling the relationships between frameworks, metrics, models, and data sources—and by supporting both calculated and direct metric derivation paths with hierarchical composition—ESGMKG enables transparency, traceability, and interoperability in ESG reporting. The hasDataDomain property ensures that metrics from heterogeneous sources (ESG and Financial) are correctly attributed, enabling accurate intensity calculations. The knowledge graph provides a foundation for building intelligent ESG reporting systems that can navigate the complexity of multi-framework compliance while maintaining auditability and consistency.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