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ESG Metric Extraction Experiments - Results</w:t>
      </w:r>
    </w:p>
    <w:p/>
    <w:p>
      <w:pPr>
        <w:pStyle w:val="Heading2"/>
      </w:pPr>
      <w:r>
        <w:t>SASB Commercial Banks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Commercial Banks Sustainability Accounting Standard FINANCIALS SECTOR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Sustainability Disclosure Topics &amp; Metrics (pages 6-7)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before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after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(Metric, IsCalculatedBy, Model): "Number of data breaches"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82.72</w:t>
            </w:r>
          </w:p>
        </w:tc>
        <w:tc>
          <w:tcPr>
            <w:tcW w:type="dxa" w:w="1234"/>
          </w:tcPr>
          <w:p>
            <w:r>
              <w:t>79.25</w:t>
            </w:r>
          </w:p>
        </w:tc>
        <w:tc>
          <w:tcPr>
            <w:tcW w:type="dxa" w:w="1234"/>
          </w:tcPr>
          <w:p>
            <w:r>
              <w:t>79.25</w:t>
            </w:r>
          </w:p>
        </w:tc>
        <w:tc>
          <w:tcPr>
            <w:tcW w:type="dxa" w:w="1234"/>
          </w:tcPr>
          <w:p>
            <w:r>
              <w:t>"Number of Past Due Small Business Loans" - financial metric, not ESG</w:t>
            </w:r>
          </w:p>
        </w:tc>
      </w:tr>
    </w:tbl>
    <w:p/>
    <w:p>
      <w:pPr>
        <w:pStyle w:val="Heading3"/>
      </w:pPr>
      <w:r>
        <w:t>Resulting Ontology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</w:tbl>
    <w:p/>
    <w:p/>
    <w:p>
      <w:pPr>
        <w:pStyle w:val="Heading2"/>
      </w:pPr>
      <w:r>
        <w:t>SASB Semiconductors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Semiconductors Sustainability Accounting Standard TECHNOLOGY &amp; COMMUNICATIONS SECTOR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Greenhouse Gas Emissions (pages 8-10)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before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after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(Category, ConsistOf, Metric): "GHG Emissions" → "Gross global Scope 1 emissions"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82.02</w:t>
            </w:r>
          </w:p>
        </w:tc>
        <w:tc>
          <w:tcPr>
            <w:tcW w:type="dxa" w:w="1234"/>
          </w:tcPr>
          <w:p>
            <w:r>
              <w:t>89.86</w:t>
            </w:r>
          </w:p>
        </w:tc>
        <w:tc>
          <w:tcPr>
            <w:tcW w:type="dxa" w:w="1234"/>
          </w:tcPr>
          <w:p>
            <w:r>
              <w:t>90.14</w:t>
            </w:r>
          </w:p>
        </w:tc>
        <w:tc>
          <w:tcPr>
            <w:tcW w:type="dxa" w:w="1234"/>
          </w:tcPr>
          <w:p>
            <w:r>
              <w:t>Non-ESG competitive behavior metrics</w:t>
            </w:r>
          </w:p>
        </w:tc>
      </w:tr>
    </w:tbl>
    <w:p/>
    <w:p>
      <w:pPr>
        <w:pStyle w:val="Heading3"/>
      </w:pPr>
      <w:r>
        <w:t>Resulting Ontology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69</w:t>
            </w:r>
          </w:p>
        </w:tc>
      </w:tr>
    </w:tbl>
    <w:p/>
    <w:p/>
    <w:p>
      <w:pPr>
        <w:pStyle w:val="Heading2"/>
      </w:pPr>
      <w:r>
        <w:t>IFRS S2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June 2023 IFRS S2 IFRS Sustainability Disclosure Standard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Strategy (pages 8-23)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before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after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(ReportingFramework, Include, Category): IFRS S2 → "Strategy"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81.48</w:t>
            </w:r>
          </w:p>
        </w:tc>
        <w:tc>
          <w:tcPr>
            <w:tcW w:type="dxa" w:w="1234"/>
          </w:tcPr>
          <w:p>
            <w:r>
              <w:t>85.00</w:t>
            </w:r>
          </w:p>
        </w:tc>
        <w:tc>
          <w:tcPr>
            <w:tcW w:type="dxa" w:w="1234"/>
          </w:tcPr>
          <w:p>
            <w:r>
              <w:t>89.23</w:t>
            </w:r>
          </w:p>
        </w:tc>
        <w:tc>
          <w:tcPr>
            <w:tcW w:type="dxa" w:w="1234"/>
          </w:tcPr>
          <w:p>
            <w:r>
              <w:t>Metrics with missing unit specifications</w:t>
            </w:r>
          </w:p>
        </w:tc>
      </w:tr>
    </w:tbl>
    <w:p/>
    <w:p>
      <w:pPr>
        <w:pStyle w:val="Heading3"/>
      </w:pPr>
      <w:r>
        <w:t>Resulting Ontology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</w:tbl>
    <w:p/>
    <w:p/>
    <w:p>
      <w:pPr>
        <w:pStyle w:val="Heading2"/>
      </w:pPr>
      <w:r>
        <w:t>Australia AASB S2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Australian Sustainability Reporting Standard AASB S2 September 2024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APPENDICES (pages 11-57)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before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after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(Category, ConsistOf, Metric): "Strategy" → climate risk metrics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83.33</w:t>
            </w:r>
          </w:p>
        </w:tc>
        <w:tc>
          <w:tcPr>
            <w:tcW w:type="dxa" w:w="1234"/>
          </w:tcPr>
          <w:p>
            <w:r>
              <w:t>89.19</w:t>
            </w:r>
          </w:p>
        </w:tc>
        <w:tc>
          <w:tcPr>
            <w:tcW w:type="dxa" w:w="1234"/>
          </w:tcPr>
          <w:p>
            <w:r>
              <w:t>86.67</w:t>
            </w:r>
          </w:p>
        </w:tc>
        <w:tc>
          <w:tcPr>
            <w:tcW w:type="dxa" w:w="1234"/>
          </w:tcPr>
          <w:p>
            <w:r>
              <w:t>Metrics lacking valid code/unit</w:t>
            </w:r>
          </w:p>
        </w:tc>
      </w:tr>
    </w:tbl>
    <w:p/>
    <w:p>
      <w:pPr>
        <w:pStyle w:val="Heading3"/>
      </w:pPr>
      <w:r>
        <w:t>Resulting Ontology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74</w:t>
            </w:r>
          </w:p>
        </w:tc>
      </w:tr>
    </w:tbl>
    <w:p/>
    <w:p/>
    <w:p>
      <w:pPr>
        <w:pStyle w:val="Heading2"/>
      </w:pPr>
      <w:r>
        <w:t>TCFD Report</w:t>
      </w:r>
    </w:p>
    <w:p>
      <w:pPr>
        <w:pStyle w:val="Heading3"/>
      </w:pPr>
      <w:r>
        <w:t>Stage 1: PDF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Title page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Number of segments extracted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Example of segment</w:t>
            </w:r>
          </w:p>
        </w:tc>
      </w:tr>
      <w:tr>
        <w:tc>
          <w:tcPr>
            <w:tcW w:type="dxa" w:w="2160"/>
          </w:tcPr>
          <w:p>
            <w:r>
              <w:t>FINAL-2017-TCFD-Report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Guidance for All Sectors (pages 19-24)</w:t>
            </w:r>
          </w:p>
        </w:tc>
      </w:tr>
    </w:tbl>
    <w:p/>
    <w:p>
      <w:pPr>
        <w:pStyle w:val="Heading3"/>
      </w:pPr>
      <w:r>
        <w:t>Stage 2: Ontology-Guided Extraction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before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Number of entities after merging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Example of triple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(Category, ConsistOf, Metric): "Guidance All Sectors" → "Scope 1, 2, and 3 GHG emissions"</w:t>
            </w:r>
          </w:p>
        </w:tc>
      </w:tr>
    </w:tbl>
    <w:p/>
    <w:p>
      <w:pPr>
        <w:pStyle w:val="Heading3"/>
      </w:pPr>
      <w:r>
        <w:t>Stage 3: Two-Phase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Validation rules used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before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Entities after validation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Example of invalid entity removed</w:t>
            </w:r>
          </w:p>
        </w:tc>
      </w:tr>
      <w:tr>
        <w:tc>
          <w:tcPr>
            <w:tcW w:type="dxa" w:w="1234"/>
          </w:tcPr>
          <w:p>
            <w:r>
              <w:t>VR001, VR002, VR003, VR004, VR005, VR006</w:t>
            </w:r>
          </w:p>
        </w:tc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80.09</w:t>
            </w:r>
          </w:p>
        </w:tc>
        <w:tc>
          <w:tcPr>
            <w:tcW w:type="dxa" w:w="1234"/>
          </w:tcPr>
          <w:p>
            <w:r>
              <w:t>64.77</w:t>
            </w:r>
          </w:p>
        </w:tc>
        <w:tc>
          <w:tcPr>
            <w:tcW w:type="dxa" w:w="1234"/>
          </w:tcPr>
          <w:p>
            <w:r>
              <w:t>62.79</w:t>
            </w:r>
          </w:p>
        </w:tc>
        <w:tc>
          <w:tcPr>
            <w:tcW w:type="dxa" w:w="1234"/>
          </w:tcPr>
          <w:p>
            <w:r>
              <w:t>Narrative guidance paragraphs extracted as Metrics</w:t>
            </w:r>
          </w:p>
        </w:tc>
      </w:tr>
    </w:tbl>
    <w:p/>
    <w:p>
      <w:pPr>
        <w:pStyle w:val="Heading3"/>
      </w:pPr>
      <w:r>
        <w:t>Resulting Ontology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ReportingFramework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88</w:t>
            </w:r>
          </w:p>
        </w:tc>
      </w:tr>
    </w:tbl>
    <w:p/>
    <w:p/>
    <w:p>
      <w:pPr>
        <w:pStyle w:val="Heading2"/>
      </w:pPr>
      <w:r>
        <w:t>Summary Statistics</w:t>
      </w:r>
    </w:p>
    <w:p>
      <w:pPr>
        <w:pStyle w:val="Heading3"/>
      </w:pPr>
      <w:r>
        <w:t>Overall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Document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Total Pages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Segments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Entities Extracted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Entities Validated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Retention Rate (%)</w:t>
            </w:r>
          </w:p>
        </w:tc>
      </w:tr>
      <w:tr>
        <w:tc>
          <w:tcPr>
            <w:tcW w:type="dxa" w:w="1440"/>
          </w:tcPr>
          <w:p>
            <w:r>
              <w:t>SASB Commercial Banks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79.25</w:t>
            </w:r>
          </w:p>
        </w:tc>
      </w:tr>
      <w:tr>
        <w:tc>
          <w:tcPr>
            <w:tcW w:type="dxa" w:w="1440"/>
          </w:tcPr>
          <w:p>
            <w:r>
              <w:t>SASB Semiconductors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89.86</w:t>
            </w:r>
          </w:p>
        </w:tc>
      </w:tr>
      <w:tr>
        <w:tc>
          <w:tcPr>
            <w:tcW w:type="dxa" w:w="1440"/>
          </w:tcPr>
          <w:p>
            <w:r>
              <w:t>IFRS S2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85.00</w:t>
            </w:r>
          </w:p>
        </w:tc>
      </w:tr>
      <w:tr>
        <w:tc>
          <w:tcPr>
            <w:tcW w:type="dxa" w:w="1440"/>
          </w:tcPr>
          <w:p>
            <w:r>
              <w:t>Australia AASB S2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89.19</w:t>
            </w:r>
          </w:p>
        </w:tc>
      </w:tr>
      <w:tr>
        <w:tc>
          <w:tcPr>
            <w:tcW w:type="dxa" w:w="1440"/>
          </w:tcPr>
          <w:p>
            <w:r>
              <w:t>TCFD Report</w:t>
            </w:r>
          </w:p>
        </w:tc>
        <w:tc>
          <w:tcPr>
            <w:tcW w:type="dxa" w:w="1440"/>
          </w:tcPr>
          <w:p>
            <w:r>
              <w:t>74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64.77</w:t>
            </w:r>
          </w:p>
        </w:tc>
      </w:tr>
      <w:tr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228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364</w:t>
            </w:r>
          </w:p>
        </w:tc>
        <w:tc>
          <w:tcPr>
            <w:tcW w:type="dxa" w:w="1440"/>
          </w:tcPr>
          <w:p>
            <w:r>
              <w:t>295</w:t>
            </w:r>
          </w:p>
        </w:tc>
        <w:tc>
          <w:tcPr>
            <w:tcW w:type="dxa" w:w="1440"/>
          </w:tcPr>
          <w:p>
            <w:r>
              <w:t>81.04</w:t>
            </w:r>
          </w:p>
        </w:tc>
      </w:tr>
    </w:tbl>
    <w:p/>
    <w:p>
      <w:pPr>
        <w:pStyle w:val="Heading3"/>
      </w:pPr>
      <w:r>
        <w:t>Validation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Schema Compliance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Semantic Accuracy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Relationship Retention (%)</w:t>
            </w:r>
          </w:p>
        </w:tc>
      </w:tr>
      <w:tr>
        <w:tc>
          <w:tcPr>
            <w:tcW w:type="dxa" w:w="2160"/>
          </w:tcPr>
          <w:p>
            <w:r>
              <w:t>SASB Commercial Banks</w:t>
            </w:r>
          </w:p>
        </w:tc>
        <w:tc>
          <w:tcPr>
            <w:tcW w:type="dxa" w:w="2160"/>
          </w:tcPr>
          <w:p>
            <w:r>
              <w:t>82.72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  <w:tc>
          <w:tcPr>
            <w:tcW w:type="dxa" w:w="2160"/>
          </w:tcPr>
          <w:p>
            <w:r>
              <w:t>79.25</w:t>
            </w:r>
          </w:p>
        </w:tc>
      </w:tr>
      <w:tr>
        <w:tc>
          <w:tcPr>
            <w:tcW w:type="dxa" w:w="2160"/>
          </w:tcPr>
          <w:p>
            <w:r>
              <w:t>SASB Semiconductors</w:t>
            </w:r>
          </w:p>
        </w:tc>
        <w:tc>
          <w:tcPr>
            <w:tcW w:type="dxa" w:w="2160"/>
          </w:tcPr>
          <w:p>
            <w:r>
              <w:t>82.02</w:t>
            </w:r>
          </w:p>
        </w:tc>
        <w:tc>
          <w:tcPr>
            <w:tcW w:type="dxa" w:w="2160"/>
          </w:tcPr>
          <w:p>
            <w:r>
              <w:t>89.86</w:t>
            </w:r>
          </w:p>
        </w:tc>
        <w:tc>
          <w:tcPr>
            <w:tcW w:type="dxa" w:w="2160"/>
          </w:tcPr>
          <w:p>
            <w:r>
              <w:t>90.14</w:t>
            </w:r>
          </w:p>
        </w:tc>
      </w:tr>
      <w:tr>
        <w:tc>
          <w:tcPr>
            <w:tcW w:type="dxa" w:w="2160"/>
          </w:tcPr>
          <w:p>
            <w:r>
              <w:t>IFRS S2</w:t>
            </w:r>
          </w:p>
        </w:tc>
        <w:tc>
          <w:tcPr>
            <w:tcW w:type="dxa" w:w="2160"/>
          </w:tcPr>
          <w:p>
            <w:r>
              <w:t>81.48</w:t>
            </w:r>
          </w:p>
        </w:tc>
        <w:tc>
          <w:tcPr>
            <w:tcW w:type="dxa" w:w="2160"/>
          </w:tcPr>
          <w:p>
            <w:r>
              <w:t>85.00</w:t>
            </w:r>
          </w:p>
        </w:tc>
        <w:tc>
          <w:tcPr>
            <w:tcW w:type="dxa" w:w="2160"/>
          </w:tcPr>
          <w:p>
            <w:r>
              <w:t>89.23</w:t>
            </w:r>
          </w:p>
        </w:tc>
      </w:tr>
      <w:tr>
        <w:tc>
          <w:tcPr>
            <w:tcW w:type="dxa" w:w="2160"/>
          </w:tcPr>
          <w:p>
            <w:r>
              <w:t>Australia AASB S2</w:t>
            </w:r>
          </w:p>
        </w:tc>
        <w:tc>
          <w:tcPr>
            <w:tcW w:type="dxa" w:w="2160"/>
          </w:tcPr>
          <w:p>
            <w:r>
              <w:t>83.33</w:t>
            </w:r>
          </w:p>
        </w:tc>
        <w:tc>
          <w:tcPr>
            <w:tcW w:type="dxa" w:w="2160"/>
          </w:tcPr>
          <w:p>
            <w:r>
              <w:t>89.19</w:t>
            </w:r>
          </w:p>
        </w:tc>
        <w:tc>
          <w:tcPr>
            <w:tcW w:type="dxa" w:w="2160"/>
          </w:tcPr>
          <w:p>
            <w:r>
              <w:t>86.67</w:t>
            </w:r>
          </w:p>
        </w:tc>
      </w:tr>
      <w:tr>
        <w:tc>
          <w:tcPr>
            <w:tcW w:type="dxa" w:w="2160"/>
          </w:tcPr>
          <w:p>
            <w:r>
              <w:t>TCFD Report</w:t>
            </w:r>
          </w:p>
        </w:tc>
        <w:tc>
          <w:tcPr>
            <w:tcW w:type="dxa" w:w="2160"/>
          </w:tcPr>
          <w:p>
            <w:r>
              <w:t>80.09</w:t>
            </w:r>
          </w:p>
        </w:tc>
        <w:tc>
          <w:tcPr>
            <w:tcW w:type="dxa" w:w="2160"/>
          </w:tcPr>
          <w:p>
            <w:r>
              <w:t>64.77</w:t>
            </w:r>
          </w:p>
        </w:tc>
        <w:tc>
          <w:tcPr>
            <w:tcW w:type="dxa" w:w="2160"/>
          </w:tcPr>
          <w:p>
            <w:r>
              <w:t>62.79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