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_Toc22135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_Toc22135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_Toc18945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_Toc18945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_Toc23441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_Toc23441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_Toc16776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_Toc16776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_Toc25119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_Toc25119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_Toc24975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_Toc24975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_Toc30097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bookmarkStart w:id="34" w:name="_GoBack"/>
          <w:bookmarkEnd w:id="34"/>
          <w:r>
            <w:tab/>
          </w:r>
          <w:r>
            <w:fldChar w:fldCharType="begin"/>
          </w:r>
          <w:r>
            <w:instrText xml:space="preserve"> PAGEREF _Toc30097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_Toc8390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_Toc8390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_Toc20200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_Toc20200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_Toc17649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_Toc17649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_Toc29303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_Toc18483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_Toc18483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_Toc17548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_Toc17548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_Toc19847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_Toc19847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_Toc5234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_Toc5234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_Toc17993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_Toc17993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_Toc22637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_Toc22637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_Toc14522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_Toc14522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_Toc27288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_Toc27288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_Toc22494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_Toc22494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_Toc21977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_Toc21977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_Toc24369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_Toc24369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_Toc31552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_Toc31552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_Toc30970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_Toc30970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_Toc23436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_Toc23436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_Toc27720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_Toc27720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_Toc28076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_Toc30694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_Toc30694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213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18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2344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6776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25119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24975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30097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8390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02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7649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29303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848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17548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19847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植物数据集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两曲线散点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5234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17993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2637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4522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27288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22494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1977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24369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1552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970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3436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2772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integrade(f,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2807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3069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0</TotalTime>
  <ScaleCrop>false</ScaleCrop>
  <LinksUpToDate>false</LinksUpToDate>
  <CharactersWithSpaces>11669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2023-07-14T15:23:43Z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