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_Toc26278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_Toc26278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_Toc21626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_Toc21626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_Toc2305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_Toc2305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_Toc6355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_Toc10970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_Toc10970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_Toc4930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_Toc4930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_Toc5572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_Toc21883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_Toc21883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_Toc4434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_Toc4434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_Toc15053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_Toc15053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_Toc32139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_Toc32139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_Toc13615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_Toc13615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_Toc5721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_Toc5721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_Toc20250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_Toc20250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_Toc9076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_Toc9076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_Toc28658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_Toc28658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_Toc8644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_Toc8644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_Toc10909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_Toc10909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_Toc18583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_Toc18583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_Toc19144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_Toc19144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_Toc24265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_Toc24265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_Toc1596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_Toc21348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_Toc21348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_Toc19788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_Toc19788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_Toc8431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_Toc8431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_Toc2914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_Toc2914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1883"/>
      <w:bookmarkStart w:id="10" w:name="_Toc934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9788"/>
      <w:bookmarkStart w:id="30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8431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60696C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7C12E5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514364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8D64937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15</TotalTime>
  <ScaleCrop>false</ScaleCrop>
  <LinksUpToDate>false</LinksUpToDate>
  <CharactersWithSpaces>11669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2023-09-30T15:04:09Z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