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_Toc32555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_Toc16488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_Toc8002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_Toc22642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_Toc13144 </w:instrText>
          </w:r>
          <w:r>
            <w:fldChar w:fldCharType="separate"/>
          </w:r>
          <w:r>
            <w:rPr>
              <w:rFonts w:hint="eastAsia" w:cs="华文中宋"/>
              <w:bCs/>
              <w:spacing w:val="0"/>
              <w:kern w:val="2"/>
              <w:szCs w:val="21"/>
              <w:lang w:val="en-US" w:eastAsia="zh-CN" w:bidi="ar-SA"/>
            </w:rPr>
            <w:t>推理</w:t>
          </w:r>
          <w:r>
            <w:rPr>
              <w:rFonts w:hint="eastAsia" w:ascii="华文中宋" w:hAnsi="华文中宋" w:eastAsia="华文中宋" w:cs="华文中宋"/>
              <w:bCs/>
              <w:spacing w:val="0"/>
              <w:kern w:val="2"/>
              <w:szCs w:val="21"/>
              <w:lang w:val="en-US" w:eastAsia="zh-CN" w:bidi="ar-SA"/>
            </w:rPr>
            <w:t>runtime：</w:t>
          </w:r>
          <w:r>
            <w:tab/>
          </w:r>
          <w:r>
            <w:fldChar w:fldCharType="begin"/>
          </w:r>
          <w:r>
            <w:instrText xml:space="preserve"> PAGEREF _Toc13144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_Toc14389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_Toc11807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_Toc11807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_Toc12109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_Toc12109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_Toc29104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_Toc19634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_Toc19634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_Toc14682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_Toc14682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_Toc3527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_Toc18175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_Toc9932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_Toc9932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_Toc6203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_Toc6203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_Toc14297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_Toc18926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_Toc17627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_Toc6664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_Toc25722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_Toc25722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_Toc7210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_Toc7210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_Toc4405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_Toc31278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_Toc31278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_Toc20900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_Toc5139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_Toc5139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_Toc9596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_Toc9596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_Toc9066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_Toc8170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_Toc8170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_Toc5821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_Toc25847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_Toc31360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_Toc31360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_Toc11543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_Toc5308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cv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_Toc25923 </w:instrText>
          </w:r>
          <w:r>
            <w:fldChar w:fldCharType="separate"/>
          </w:r>
          <w:r>
            <w:rPr>
              <w:rFonts w:hint="eastAsia"/>
            </w:rPr>
            <w:t>mmengine：</w:t>
          </w:r>
          <w:r>
            <w:tab/>
          </w:r>
          <w:r>
            <w:fldChar w:fldCharType="begin"/>
          </w:r>
          <w:r>
            <w:instrText xml:space="preserve"> PAGEREF _Toc25923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_Toc9655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det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_Toc13549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gen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_Toc8581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pretrain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_Toc8581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  <w:bookmarkStart w:id="45" w:name="_GoBack"/>
            <w:bookmarkEnd w:id="45"/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1049</TotalTime>
  <ScaleCrop>false</ScaleCrop>
  <LinksUpToDate>false</LinksUpToDate>
  <CharactersWithSpaces>15910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2023-09-10T00:24:16Z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