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39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可阻塞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3"/>
                <w:rFonts w:hint="eastAsia"/>
                <w:lang w:val="en-US" w:eastAsia="zh-CN"/>
              </w:rPr>
              <w:t>stderr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3"/>
                <w:rFonts w:hint="eastAsia"/>
                <w:lang w:val="en-US" w:eastAsia="zh-CN"/>
              </w:rPr>
              <w:t>最低级别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3"/>
                <w:rFonts w:hint="eastAsia"/>
                <w:lang w:val="en-US" w:eastAsia="zh-CN"/>
              </w:rPr>
              <w:t>日志流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状态码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3"/>
                <w:rFonts w:hint="eastAsia"/>
                <w:lang w:val="en-US" w:eastAsia="zh-CN"/>
              </w:rPr>
              <w:t>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动作服务端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3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目标筛选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取消请求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执行目标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3"/>
                <w:rFonts w:hint="eastAsia"/>
                <w:lang w:val="en-US" w:eastAsia="zh-CN"/>
              </w:rPr>
              <w:t>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朝向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线性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平移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旋转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eastAsia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标识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>
      <w:pPr>
        <w:pStyle w:val="12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3"/>
                <w:rFonts w:hint="eastAsia"/>
                <w:lang w:val="en-US" w:eastAsia="zh-CN"/>
              </w:rPr>
              <w:t>ROS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3"/>
                <w:rFonts w:hint="eastAsia"/>
                <w:lang w:val="en-US" w:eastAsia="zh-CN"/>
              </w:rPr>
              <w:t>可执行程序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订阅器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服务端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741C9"/>
    <w:rsid w:val="315B54BF"/>
    <w:rsid w:val="31766DD7"/>
    <w:rsid w:val="31A36D12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7D37C6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C11CB"/>
    <w:rsid w:val="60D3786A"/>
    <w:rsid w:val="60F10F63"/>
    <w:rsid w:val="60FC3DFE"/>
    <w:rsid w:val="61090CEE"/>
    <w:rsid w:val="611F5AD8"/>
    <w:rsid w:val="6138009E"/>
    <w:rsid w:val="613C488D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E37C7"/>
    <w:rsid w:val="79CA0FD5"/>
    <w:rsid w:val="79DD6C0C"/>
    <w:rsid w:val="7A0E65EC"/>
    <w:rsid w:val="7A1257F8"/>
    <w:rsid w:val="7A1265ED"/>
    <w:rsid w:val="7A22500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link w:val="14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  <w:style w:type="character" w:customStyle="1" w:styleId="14">
    <w:name w:val="正文：要点 Char"/>
    <w:link w:val="12"/>
    <w:autoRedefine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827</Words>
  <Characters>3836</Characters>
  <Lines>133</Lines>
  <Paragraphs>37</Paragraphs>
  <TotalTime>14</TotalTime>
  <ScaleCrop>false</ScaleCrop>
  <LinksUpToDate>false</LinksUpToDate>
  <CharactersWithSpaces>4003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2024-03-30T13:38:21Z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