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变量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别名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51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&lt;Type&gt;*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sizeof(Type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1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reinterpret_cast&lt;type&gt;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2"/>
        <w:gridCol w:w="1018"/>
        <w:gridCol w:w="1425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(首地址)：&lt;Type&gt; &lt;Key&gt;[] = {x1, x2, 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类型转换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：&lt;Type&gt; (&lt;Key&gt;)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58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&lt;Func&gt;(args...)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&lt;Func&gt;(args...)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&lt;Type&gt;(args...);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int main(int argc, char *argv[])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命名namespace：</w:t>
      </w:r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915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枚举enum：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enum &lt;Type&gt; {*vars}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&lt;Type&gt;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vertAlign w:val="baseline"/>
                <w:lang w:val="en-US" w:eastAsia="zh-CN"/>
              </w:rPr>
              <w:t xml:space="preserve"> &lt;Key&gt; = var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fun&lt;T&gt;(args...)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6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1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&lt;Type&gt;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{args...};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&lt;Key&gt; = &lt;Type&gt;(args...);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452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&lt;Type&gt;(args...):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&lt;Type&gt;(const &lt;Type&gt;&amp;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~&lt;Type&gt;(args...){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operator()(args...);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&lt;Type&gt;&amp;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&lt;Type&gt;&amp; operator=(&lt;Type&gt;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7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8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boost;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9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system_clock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360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 / milliseconds / seconds / minutes / hours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0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1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2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28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4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5" w:name="_Toc17992"/>
      <w:bookmarkStart w:id="16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5"/>
    </w:p>
    <w:bookmarkEnd w:id="16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7" w:name="_Toc2068"/>
      <w:bookmarkStart w:id="18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7"/>
    </w:p>
    <w:bookmarkEnd w:id="18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0" w:name="_Toc8542"/>
      <w:bookmarkStart w:id="21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20"/>
    </w:p>
    <w:bookmarkEnd w:id="21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3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5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8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getline(istream, string)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9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bookmarkStart w:id="26" w:name="_GoBack" w:colFirst="0" w:colLast="2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bookmarkEnd w:id="26"/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61150"/>
    <w:rsid w:val="25FB64C7"/>
    <w:rsid w:val="267D0375"/>
    <w:rsid w:val="26F7280B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B70C28"/>
    <w:rsid w:val="53075C2D"/>
    <w:rsid w:val="533B708F"/>
    <w:rsid w:val="54A051AD"/>
    <w:rsid w:val="54C94F38"/>
    <w:rsid w:val="55B81234"/>
    <w:rsid w:val="55F86103"/>
    <w:rsid w:val="55FD30EB"/>
    <w:rsid w:val="562E02F3"/>
    <w:rsid w:val="56613B6D"/>
    <w:rsid w:val="56C52EFF"/>
    <w:rsid w:val="56DC0F52"/>
    <w:rsid w:val="57C427FF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F3A2A58"/>
    <w:rsid w:val="5F583601"/>
    <w:rsid w:val="5F751F44"/>
    <w:rsid w:val="5FEF619A"/>
    <w:rsid w:val="60176EA3"/>
    <w:rsid w:val="60BB7E2A"/>
    <w:rsid w:val="61014287"/>
    <w:rsid w:val="6109328C"/>
    <w:rsid w:val="61096DE8"/>
    <w:rsid w:val="61706998"/>
    <w:rsid w:val="62467BC8"/>
    <w:rsid w:val="62673557"/>
    <w:rsid w:val="629E17B2"/>
    <w:rsid w:val="62A36CC6"/>
    <w:rsid w:val="62E75218"/>
    <w:rsid w:val="63065990"/>
    <w:rsid w:val="63936E3D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BD6EC6"/>
    <w:rsid w:val="68282F39"/>
    <w:rsid w:val="68B47F81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700518"/>
    <w:rsid w:val="793E6B7A"/>
    <w:rsid w:val="799F7E92"/>
    <w:rsid w:val="7AD418B6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qFormat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207</TotalTime>
  <ScaleCrop>false</ScaleCrop>
  <LinksUpToDate>false</LinksUpToDate>
  <CharactersWithSpaces>8582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2023-12-29T16:17:39Z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D0339964CB9B49F0B56F6B9F2F0ABC9E</vt:lpwstr>
  </property>
</Properties>
</file>