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bookmarkStart w:id="13" w:name="_GoBack"/>
      <w:bookmarkEnd w:id="13"/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>
      <w:pPr>
        <w:pStyle w:val="17"/>
        <w:rPr>
          <w:rFonts w:hint="default"/>
        </w:rPr>
      </w:pPr>
      <w:bookmarkStart w:id="0" w:name="_Toc9363"/>
      <w:r>
        <w:t>模型评估：</w:t>
      </w:r>
      <w:bookmarkEnd w:id="0"/>
    </w:p>
    <w:p>
      <w:r>
        <w:rPr>
          <w:rFonts w:hint="eastAsia"/>
        </w:rPr>
        <w:t xml:space="preserve">模式识别假设：数据独立同分布 </w:t>
      </w:r>
      <w:r>
        <w:t>(IID)</w:t>
      </w:r>
    </w:p>
    <w:p>
      <m:oMath>
        <m:r>
          <m:rPr>
            <m:sty m:val="bi"/>
          </m:rPr>
          <w:rPr>
            <w:rFonts w:ascii="Cambria Math" w:hAnsi="Cambria Math"/>
          </w:rPr>
          <m:t>possibility=p(x|</m:t>
        </m:r>
        <m:r>
          <m:rPr>
            <m:sty m:val="bi"/>
          </m:rPr>
          <w:rPr>
            <w:rFonts w:hint="eastAsia"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：在已知参数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的情况下，发生观测结果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</w:rPr>
      </w:pPr>
      <m:oMath>
        <m:r>
          <m:rPr>
            <m:sty m:val="bi"/>
          </m:rPr>
          <w:rPr>
            <w:rFonts w:hint="eastAsia" w:ascii="Cambria Math" w:hAnsi="Cambria Math"/>
          </w:rPr>
          <m:t>li</m:t>
        </m:r>
        <m:r>
          <m:rPr>
            <m:sty m:val="bi"/>
          </m:rPr>
          <w:rPr>
            <w:rFonts w:ascii="Cambria Math" w:hAnsi="Cambria Math"/>
          </w:rPr>
          <m:t>kelihood=p(</m:t>
        </m:r>
        <m:r>
          <m:rPr>
            <m:sty m:val="bi"/>
          </m:rPr>
          <w:rPr>
            <w:rFonts w:hint="eastAsia" w:ascii="Cambria Math" w:hAnsi="Cambria Math"/>
          </w:rPr>
          <m:t>θ|</m:t>
        </m:r>
        <m:r>
          <m:rPr>
            <m:sty m:val="bi"/>
          </m:rPr>
          <w:rPr>
            <w:rFonts w:ascii="Cambria Math" w:hAnsi="Cambria Math"/>
          </w:rPr>
          <m:t>x)</m:t>
        </m:r>
      </m:oMath>
      <w:r>
        <w:rPr>
          <w:rFonts w:hint="eastAsia"/>
        </w:rPr>
        <w:t xml:space="preserve">：从观测结果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出发，分布函数参数为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125"/>
        <w:gridCol w:w="142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407"/>
        <w:gridCol w:w="2249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接收机工作特性</w:t>
            </w:r>
          </w:p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Cs/>
              </w:rPr>
            </w:pPr>
            <w:r>
              <w:rPr>
                <w:rFonts w:hint="eastAsia"/>
              </w:rPr>
              <w:t xml:space="preserve">伪阳性率 </w:t>
            </w:r>
            <w: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FPR=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曲线下面积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AUC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 xml:space="preserve">真阳性率 </w:t>
            </w:r>
            <w:r>
              <w:t>y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TPR=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</w:tr>
    </w:tbl>
    <w:p/>
    <w:p>
      <w:r>
        <w:rPr>
          <w:rFonts w:hint="eastAsia"/>
        </w:rPr>
        <w:drawing>
          <wp:inline distT="0" distB="0" distL="114300" distR="114300">
            <wp:extent cx="6638290" cy="4626610"/>
            <wp:effectExtent l="0" t="0" r="6350" b="6350"/>
            <wp:docPr id="57" name="图片 57" descr="59b938a6fec98b23b932cc6a7a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9b938a6fec98b23b932cc6a7a88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17"/>
        <w:rPr>
          <w:rFonts w:hint="default"/>
        </w:rPr>
      </w:pPr>
      <w:bookmarkStart w:id="1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按比例分为两组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每个样本单独作为验证集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选定K个最近邻合成新样本</w:t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68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>
      <w:r>
        <w:rPr>
          <w:rFonts w:hint="eastAsia"/>
        </w:rPr>
        <w:t>检测速度：前传耗时、FPS、FLOPs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/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/>
    <w:p/>
    <w:p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涉及到传感器的安装，视场角，探测距离，数据吞吐，标定精度，时间同步等</w:t>
            </w:r>
          </w:p>
          <w:p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分辨率高，有色彩纹理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有准确的距离数据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毫米波雷达，长焦相机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目标检测</w:t>
            </w:r>
          </w:p>
          <w:p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>
            <w:pPr>
              <w:jc w:val="left"/>
            </w:pPr>
            <w:r>
              <w:t>3D及2D上的物体检测及多传感器深度融合等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新物体、水花、红绿灯故障、逆光（调整曝光度）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跟进多帧的信息计算并预测障碍物的运动轨迹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分布式训练基础架构及相关评价系统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大量的标注数据，包括3D及2D的数据等</w:t>
            </w:r>
          </w:p>
        </w:tc>
      </w:tr>
    </w:tbl>
    <w:p/>
    <w:p/>
    <w:p/>
    <w:p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5" w:name="_Toc1306"/>
      <w:r>
        <w:t>目标跟踪：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847"/>
        <w:gridCol w:w="1717"/>
        <w:gridCol w:w="2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卡尔曼滤波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初始化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随意确定</w:t>
            </w:r>
          </w:p>
        </w:tc>
        <w:tc>
          <w:tcPr>
            <w:tcW w:w="0" w:type="auto"/>
            <w:vAlign w:val="center"/>
          </w:tcPr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, P一般为1 (不可为0)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人工调节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协方差噪声Q、R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预测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更新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卡尔曼增益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+R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最优估计值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−H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后验估计协方差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=(E−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H)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符号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状态转移矩阵F、控制矩阵B、测量系统参数H</w:t>
            </w:r>
          </w:p>
        </w:tc>
      </w:tr>
    </w:tbl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a=h/w</m:t>
          </m:r>
        </m:oMath>
      </m:oMathPara>
    </w:p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state=x, y, r, h,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h</m:t>
          </m:r>
        </m:oMath>
      </m:oMathPara>
    </w:p>
    <w:p/>
    <w:p/>
    <w:p>
      <w:pPr>
        <w:pStyle w:val="18"/>
        <w:rPr>
          <w:rFonts w:hint="default"/>
          <w:color w:val="0070C0"/>
        </w:rPr>
      </w:pPr>
      <w:bookmarkStart w:id="6" w:name="_Toc17498"/>
      <w:r>
        <w:t>图像分割：</w:t>
      </w:r>
      <w:bookmarkEnd w:id="6"/>
    </w:p>
    <w:p>
      <w:pPr>
        <w:rPr>
          <w:color w:val="0070C0"/>
        </w:rPr>
      </w:pPr>
    </w:p>
    <w:p>
      <w:pPr>
        <w:pStyle w:val="19"/>
        <w:rPr>
          <w:rFonts w:hint="default"/>
        </w:rPr>
      </w:pPr>
      <w:bookmarkStart w:id="7" w:name="_Toc15664"/>
      <w:r>
        <w:t>语义分割：</w:t>
      </w:r>
      <w:bookmarkEnd w:id="7"/>
    </w:p>
    <w:p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/>
    <w:p/>
    <w:p>
      <w:pPr>
        <w:pStyle w:val="19"/>
        <w:rPr>
          <w:rFonts w:hint="default"/>
        </w:rPr>
      </w:pPr>
      <w:bookmarkStart w:id="8" w:name="_Toc16478"/>
      <w:r>
        <w:t>全景分割：</w:t>
      </w:r>
      <w:bookmarkEnd w:id="8"/>
    </w:p>
    <w:p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9" w:name="_Toc31092"/>
      <w:r>
        <w:t>位姿估计：</w:t>
      </w:r>
      <w:bookmarkEnd w:id="9"/>
    </w:p>
    <w:p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15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0：GT没有点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1：GT有标注但被遮挡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2：GT有标注且可见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7"/>
        <w:rPr>
          <w:rFonts w:hint="default"/>
        </w:rPr>
      </w:pPr>
      <w:bookmarkStart w:id="10" w:name="_Toc9020"/>
      <w:r>
        <w:t>距离分类器：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11" w:name="_Toc4092"/>
      <w:r>
        <w:t>强化学习：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状态state下动作action的累积价值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17"/>
        <w:rPr>
          <w:rFonts w:hint="default"/>
        </w:rPr>
      </w:pPr>
      <w:bookmarkStart w:id="12" w:name="_Toc4073"/>
      <w:r>
        <w:t>联邦学习：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特征重叠多，微分特征空间x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参与者本地计算培训梯度，使用加密、差异隐私或秘密共享技术屏蔽梯度选择，</w:t>
            </w:r>
          </w:p>
          <w:p>
            <w:r>
              <w:t>并将屏蔽结果发送给服务器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服务器在不了解任何参与者信息的情况下执行安全聚合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服务器将聚合结果发回参与者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参与者用解密的梯度更新各自的模型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标签重叠多，微分标签空间y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合作者C创建加密对，向A和B发送公钥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A和B加密并交换梯度和损耗计算的中间结果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A和B分别计算加密梯度和附加掩码，B也计算加密丢失；A和B向C发送加密值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C解密并将解密后的梯度和损失发送回A和B；A和B取消渐变的遮罩，相应地更新模型参数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>标签、特征重叠较少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更新: agg_data = agg_data + oth_data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C83D40"/>
    <w:rsid w:val="18F112B9"/>
    <w:rsid w:val="1923002A"/>
    <w:rsid w:val="193B1B62"/>
    <w:rsid w:val="197E2A87"/>
    <w:rsid w:val="19A24268"/>
    <w:rsid w:val="19C82393"/>
    <w:rsid w:val="19CC0236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3014070E"/>
    <w:rsid w:val="3087171F"/>
    <w:rsid w:val="30F036EF"/>
    <w:rsid w:val="30FE7477"/>
    <w:rsid w:val="315471D8"/>
    <w:rsid w:val="31D81146"/>
    <w:rsid w:val="31E54EFC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840EB4"/>
    <w:rsid w:val="41A22D78"/>
    <w:rsid w:val="41BB6A0A"/>
    <w:rsid w:val="42027E09"/>
    <w:rsid w:val="4218722E"/>
    <w:rsid w:val="426759A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7512CF7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916EFC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2888</Words>
  <Characters>16463</Characters>
  <Lines>137</Lines>
  <Paragraphs>38</Paragraphs>
  <TotalTime>335</TotalTime>
  <ScaleCrop>false</ScaleCrop>
  <LinksUpToDate>false</LinksUpToDate>
  <CharactersWithSpaces>19313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2023-10-15T07:16:36Z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