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bookmarkStart w:id="33" w:name="_GoBack"/>
      <w:bookmarkEnd w:id="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array(seq,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展开行向量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维度逆置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 @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x左乘y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round(x, 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向上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向下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real(x) / imag(x)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实部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max(x) / min(x)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bool运算：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x[bool]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利用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bool矩阵进行索引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is nan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any(x) / x.any()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有非0元素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all(x) / x.all()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全为非0元素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665"/>
        <w:gridCol w:w="1555"/>
        <w:gridCol w:w="91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矩阵属性访问、变换：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665" w:type="dxa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默认：偏移量</w:t>
            </w:r>
          </w:p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列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0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axis = 1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keepdims：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是否保持维度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percent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665" w:type="dxa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变换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均等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array_split(x, n)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不均等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cumsum(x)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diff(x)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按行排序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clip(x, a_min, a_max)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∈[a_min, a_max]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6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repeat(x)</w:t>
            </w:r>
          </w:p>
        </w:tc>
        <w:tc>
          <w:tcPr>
            <w:tcW w:w="665" w:type="dxa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889"/>
        <w:gridCol w:w="935"/>
        <w:gridCol w:w="755"/>
        <w:gridCol w:w="1072"/>
        <w:gridCol w:w="852"/>
        <w:gridCol w:w="2436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标准差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协方差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where)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log10(x)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 w:cs="华文中宋"/>
                            <w:b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 w:cs="华文中宋"/>
                        <w:b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sign(x)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eastAsia="华文中宋" w:cs="华文中宋"/>
                <w:b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正负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Cambria Math" w:hAnsi="Cambria Math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847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指定</w:t>
            </w:r>
          </w:p>
          <w:p>
            <w:pPr>
              <w:jc w:val="center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继承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4" w:type="dxa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对角线矩阵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对角线行向量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argsort(x,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角度弧度：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9343"/>
      <w:bookmarkStart w:id="9" w:name="_Toc2188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9788"/>
      <w:bookmarkStart w:id="29" w:name="_Toc130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8431"/>
      <w:bookmarkStart w:id="31" w:name="_Toc22962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4DA6EF2"/>
    <w:rsid w:val="04DE5690"/>
    <w:rsid w:val="05230707"/>
    <w:rsid w:val="064C055F"/>
    <w:rsid w:val="06921AD6"/>
    <w:rsid w:val="075F6368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EBF7A38"/>
    <w:rsid w:val="2F971705"/>
    <w:rsid w:val="2FFA5549"/>
    <w:rsid w:val="317A62CC"/>
    <w:rsid w:val="31E35854"/>
    <w:rsid w:val="31EB4646"/>
    <w:rsid w:val="320D5B64"/>
    <w:rsid w:val="32566D40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C80EDF"/>
    <w:rsid w:val="78D64937"/>
    <w:rsid w:val="79AB62D9"/>
    <w:rsid w:val="79B871A5"/>
    <w:rsid w:val="7A034ACD"/>
    <w:rsid w:val="7B1125BD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12</TotalTime>
  <ScaleCrop>false</ScaleCrop>
  <LinksUpToDate>false</LinksUpToDate>
  <CharactersWithSpaces>11762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2023-11-01T13:34:26Z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