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bookmarkStart w:id="40" w:name="_GoBack"/>
            <w:bookmarkEnd w:id="40"/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132388733"/>
      <w:bookmarkStart w:id="33" w:name="_Toc91"/>
      <w:bookmarkStart w:id="34" w:name="_Toc2018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0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2023-10-18T00:15:11Z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