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highlight w:val="yellow"/>
        </w:rPr>
        <w:t xml:space="preserve">CTDIvol is a scanner-output index, not an organ dose, and cannot express how tube-current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modulation varies along a patient. An organ-specific weighted CTDIvol addressing this has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been reported before, in single-institution cohorts and often from inputs routine archives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 not retain. New here is not the quantity but what an open, multi-vendor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operationalisation reveals: whether its inputs survive archive curation, and what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fallback costs when they do not. Forty abdominal CT series, ten per manufacturer, were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drawn from The Cancer Imaging Archive and twelve organs segmented with TotalSegmentator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inference. Of 480 requested organ–series combinations, 455 were produced. A rule-based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acquisition-constancy criterion admitted 39 series. Modulation weights spanned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0.59 to 1.69, so the index departs from the whole-scan CTDIvol by up to 70% within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acquisition. A recorded CTDIvol survived in 29 of 40 archived headers, was reconstructable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5 and unavailable in 6, availability differing markedly between manufacturers. Forcing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reconstruction on series that did retain a value agreed to within 12% on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scanner models and diverged by 58% and 84% on two others. Estimated organ mass was broadly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consistent with ICRP 89 for liver and kidneys. This index is not absorbed dose;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highlight w:val="yellow"/>
        </w:rPr>
        <w:t xml:space="preserve">Two different things are routinely conflated when CT dose is discussed. The first is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dose index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not a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dose</w:t>
      </w:r>
      <w:r>
        <w:rPr>
          <w:highlight w:val="yellow"/>
        </w:rPr>
        <w:t xml:space="preserve">: CTDIvol describes the output of a scanner into a standard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cylinder of acrylic, and is a property of the acquisition rather than of the patient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 — a distinction set out explicitly by McCollough et al. [1]. The second is that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single value per series cannot express variation along the patient: almost every modern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 modulates the tube current longitudinally [2], so the conditions over the liver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over the bladder are not the same, and one number for the series conceals that.</w:t>
      </w:r>
    </w:p>
    <w:p>
      <w:pPr>
        <w:pStyle w:val="BodyText"/>
      </w:pPr>
      <w:r>
        <w:rPr>
          <w:highlight w:val="yellow"/>
        </w:rPr>
        <w:t xml:space="preserve">That second point is well established. Khatonabadi et al. demonstrated that a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regional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organ-specific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CTDIvol, formed from the modulation profile over an organ’s own location,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tracks Monte-Carlo organ dose far better than the whole-scan value, raising the coefficient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determination for liver dose from 0.26 to 0.86 [3]. Tian et al. formalised a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weighted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organ-specific CTDIvol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computed from the modulation profile and used it, with organ-dose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rPr>
          <w:highlight w:val="yellow"/>
        </w:rPr>
        <w:t xml:space="preserve">Existing work only partially answers that question. Longitudinal dose indices,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DICOM-header-derived modulation profiles and TotalSegmentator-assisted dose calculations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each been investigated, but in different settings and for different endpoints. Li 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al. characterised the size-specific dose estimate as a function of longitudinal position,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SSDE(z), under both fixed and modulated tube current [5]. Nuntue et al. derived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tube-current-modulation profiles from DICOM headers and used them, with Monte-Carlo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simulation and physical measurement, to improve absorbed organ dose estimates in abdominal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 [6]. Eom et al. incorporated TotalSegmentator into an automated effective-dose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calculation on clinical PET/CT [7]. What remains insufficiently characterised is whether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organ-weighting layer can be reconstructed end to end from heterogeneous archived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DICOM alone, how often the required inputs survive archive curation and de-identification,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how acquisition-parameter constancy can be verified, and how the resulting quantity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behaves across manufacturers when patient-specific contours are obtained automatically.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Deep-learning segmentation is what makes the attempt practical at scale: a general-purpose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segmenter such as TotalSegmentator [8], built on nnU-Net [9], produces abdominal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masks from a routine series in seconds at inference only, so the anatomy is now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effectively free.</w:t>
      </w:r>
    </w:p>
    <w:p>
      <w:pPr>
        <w:pStyle w:val="BodyText"/>
      </w:pPr>
      <w:r>
        <w:rPr>
          <w:highlight w:val="yellow"/>
        </w:rPr>
        <w:t xml:space="preserve">This study is accordingly an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open, multi-vendor operationalisation and empirical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characterisation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a previously reported quantity: the whole-scan CTDIvol scaled by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dimensionless, organ-specific weight formed from the recorded per-slice tube current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organ’s segmented longitudinal extent, referred to here as the anatomy-weighted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CTDIvol index. It is explicitly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 estimate of absorbed organ dose, and Section 2.11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sets out what it does not account for.</w:t>
      </w:r>
    </w:p>
    <w:p>
      <w:pPr>
        <w:pStyle w:val="BodyText"/>
      </w:pPr>
      <w:r>
        <w:rPr>
          <w:highlight w:val="yellow"/>
        </w:rPr>
        <w:t xml:space="preserve">Converting an index of this kind into an absorbed organ dose in milligray requires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CTDIvol-normalised organ-dose coefficients, computed by Monte-Carlo simulation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anthropomorphic patient models and corrected for patient size [4]. Such coefficient sets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exist, are well validated, and are in routine use; the index reported here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replace them and is not offered as a surrogate for their output.</w:t>
      </w:r>
    </w:p>
    <w:p>
      <w:pPr>
        <w:pStyle w:val="BodyText"/>
      </w:pPr>
      <w:r>
        <w:rPr>
          <w:highlight w:val="yellow"/>
        </w:rPr>
        <w:t xml:space="preserve">The contributions are stated below in terms of what is computed and by what rule, since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is where the novelty of an operationalisation lies:</w:t>
      </w:r>
    </w:p>
    <w:p>
      <w:pPr>
        <w:pStyle w:val="BodyText"/>
      </w:pPr>
      <w:r>
        <w:rPr>
          <w:highlight w:val="yellow"/>
        </w:rPr>
        <w:t xml:space="preserve">1.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An end-to-end computation from archived metadata alone.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Per-slice tube current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I(z) is read from (0018,1151) on every image; the series is resampled onto a uniform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slice grid; twelve organ masks are obtained from a general-purpose segmenter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inference; each organ’s longitudinal extent is taken from the extreme slices of 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own mask; and the organ weight is the mean of I(z) over that extent divided by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mean over the whole series. The index is that weight times the whole-scan CTDIvol.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Nothing in the chain requires projection data, a manual contour, or a value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scanner did not already write.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 multi-vendor empirical characterisation of the resulting quantity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— its range,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its within-acquisition spread and its behaviour across four manufacturers — computed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by the same code on all series, so that between-vendor differences cannot arise from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between-site processing.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3.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 measurement of how often the inputs survive archive curation, and of what happens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when one of them does not.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measurement is a direct inspection of the archived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headers of all 40 series for the two attributes the index needs: per-slice tube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current, and a whole-scan CTDIvol in (0018,9345). Where the second is absent it can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sometimes be rebuilt from acquisition physics, and Section 3.5 reports how far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reconstruction agrees with the recorded value on the series where both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obtained. What is new is the pairing: retention rates measured on a multi-vendor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archive sample, together with the accuracy and the coverage of the fallback that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gaps force a retrospective study onto.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4.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 rule-based acquisition-constancy criterion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makes the proportionality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assumption behind the weighting testable rather than implicit: a series is admitted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only if every attribute that governs scanner output other than tube current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constant within it, to a tolerance justified in Section 2.9 from the resolution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which those attributes are stored.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5.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An external reference comparison of attenuation-derived estimated organ mass against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ICRP 89 values [10].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is not a separate study but the only external check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available to the pipeline: no ground-truth organ mass exists for archived series,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 mass is the one intermediate quantity the pipeline produces that can be compared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a published reference at all. Agreement bounds how far the segmentation and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Hounsfield-to-density mapping can jointly be wrong, which is what makes the weights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downstream of them worth reporting.</w:t>
      </w:r>
    </w:p>
    <w:bookmarkEnd w:id="11"/>
    <w:bookmarkStart w:id="27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rPr>
          <w:highlight w:val="yellow"/>
        </w:rPr>
        <w:t xml:space="preserve">Handing a collection manifest to a bulk downloader fetches an entire collection, which for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low-dose CT collection is of the order of 600 GB, most of it raw projection data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irrelevant to this work. We therefore used a metadata-first procedure over the public NBIA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REST API with four stages — index, screen, probe, download — in which only the last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transfers a series. Figure 1 sets out the whole pipeline: the stages of data formation,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number of series surviving each, and the verification attached to each stage together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what it rejects.</w:t>
      </w:r>
    </w:p>
    <w:p>
      <w:pPr>
        <w:pStyle w:val="BodyText"/>
      </w:pPr>
      <w:r>
        <w:drawing>
          <wp:inline>
            <wp:extent cx="4800600" cy="538603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38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1.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Data formation and verification. Blue: stages that produce or transform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data, with the number of series or records carried forward. Orange: verification, each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box naming what its stage rejects or flags. Green: the reported quantity. Every count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read from the shipped result files.</w:t>
      </w:r>
    </w:p>
    <w:p>
      <w:pPr>
        <w:pStyle w:val="BodyText"/>
      </w:pPr>
      <w:r>
        <w:rPr>
          <w:highlight w:val="yellow"/>
        </w:rPr>
        <w:t xml:space="preserve">All series in this study are public, de-identified data from The Cancer Imaging Archive,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used under the individual collection licences recorded in the provenance file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accompanies the software. The archive’s submission process removes protected health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information from both headers and pixel data before publication while retaining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attributes research requires [11], and no imaging is redistributed by this work: 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identified by Series Instance UID, collection and licence so that any of them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re-fetched. The study required no ethical approval, since it uses only such data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enrols no participants.</w:t>
      </w:r>
    </w:p>
    <w:p>
      <w:pPr>
        <w:pStyle w:val="BodyText"/>
      </w:pPr>
      <w:r>
        <w:rPr>
          <w:highlight w:val="yellow"/>
        </w:rPr>
        <w:t xml:space="preserve">All imaging was drawn from The Cancer Imaging Archive [12]. The candidate index was built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from 47,181 CT series across 21 abdominal collections, read as series-level JSON with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pixel data. Candidates were seeded from the public-archive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survey distributed with the companion software release [13] — a software record, not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peer-reviewed study — and supplemented by direct collection queries. A metadata screen then rejected, in order and with each rejection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counted: non-patient collections (imaging phantoms and de-identification benchmarks);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projection and raw-data series, of which 398 were refused at this stage; non-diagnostic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 (localisers, dose reports, screen captures); series shorter than 40 or longer than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1200 images; and series outside the abdomen. One series was retained per patient per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collection, and each manufacturer’s quota was drawn round-robin across its collections so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manufacturer was not confounded with a single collection.</w:t>
      </w:r>
    </w:p>
    <w:p>
      <w:pPr>
        <w:pStyle w:val="BodyText"/>
      </w:pPr>
      <w:r>
        <w:rPr>
          <w:highlight w:val="yellow"/>
        </w:rPr>
        <w:t xml:space="preserve">Ten series per manufacturer was chosen for what the study measures. Every quantity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reported here is a per-series or per-organ property computed by identical code, so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comparison that matters is between organs within a patient, where each series is its own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 and 40 series yield 455 organ records. Ten per manufacturer supports a median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 interquartile range for a manufacturer, which is what is reported, and does not support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distributional claim about one, which is not. Nothing in the design is powered by adding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series: a larger cohort would narrow those interquartile ranges without changing what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index is or whether its inputs survive archive curation.</w:t>
      </w:r>
    </w:p>
    <w:p>
      <w:pPr>
        <w:pStyle w:val="BodyText"/>
      </w:pPr>
      <w:r>
        <w:rPr>
          <w:highlight w:val="yellow"/>
        </w:rPr>
        <w:t xml:space="preserve">The selection is not a random sample of clinical CT and cannot be treated as one.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stages shape it. The metadata screen keeps abdominal, diagnostic, reconstructed series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moderate length, so unusual acquisitions are removed by construction. The probe requires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per-slice tube current recorded on every probed image and genuine modulation, which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excludes fixed-current protocols entirely and, as Section 3.3 shows, correlates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manufacturer through what the archive retained. The collections themselves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oncological, so body habitus and organ appearance are those of a cancer population rather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than of a screening one. The direction of each effect can be stated even though its size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cannot: the cohort is biased towards modern modulated abdominal protocols on scanners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whose archived headers are complete, which is the population in which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anatomy-weighted index is computable at all, and the availability fractions in Section 3.3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rPr>
          <w:highlight w:val="yellow"/>
        </w:rPr>
        <w:t xml:space="preserve">Twelve abdominal organs were segmented with TotalSegmentator v2.17 [8],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task, 1.5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mm full-resolution model, at inference only; no weights were trained, modified 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redistributed.</w:t>
      </w:r>
    </w:p>
    <w:p>
      <w:pPr>
        <w:pStyle w:val="BodyText"/>
      </w:pPr>
      <w:r>
        <w:rPr>
          <w:highlight w:val="yellow"/>
        </w:rPr>
        <w:t xml:space="preserve">TotalSegmentator is an nnU-Net model [9]. nnU-Net is not a fixed architecture but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self-configuring pipeline: from the spacing, size and intensity distribution of a training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set it derives the patch size, the batch size, the pooling depth and the normalisation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scheme, and instantiates an encoder–decoder convolutional network of the U-Net family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those settings. The self-configuration and its validation are examined further in [14]. The network used here is the three-dimensional full-resolution variant,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which processes overlapping patches of the volume and aggregates them with Gaussian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weighting, so that a voxel near a patch border is decided mainly by the patch in which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sits centrally. The published model was trained on a corpus of computed tomography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covering 104 anatomical structures across a wide range of scanners, protocols and body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regions [8]; the twelve abdominal structures used here are a subset of its output classes.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Inference used the released weights with the default configuration, on one GPU, in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separate child process, because nnU-Net spawns its own worker processes and doing so from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rPr>
          <w:highlight w:val="yellow"/>
        </w:rPr>
        <w:t xml:space="preserve">The patient outline, used for the water-equivalent diameter, was taken from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deterministic threshold contour following AAPM Report 220 [15]. Figure 2 illustrates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segmentation output and its correspondence with the CT anatomy in the representative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rPr>
          <w:highlight w:val="yellow"/>
        </w:rPr>
        <w:t xml:space="preserve">No mask was manually corrected, and none was used without being checked. Two procedures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were applied to every series, both automated in the first instance and one of them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followed by direct inspection of the images.</w:t>
      </w:r>
    </w:p>
    <w:p>
      <w:pPr>
        <w:pStyle w:val="BodyText"/>
      </w:pPr>
      <w:r>
        <w:rPr>
          <w:highlight w:val="yellow"/>
        </w:rPr>
        <w:t xml:space="preserve">The first is a set of anatomical assertions run over the completed record of all 40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series. They test properties that a correct segmentation cannot violate and an incorrect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one violates conspicuously: that the left-sided organ of each pair lies on the patient’s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left; that the adrenal gland lies superior to the kidney on the same side; that each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organ’s attenuation-derived mass falls inside a plausibility band around its ICRP 89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value [10]; and that the organ modulation weights vary between organs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bracket the scan mean, which they must if the weighting is being applied at all to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modulated acquisition. The first two are tripwires for the failure modes that leave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other trace — a mirrored volume, or an inverted head–foot ordering — because both produce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masks whose volumes and Hounsfield statistics look entirely ordinary.</w:t>
      </w:r>
    </w:p>
    <w:p>
      <w:pPr>
        <w:pStyle w:val="BodyText"/>
      </w:pPr>
      <w:r>
        <w:rPr>
          <w:highlight w:val="yellow"/>
        </w:rPr>
        <w:t xml:space="preserve">14 of the 40 series raised at least one flag, 28 flags in all. None was a laterality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failure and none was an inversion. The flags divide into four kinds. 10 were the weights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failing to bracket the scan mean, which the check itself reports as expected when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 extends beyond the abdomen: in a chest–abdomen–pelvis series the scan mean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includes regions no abdominal organ occupies, and the abdominal weights then sit to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side of it. 15 were organ masses outside the plausibility band. Two were the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weights not varying between organs, which occurs when the tube current is effectively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constant over the abdominal extent rather than when the weighting has failed; those 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separately excluded from the quantitative analysis by the acquisition-constancy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criterion of Section 2.10. One was a borderline superior–inferior ordering, an adrenal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kidney centroid separated by five voxels on a series where the two structures abut.</w:t>
      </w:r>
    </w:p>
    <w:p>
      <w:pPr>
        <w:pStyle w:val="BodyText"/>
      </w:pPr>
      <w:r>
        <w:rPr>
          <w:highlight w:val="yellow"/>
        </w:rPr>
        <w:t xml:space="preserve">The second procedure addresses the mass flags, because an organ mass far from 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value has two explanations that are indistinguishable in a table: a patient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whose organ really is that size, and a mask that has leaked into neighbouring tissue. Only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image separates them. The organs furthest from their reference mass were rendered 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contours over their own CT at three levels each, with laterality and slice index annotated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 every panel, and inspected. The most extreme case in the cohort — a spleen of 671 g,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4.5 times the ICRP 89 reference — is a clean segmentation of a genuinely enlarged spleen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a renal-carcinoma patient, the contour following the organ boundary at every level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homogeneous parenchyma. The cohort is drawn from oncological collections, in which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enlargement is common; a plausibility band built on reference values for a healthy adult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therefore expected to flag real anatomy, and does.</w:t>
      </w:r>
    </w:p>
    <w:p>
      <w:pPr>
        <w:pStyle w:val="BodyText"/>
      </w:pPr>
      <w:r>
        <w:rPr>
          <w:highlight w:val="yellow"/>
        </w:rPr>
        <w:t xml:space="preserve">Segmentation error enters the index through one channel only, and it is not the channel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intuition suggests. The weight is the mean tube current over the organ’s longitudinal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extent, relative to the scan mean, so an error that moves the superior or inferior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boundary of an organ changes which slices contribute and moves the weight. An error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in-plane boundary at unchanged longitudinal extent does not: the same slices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averaged, with the same tube current on each. The quantity is therefore insensitive to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kind of boundary error that dominates segmentation metrics such as the Dice coefficient,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sensitive to a kind those metrics weight lightly. This is stated as a property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construction rather than as a measured sensitivity, which the present cohort — with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rPr>
          <w:highlight w:val="yellow"/>
        </w:rPr>
        <w:t xml:space="preserve">Hounsfield units were converted to mass density by piecewise-linear interpolation through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tissue anchor points, taking the densities from ICRU Report 44 [16] and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construction from Schneider et al. [17]. Estimated organ mass is the sum of local density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rPr>
          <w:highlight w:val="yellow"/>
        </w:rPr>
        <w:t xml:space="preserve">Let an organ</w:t>
      </w:r>
      <w:r>
        <w:rPr>
          <w:highlight w:val="yellow"/>
        </w:rPr>
        <w:t xml:space="preserve"> </w:t>
      </w:r>
      <m:oMath>
        <m:r>
          <m:t>o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occupy slices</w:t>
      </w:r>
      <w:r>
        <w:rPr>
          <w:highlight w:val="yellow"/>
        </w:rPr>
        <w:t xml:space="preserve"> </w:t>
      </w:r>
      <m:oMath>
        <m:r>
          <m:t>z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with per-slice voxel counts</w:t>
      </w:r>
      <w:r>
        <w:rPr>
          <w:highlight w:val="yellow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highlight w:val="yellow"/>
        </w:rPr>
        <w:t xml:space="preserve">, and let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 carry per-slice tube current</w:t>
      </w:r>
      <w:r>
        <w:rPr>
          <w:highlight w:val="yellow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over its</w:t>
      </w:r>
      <w:r>
        <w:rPr>
          <w:highlight w:val="yellow"/>
        </w:rPr>
        <w:t xml:space="preserve"> </w:t>
      </w:r>
      <m:oMath>
        <m:r>
          <m:t>N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images. The numerator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organ-specific modulation weight is the voxel-weighted mean tube current over the organ’s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highlight w:val="yellow"/>
        </w:rPr>
        <w:t xml:space="preserve">which weights each slice by how much of the organ it contains, so a slice through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widest part of the liver counts for more than one clipping its dome. The denominator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highlight w:val="yellow"/>
        </w:rP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highlight w:val="yellow"/>
        </w:rPr>
        <w:t xml:space="preserve">The weight is dimensionless and is the transferable quantity: it expresses the recorded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tube-current conditions over the organ relative to the scan mean,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independently of the scanner’s own output. A weight of unity means the organ lay where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tube current happened to equal the scan average; the departure from unity is what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rPr>
          <w:highlight w:val="yellow"/>
        </w:rPr>
        <w:t xml:space="preserve">Every slice header of every series was read and each output-governing attribute — tube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voltage, exposure time, rotation time, pitch and total collimation width — classified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one of four states.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Verified constant</w:t>
      </w:r>
      <w:r>
        <w:rPr>
          <w:highlight w:val="yellow"/>
        </w:rPr>
        <w:t xml:space="preserve">: one value throughout.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Absent</w:t>
      </w:r>
      <w:r>
        <w:rPr>
          <w:highlight w:val="yellow"/>
        </w:rPr>
        <w:t xml:space="preserve">: never written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archived headers, so constancy can be neither confirmed nor refuted; absence alone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does not disqualify a series, since excluding on it would remove series for a property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de-identified export rather than of the acquisition.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Negligible variation</w:t>
      </w:r>
      <w:r>
        <w:rPr>
          <w:highlight w:val="yellow"/>
        </w:rPr>
        <w:t xml:space="preserve">: varying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by less than a relative tolerance of 0.02, attributable to the numeric representation —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exposure time is written as an integer number of milliseconds, so a one-unit step on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value of a few hundred is a rounding artefact.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Materially variable</w:t>
      </w:r>
      <w:r>
        <w:rPr>
          <w:highlight w:val="yellow"/>
        </w:rPr>
        <w:t xml:space="preserve">: varying by at least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tolerance, which disqualifies the series.</w:t>
      </w:r>
    </w:p>
    <w:p>
      <w:pPr>
        <w:pStyle w:val="BodyText"/>
      </w:pPr>
      <w:r>
        <w:rPr>
          <w:highlight w:val="yellow"/>
        </w:rPr>
        <w:t xml:space="preserve">The value of 2% follows from those two scales rather than from the data. Below it lies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representation: at the 400–700 ms exposure times these acquisitions use, the integer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millisecond step alone moves a value by up to about 0.25%, and 2% sits an order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magnitude above that. Above it lies the smallest change of technique that can actually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occur, since rotation time is switched in discrete steps and the smallest of those halves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 doubles it — a change of 100%. The threshold therefore separates two regimes that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two orders of magnitude apart, and is not fitted to these data: any value between roughly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1% and 50% classifies this cohort identically, because the only material variation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rPr>
          <w:highlight w:val="yellow"/>
        </w:rPr>
        <w:t xml:space="preserve">CTDIvol was taken from the image header (0018,9345) where present. Where absent, it was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reconstructed from acquisition physics against an openly licensed normalised-CTDI database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[18]; recorded and reconstructed values are never merged, and each series records which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carries. A recorded value outside the physically possible range is treated as a corrupt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attribute and falls through to reconstruction — one series records CTDIvol 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rPr>
          <w:highlight w:val="yellow"/>
        </w:rPr>
        <w:t xml:space="preserve">Analyses were run with Python 3.14 (the package supports 3.10 and later), TotalSegmentator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v2.17 (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task, 1.5 mm full-resolution model) on PyTorch 2.11 with CUDA 12.8, pydicom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3.0 and NumPy 2.5, using an NVIDIA RTX 3080. Every reported value is re-derived from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per-series records by the test suite, including regenerating the complete analysis table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comparing it. The pipeline is organised in four layers — acquisition, organ record,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analysis and figures — each regenerated by a single command and each writing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machine-readable record that the next layer reads; the acquisition-parameter check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Section 2.9 is a fifth, run over the completed records. Figure 1 gives the stages,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count surviving each, and the verification step attached to each. The repository, 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release tag, commit hash and archived version DOI are given in the Data Availability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Statement, and the command for each layer is in its README rather than here.</w:t>
      </w:r>
    </w:p>
    <w:bookmarkEnd w:id="26"/>
    <w:bookmarkEnd w:id="27"/>
    <w:bookmarkStart w:id="49" w:name="results"/>
    <w:p>
      <w:pPr>
        <w:pStyle w:val="Heading2"/>
      </w:pPr>
      <w:r>
        <w:t xml:space="preserve">3. Results</w:t>
      </w:r>
    </w:p>
    <w:bookmarkStart w:id="31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rPr>
          <w:highlight w:val="yellow"/>
        </w:rPr>
        <w:t xml:space="preserve">Forty series were analysed — ten from each of GE, Siemens, Canon/Toshiba and Philips —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drawn from 21 collections and 23 scanner models. Of 480 organ–series combinations, 455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 records were produced across 12 organs, with the flow as given in Section 2.10.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Figure 2 shows the segmentation output for a representative acquisition.</w:t>
      </w:r>
    </w:p>
    <w:p>
      <w:pPr>
        <w:pStyle w:val="BodyText"/>
      </w:pPr>
      <w:r>
        <w:rPr>
          <w:highlight w:val="yellow"/>
        </w:rPr>
        <w:t xml:space="preserve">Of the 40 segmented series, 39 met the acquisition-constancy criterion of Section 2.9.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archived GE series contained two blocks with different exposure and rotation times; it was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retained for the segmentation, estimated-mass and archive-availability analyses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excluded from the modulation-weight and anatomy-weighted-index summaries. The quantitative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modulation analysis therefore rests on 375 organ records from the 33 eligible series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2_segm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2.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Representative TotalSegmentator output from one abdominal CT series used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analysis. (</w:t>
      </w:r>
      <w:r>
        <w:rPr>
          <w:b/>
          <w:bCs/>
          <w:highlight w:val="yellow"/>
        </w:rPr>
        <w:t xml:space="preserve">a</w:t>
      </w:r>
      <w:r>
        <w:rPr>
          <w:highlight w:val="yellow"/>
        </w:rPr>
        <w:t xml:space="preserve">) Coronal reformat with multi-organ overlays. (</w:t>
      </w:r>
      <w:r>
        <w:rPr>
          <w:b/>
          <w:bCs/>
          <w:highlight w:val="yellow"/>
        </w:rPr>
        <w:t xml:space="preserve">b</w:t>
      </w:r>
      <w:r>
        <w:rPr>
          <w:highlight w:val="yellow"/>
        </w:rPr>
        <w:t xml:space="preserve">–</w:t>
      </w:r>
      <w:r>
        <w:rPr>
          <w:b/>
          <w:bCs/>
          <w:highlight w:val="yellow"/>
        </w:rPr>
        <w:t xml:space="preserve">d</w:t>
      </w:r>
      <w:r>
        <w:rPr>
          <w:highlight w:val="yellow"/>
        </w:rPr>
        <w:t xml:space="preserve">) Axial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levels through the upper abdomen, the renal level and the lower abdomen. Masks were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generated with TotalSegmentator v2.17 using the 1.5 mm full-resolution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returned to the native DICOM-derived image grid; overlays are translucent so the anatomy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they are drawn against remains visible, and the key lists the structures actually shown.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same acquisition appears in Figure 3. Images are displayed in radiological convention,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the patient’s left on the viewer’s right. Only de-identified imaging from The Cancer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Imaging Archive is shown.</w:t>
      </w:r>
    </w:p>
    <w:bookmarkEnd w:id="31"/>
    <w:bookmarkStart w:id="35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rPr>
          <w:highlight w:val="yellow"/>
        </w:rPr>
        <w:t xml:space="preserve">Figure 3 shows one acquisition end to end: a Canon/Toshiba Aquilion PRIME series of 268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slices with a recorded CTDIvol of 16.1 mGy and a scan mean tube current of 265 mA.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small bowel and colon, lying in the inferior abdomen where the modulation raised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current to about 447 and 435 mA, take weights of 1.69 and 1.64 respectively, giving indices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near 27 mGy; the left kidney and stomach, higher in the scan, take weights of 0.94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indices near 15 mGy. Two organs in the same acquisition thus differ by a factor of 1.8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3_demonstration_ca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3.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One acquisition end to end. (</w:t>
      </w:r>
      <w:r>
        <w:rPr>
          <w:b/>
          <w:bCs/>
          <w:highlight w:val="yellow"/>
        </w:rPr>
        <w:t xml:space="preserve">a</w:t>
      </w:r>
      <w:r>
        <w:rPr>
          <w:highlight w:val="yellow"/>
        </w:rPr>
        <w:t xml:space="preserve">) Each organ’s longitudinal extent,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annotated with the mean tube current recorded over it, against a scan mean of 265 mA.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(</w:t>
      </w:r>
      <w:r>
        <w:rPr>
          <w:b/>
          <w:bCs/>
          <w:highlight w:val="yellow"/>
        </w:rPr>
        <w:t xml:space="preserve">b</w:t>
      </w:r>
      <w:r>
        <w:rPr>
          <w:highlight w:val="yellow"/>
        </w:rPr>
        <w:t xml:space="preserve">) The resulting anatomy-weighted CTDIvol index, with the organ-specific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 beside each bar; the dashed line is the whole-scan CTDIvol of 16.1 mGy. The bars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modulation-weighted indices, not absorbed doses.</w:t>
      </w:r>
    </w:p>
    <w:bookmarkEnd w:id="35"/>
    <w:bookmarkStart w:id="39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rPr>
          <w:highlight w:val="yellow"/>
        </w:rPr>
        <w:t xml:space="preserve">Across the cohort, 29 of 40 series retained a recorded CTDIvol in the archived DICOM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headers, 5 were reconstructable from acquisition physics, and 6 were neither (Figure 4).</w:t>
      </w:r>
    </w:p>
    <w:p>
      <w:pPr>
        <w:pStyle w:val="BodyText"/>
      </w:pPr>
      <w:r>
        <w:rPr>
          <w:highlight w:val="yellow"/>
        </w:rPr>
        <w:t xml:space="preserve">All 6 unrecoverable series are GE, and none of the ten sampled GE series retained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recorded CTDIvol in the archived headers; the other three manufacturers retained one in 29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drawn from a curated archive are not independent with respect to collection, contributing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site, scanner model, export pathway or de-identification, and a p-value computed over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structure would describe a sampling model the data do not satisfy. For the six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unrecoverable series the organ masks, volumes, mass estimates and modulation weights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4_dose_index_avail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4.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Availability of a whole-scan dose index in the archived DICOM headers, by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manufacturer, in this TCIA sample. A series counted unrecoverable retained no CTDIvol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its header and its scanner lies outside the open coefficient database. Segments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distinguished by fill pattern as well as tone.</w:t>
      </w:r>
    </w:p>
    <w:bookmarkEnd w:id="39"/>
    <w:bookmarkStart w:id="40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rPr>
          <w:highlight w:val="yellow"/>
        </w:rPr>
        <w:t xml:space="preserve">Where the header retains no CTDIvol, the value is rebuilt from acquisition physics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 open coefficient table [13], and the two origins are kept apart in every record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because the uncertainty they carry differs. That difference has to be quantified rather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than asserted.</w:t>
      </w:r>
    </w:p>
    <w:p>
      <w:pPr>
        <w:pStyle w:val="BodyText"/>
      </w:pPr>
      <w:r>
        <w:rPr>
          <w:highlight w:val="yellow"/>
        </w:rPr>
        <w:t xml:space="preserve">It cannot be quantified in the way one would first attempt. No series in this cohort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carries both values: the reconstruction runs only where the header has none, so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recorded and reconstructed populations are disjoint by construction. The comparison was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therefore made by forcing the reconstruction on the series that do carry a recorded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value, where the recorded value plays no part in producing the reconstructed one.</w:t>
      </w:r>
    </w:p>
    <w:p>
      <w:pPr>
        <w:pStyle w:val="BodyText"/>
      </w:pPr>
      <w:r>
        <w:rPr>
          <w:highlight w:val="yellow"/>
        </w:rPr>
        <w:t xml:space="preserve">Of the 29 series with a recorded CTDIvol, 8 could be reconstructed; the remainder are 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scanner models absent from the open table. Across those 8 the median absolute difference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10.5%, but the differences do not form a spread. Five agree to within 12% — two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Aquilion PRIME at −8.8%, one Aquilion ONE at −8.3%, two iCT 256 at a median −2.0% —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do not, two Aquilion Prime SP at a median +58.0% and one SOMATOM Definition Flash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 +84.0%. The disagreement is consistent within a scanner model rather than scattered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across series, which locates it in the tabulated coefficient for those models and not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per-series inputs; model resolution is exact after normalisation and rejects near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misses, and the spiral pitch, checked on all 8, is recorded in every case.</w:t>
      </w:r>
    </w:p>
    <w:p>
      <w:pPr>
        <w:pStyle w:val="BodyText"/>
      </w:pPr>
      <w:r>
        <w:rPr>
          <w:highlight w:val="yellow"/>
        </w:rPr>
        <w:t xml:space="preserve">The limitation of this measurement is more important than its result. A model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checked here only if some series in the cohort retained a recorded CTDIvol for it,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 GE series retained one. Of the 5 series whose index rests on a reconstructed CTDIvol,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 is a Philips iCT 256, measured at +7.7%; the other 4 are GE, on models the comparison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cannot reach. The reconstruction is therefore unverified precisely where this study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leans on it hardest, and that is a property of what the archive kept rather than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method. Results resting on a reconstructed value are marked as such throughout.</w:t>
      </w:r>
    </w:p>
    <w:bookmarkEnd w:id="40"/>
    <w:bookmarkStart w:id="44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rPr>
          <w:highlight w:val="yellow"/>
        </w:rPr>
        <w:t xml:space="preserve">Table 1 and Figure 5 place attenuation-derived estimated organ mass beside the ICRP 89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adult male values [10], over the 177 untruncated records of the five solid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fig5_organ_mass_vs_icrp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5.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Attenuation-derived estimated organ mass relative to the ICRP 89 reference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adult male mass, by manufacturer. Each marker is one organ in one series; the horizontal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bar is the median across all manufacturers. Organs truncated by the scan boundary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excluded. Manufacturer is encoded by marker shape as well as colour, so the figure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readable in greyscale.</w:t>
      </w:r>
    </w:p>
    <w:bookmarkEnd w:id="44"/>
    <w:bookmarkStart w:id="48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rPr>
          <w:highlight w:val="yellow"/>
        </w:rPr>
        <w:t xml:space="preserve">Two conditions reduce what such an analysis can measure, and both differ across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6_study_limi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6.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What limits an organ-level modulation analysis. (</w:t>
      </w:r>
      <w:r>
        <w:rPr>
          <w:b/>
          <w:bCs/>
          <w:highlight w:val="yellow"/>
        </w:rPr>
        <w:t xml:space="preserve">a</w:t>
      </w:r>
      <w:r>
        <w:rPr>
          <w:highlight w:val="yellow"/>
        </w:rPr>
        <w:t xml:space="preserve">) Percentage of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truncated by the scan boundary, by manufacturer, annotated with the counts,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all 40 segmented series. (</w:t>
      </w:r>
      <w:r>
        <w:rPr>
          <w:b/>
          <w:bCs/>
          <w:highlight w:val="yellow"/>
        </w:rPr>
        <w:t xml:space="preserve">b</w:t>
      </w:r>
      <w:r>
        <w:rPr>
          <w:highlight w:val="yellow"/>
        </w:rPr>
        <w:t xml:space="preserve">) Peak-to-peak spread of the organ-specific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weights within each of the 39 series eligible for quantitative modulation analysis;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dashed line is the threshold below which a series carries no usable variation.</w:t>
      </w:r>
    </w:p>
    <w:bookmarkEnd w:id="48"/>
    <w:bookmarkEnd w:id="49"/>
    <w:bookmarkStart w:id="5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highlight w:val="yellow"/>
        </w:rPr>
        <w:t xml:space="preserve">The direction of that finding is the part likely to hold; the size of it is not. A weight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span is a property of the protocols, patient habitus and modulation settings that happen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 be present, and these 39 series were assembled from oncological collections by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vendor-balanced quota rather than sampled from any clinical population. A cohort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different body sizes, a different mix of examination types, or different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strength would produce a different span. What the numbers here establish is that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departure is not small and cannot be assumed away; they do not establish how large it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any particular clinic, and the same caution applies to the availability fractions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  <w:highlight w:val="yellow"/>
        </w:rPr>
        <w:t xml:space="preserve">Relation to previous work.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quantity is that of Khatonabadi et al. [3] and Tian 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al. [4], who established the organ-specific weighted CTDIvol and validated it against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Monte-Carlo organ dose; this study did not invent it, and adds nothing to those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validations. What differs is the setting. That line of work, and the modulation dosimetry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around it, proceeded from single-institution cohorts with one or two scanner models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manual or semi-automatic contours, drawing in part on raw projection data 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vendor-supplied modulation profiles that archived DICOM does not retain. Here the same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quantity is obtained from archived headers alone, across four manufacturers and 23 scanner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models, with contours produced automatically.</w:t>
      </w:r>
    </w:p>
    <w:p>
      <w:pPr>
        <w:pStyle w:val="BodyText"/>
      </w:pPr>
      <w:r>
        <w:rPr>
          <w:highlight w:val="yellow"/>
        </w:rPr>
        <w:t xml:space="preserve">Three recent studies sit closest and differ in endpoint rather than in quality. Li et al.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[5] characterise SSDE(z), a patient-size-adjusted dose index evaluated at each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position; that is related but not the same quantity, since the weighting here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by segmented organ occupancy of the tube-current profile rather than by patient size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given position. Nuntue et al. [6] also derive modulation profiles from DICOM headers,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go further than this work in estimating absorbed organ dose with Monte-Carlo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simulation and measurement validation; this study deliberately stops short of absorbed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and addresses instead archive feasibility, multi-vendor availability, quality control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an open implementation. Eom et al. [7] likewise use TotalSegmentator for automated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calculation, but their endpoint is effective dose from body regions and DLP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conversion factors, whereas the present work uses individual organ masks, the per-slice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  <w:highlight w:val="yellow"/>
        </w:rPr>
        <w:t xml:space="preserve">What the index is, and what it is not.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As set out in Section 2.11, the index addresses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modulation alone. It does not account for scatter, for irradiation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originating outside the organ’s segmented extent, for angular modulation, for organ depth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attenuation, or for radiation transport, and it is not an estimate of absorbed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in milligray. Its value lies in isolating one well-defined contribution —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  <w:highlight w:val="yellow"/>
        </w:rPr>
        <w:t xml:space="preserve">External reference comparison of estimated mass.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Liver and kidney estimates were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broadly consistent with ICRP 89 reference values, which is the expected behaviour if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segmentation and the density model are working. The pancreas estimate sits 39% below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reference. The pancreas is the weakest of these organs in TotalSegmentator’s own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validation (Dice 0.887, against 0.965 for the liver, 0.983 for the spleen and 0.953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0.939 for the kidneys [8]), which supports reduced boundary agreement; but Dice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symmetric and does not establish the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direction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a disagreement, so it does not by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itself demonstrate under-segmentation. Contrast phase, reconstruction kernel and genuine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anatomical variation in this cohort are alternative contributors that the present design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cannot separate. The source of the discrepancy cannot be determined without subject-level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  <w:highlight w:val="yellow"/>
        </w:rPr>
        <w:t xml:space="preserve">Reproducibility and open implementation.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implementation is MIT-licensed,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imaging is redistributed, and every reported value is re-derived from the per-series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by an automated test suite that regenerates the analysis tables and compares them.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acquisition procedure, the analysis and the figures are each a single command.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components differ in status and are not claimed as uniformly open: the imaging is publicly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accessible under collection-specific licences; the segmentation software and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 weights are openly redistributable; the normalised-CTDI database is CC BY;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HU-to-density anchor values are used by citation to ICRU Report 44 [16] and Schneider 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  <w:highlight w:val="yellow"/>
        </w:rPr>
        <w:t xml:space="preserve">The boundary to absorbed organ dose.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Converting an anatomy-weighted index into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absorbed organ dose requires CTDIvol-normalised coefficients with a patient-size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correction, of the kind applied over patient model libraries by Tian et al. [4], together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the transport considerations listed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Section 2.11. Those coefficient sets are published in subscription journals or distributed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research software under terms granting use but not redistribution, which reflects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publishing convention for Monte-Carlo reference data rather than any deficiency in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coefficients themselves. Normalised-CTDI data of the kind used here to reconstruct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missing whole-scan index has been published under CC BY [18], which shows the convention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movable. The software accordingly refuses to emit a dose in milligray unless supplied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  <w:highlight w:val="yellow"/>
        </w:rPr>
        <w:t xml:space="preserve">Limitations.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series per manufacturer supports a median and an interquartile range,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 a distributional claim, and series within the archive are not independent with respect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 collection, site, scanner model or export pathway. The cohort is oncological and not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population. Contrast phase, tube voltage and reconstruction kernel were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controlled, and all affect attenuation-derived mass estimates. A single segmentation model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used, so segmentation behaviour and cohort anatomy cannot be separated. There is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subject-level ground truth for organ mass. Rotation time, pitch and collimation are absent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from the archived headers of some series (19, 8 and 9 respectively), so their constancy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within those series could not be fully verified and is assumed from the single-acquisition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representation; the acquisition-constancy criterion is therefore a screen against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detectable violations rather than a guarantee. The index addresses longitudinal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0"/>
    <w:bookmarkStart w:id="51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1"/>
    <w:bookmarkStart w:id="5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2"/>
    <w:bookmarkStart w:id="5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3"/>
    <w:bookmarkStart w:id="54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4"/>
    <w:bookmarkStart w:id="55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5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{{RELEASE_TAG}} (commit {{COMMIT_HASH}}), archived at Zenodo under</w:t>
      </w:r>
      <w:r>
        <w:t xml:space="preserve"> </w:t>
      </w:r>
      <w:r>
        <w:t xml:space="preserve">{{ZENODO_VERSION_DOI}}.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rPr>
          <w:highlight w:val="yellow"/>
        </w:rPr>
        <w:t xml:space="preserve">Segmentation used TotalSegmentator [8]. Its software code is distributed under the Apache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2.0 licence, and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 model weights used here are likewise stated by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project to be openly available under Apache 2.0; other tasks in that project require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7"/>
    <w:bookmarkStart w:id="58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8"/>
    <w:bookmarkStart w:id="5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highlight w:val="yellow"/>
        </w:rPr>
        <w:t xml:space="preserve">1. McCollough, C.H.; Leng, S.; Yu, L.; Cody, D.D.; Boone, J.M.; McNitt-Gray, M.F. CT Dose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Index and Patient Dose: They Are Not the Same Thing.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Radiology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2011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259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311–316. https://doi.org/10.1148/radiol.11101800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2. Kalra, M.K. Automatic Exposure Control in Multidetector-row CT. In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Medical Radiology</w:t>
      </w:r>
      <w:r>
        <w:rPr>
          <w:highlight w:val="yellow"/>
        </w:rPr>
        <w:t xml:space="preserve">; Springer: Berlin, Heidelberg, 2011; pp. 259-272. https://doi.org/10.1007/174_2011_480.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3. Khatonabadi, M.; Kim, H.J.; Lu, P.; McMillan, K.L.; Cagnon, C.H.; DeMarco, J.J.;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McNitt-Gray, M.F. The Feasibility of a Regional CTDIvol to Estimate Organ Dose from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Tube Current Modulated CT Exams.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Med. Phys.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2013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40</w:t>
      </w:r>
      <w:r>
        <w:rPr>
          <w:highlight w:val="yellow"/>
        </w:rPr>
        <w:t xml:space="preserve">, 051903.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https://doi.org/10.1118/1.4798561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4. Tian, X.; Li, X.; Segars, W.P.; Frush, D.P.; Samei, E. Prospective Estimation of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in CT under Tube Current Modulation.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Med. Phys.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2015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42</w:t>
      </w:r>
      <w:r>
        <w:rPr>
          <w:highlight w:val="yellow"/>
        </w:rPr>
        <w:t xml:space="preserve">, 1575–1585.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https://doi.org/10.1118/1.4907955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5. Li, X.; Marschall, T.A.; Yang, K.; Liu, B. Technical Note: Advancing Size-Specific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Estimates in CT Examinations: Dose Estimates at Longitudinal Positions of Scans.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Med. Phys.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2022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49</w:t>
      </w:r>
      <w:r>
        <w:rPr>
          <w:highlight w:val="yellow"/>
        </w:rPr>
        <w:t xml:space="preserve">, 1303–1311. https://doi.org/10.1002/mp.15402</w:t>
      </w:r>
      <w:r>
        <w:rPr>
          <w:highlight w:val="yellow"/>
        </w:rPr>
        <w:t xml:space="preserve"> </w:t>
      </w:r>
      <w:r>
        <w:rPr>
          <w:highlight w:val="yellow"/>
        </w:rPr>
        <w:t xml:space="preserve">6. Nuntue, C.; Matsubara, K.; Watanabe, S.; Fukushima, K.; Tantiwetchayanon, K. Improved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 Absorbed Dose Estimation in Abdominal CT Using DICOM Header-Based Tube Current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Modulation Profiles: Validation with Measurements and Monte Carlo Simulations.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J.</w:t>
      </w:r>
      <w:r>
        <w:rPr>
          <w:i/>
          <w:iCs/>
          <w:highlight w:val="yellow"/>
        </w:rPr>
        <w:t xml:space="preserve"> </w:t>
      </w:r>
      <w:r>
        <w:rPr>
          <w:i/>
          <w:iCs/>
          <w:highlight w:val="yellow"/>
        </w:rPr>
        <w:t xml:space="preserve">Appl. Clin. Med. Phys.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2025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26</w:t>
      </w:r>
      <w:r>
        <w:rPr>
          <w:highlight w:val="yellow"/>
        </w:rPr>
        <w:t xml:space="preserve">, e70321. https://doi.org/10.1002/acm2.70321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7. Eom, Y.; Park, Y.-J.; Lee, S.; Lee, S.-J.; An, Y.-S.; Park, B.-N.; Yoon, J.-K.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Automated Measurement of Effective Radiation Dose by 18F-Fluorodeoxyglucose Positron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Emission Tomography/Computed Tomography.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Tomography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2024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10</w:t>
      </w:r>
      <w:r>
        <w:rPr>
          <w:highlight w:val="yellow"/>
        </w:rPr>
        <w:t xml:space="preserve">, 2144–2157.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https://doi.org/10.3390/tomography10120151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8. Wasserthal, J.; Breit, H.-C.; Meyer, M.T.; Pradella, M.; Hinck, D.; Sauter, A.W.; Heye,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T.; Boll, D.T.; Cyriac, J.; Yang, S.; Bach, M.; Segeroth, M. TotalSegmentator: Robust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Segmentation of 104 Anatomic Structures in CT Images.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Radiol. Artif. Intell.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2023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5</w:t>
      </w:r>
      <w:r>
        <w:rPr>
          <w:highlight w:val="yellow"/>
        </w:rPr>
        <w:t xml:space="preserve">, e230024. https://doi.org/10.1148/ryai.230024</w:t>
      </w:r>
      <w:r>
        <w:rPr>
          <w:highlight w:val="yellow"/>
        </w:rPr>
        <w:t xml:space="preserve"> </w:t>
      </w:r>
      <w:r>
        <w:rPr>
          <w:highlight w:val="yellow"/>
        </w:rPr>
        <w:t xml:space="preserve">9. Isensee, F.; Jaeger, P.F.; Kohl, S.A.A.; Petersen, J.; Maier-Hein, K.H. nnU-Net: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Self-Configuring Method for Deep Learning-Based Biomedical Image Segmentation.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Nat.</w:t>
      </w:r>
      <w:r>
        <w:rPr>
          <w:i/>
          <w:iCs/>
          <w:highlight w:val="yellow"/>
        </w:rPr>
        <w:t xml:space="preserve"> </w:t>
      </w:r>
      <w:r>
        <w:rPr>
          <w:i/>
          <w:iCs/>
          <w:highlight w:val="yellow"/>
        </w:rPr>
        <w:t xml:space="preserve">Methods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2021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18</w:t>
      </w:r>
      <w:r>
        <w:rPr>
          <w:highlight w:val="yellow"/>
        </w:rPr>
        <w:t xml:space="preserve">, 203–211. https://doi.org/10.1038/s41592-020-01008-z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10. ICRP. Basic Anatomical and Physiological Data for Use in Radiological Protection: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Values. ICRP Publication 89.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Ann. ICRP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2002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32</w:t>
      </w:r>
      <w:r>
        <w:rPr>
          <w:highlight w:val="yellow"/>
        </w:rPr>
        <w:t xml:space="preserve"> </w:t>
      </w:r>
      <w:r>
        <w:rPr>
          <w:highlight w:val="yellow"/>
        </w:rPr>
        <w:t xml:space="preserve">(3–4).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11. 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12. Clark, K.; Vendt, B.; Smith, K.; Freymann, J.; Kirby, J.; Koppel, P.; Moore, S.;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Phillips, S.; Maffitt, D.; Pringle, M.; Tarbox, L.; Prior, F. The Cancer Imaging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Archive (TCIA): Maintaining and Operating a Public Information Repository.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J. Digit.</w:t>
      </w:r>
      <w:r>
        <w:rPr>
          <w:i/>
          <w:iCs/>
          <w:highlight w:val="yellow"/>
        </w:rPr>
        <w:t xml:space="preserve"> </w:t>
      </w:r>
      <w:r>
        <w:rPr>
          <w:i/>
          <w:iCs/>
          <w:highlight w:val="yellow"/>
        </w:rPr>
        <w:t xml:space="preserve">Imaging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2013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26</w:t>
      </w:r>
      <w:r>
        <w:rPr>
          <w:highlight w:val="yellow"/>
        </w:rPr>
        <w:t xml:space="preserve">, 1045–1057. https://doi.org/10.1007/s10278-013-9622-7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13. Yamamoto, S. ctdose-core: open, auditable CT dose surveillance from DICOM, with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physics reconstruction when the dose attributes are missing (Version 0.1.1)</w:t>
      </w:r>
      <w:r>
        <w:rPr>
          <w:highlight w:val="yellow"/>
        </w:rPr>
        <w:t xml:space="preserve"> </w:t>
      </w:r>
      <w:r>
        <w:rPr>
          <w:highlight w:val="yellow"/>
        </w:rPr>
        <w:t xml:space="preserve">[Software]. Zenodo,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2026</w:t>
      </w:r>
      <w:r>
        <w:rPr>
          <w:highlight w:val="yellow"/>
        </w:rPr>
        <w:t xml:space="preserve">. https://doi.org/10.5281/zenodo.21636719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14. Isensee, F.; Wald, T.; Ulrich, C.; Baumgartner, M.; Roy, S.; Maier-Hein, K.; Jaeger, P.F. nnU-Net Revisited: A Call for Rigorous Validation in 3D Medical Image Segmentation. In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Lecture Notes in Computer Science</w:t>
      </w:r>
      <w:r>
        <w:rPr>
          <w:highlight w:val="yellow"/>
        </w:rPr>
        <w:t xml:space="preserve">; Springer: Cham, 2024; pp. 488-498. https://doi.org/10.1007/978-3-031-72114-4_47.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15. McCollough, C.; Bakalyar, D.M.; Bostani, M.; Brady, S.; Boedeker, K.; Boone, J.M.;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Chen-Mayer, H.H.; Christianson, O.I.; Leng, S.; Li, B.; et al. Use of Water Equivalent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Diameter for Calculating Patient Size and Size-Specific Dose Estimates (SSDE) in CT: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Report of AAPM Task Group 220.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AAPM Report No. 220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2014</w:t>
      </w:r>
      <w:r>
        <w:rPr>
          <w:highlight w:val="yellow"/>
        </w:rPr>
        <w:t xml:space="preserve">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https://doi.org/10.37206/146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16. ICRU. Tissue Substitutes in Radiation Dosimetry and Measurement. ICRU Report 44; ICRU: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Bethesda, MD, USA,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1989</w:t>
      </w:r>
      <w:r>
        <w:rPr>
          <w:highlight w:val="yellow"/>
        </w:rPr>
        <w:t xml:space="preserve">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17. Schneider, U.; Pedroni, E.; Lomax, A. The Calibration of CT Hounsfield Units for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Radiotherapy Treatment Planning.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Phys. Med. Biol.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1996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41</w:t>
      </w:r>
      <w:r>
        <w:rPr>
          <w:highlight w:val="yellow"/>
        </w:rPr>
        <w:t xml:space="preserve">, 111–124.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https://doi.org/10.1088/0031-9155/41/1/009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18. Dinwiddie, L.E.; Baggett, J.M.; Kofler, J.M.; et al. Survey of Normalized CTDIvol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Values Across Four Major Computed Tomography Vendors for Use in the MIRDct Software.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J. Appl. Clin. Med. Phys.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2026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27</w:t>
      </w:r>
      <w:r>
        <w:rPr>
          <w:highlight w:val="yellow"/>
        </w:rPr>
        <w:t xml:space="preserve">, e70473. https://doi.org/10.1002/acm2.70473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19. 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Clin. Radiol.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2015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70</w:t>
      </w:r>
      <w:r>
        <w:rPr>
          <w:highlight w:val="yellow"/>
        </w:rPr>
        <w:t xml:space="preserve">, 176-182. https://doi.org/10.1016/j.crad.2014.11.002.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20. Zucker, E.J.; Barnes, J.B.; Seguin, C.; Chatfield, M.; Newman, B. Radiologist Compliance With California CT Dose Reporting Requirements: A Single-Center Review of Pediatric Chest CT.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AJR Am. J. Roentgenol.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2015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204</w:t>
      </w:r>
      <w:r>
        <w:rPr>
          <w:highlight w:val="yellow"/>
        </w:rPr>
        <w:t xml:space="preserve">, 810-816. https://doi.org/10.2214/ajr.14.13693.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2026-08-26T13:44:12Z</dcterms:created>
  <dcterms:modified xsi:type="dcterms:W3CDTF">2026-08-26T13:44:12Z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